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3D17" w14:textId="064777CB" w:rsidR="00EA0134" w:rsidRDefault="004B4DB3" w:rsidP="00976A49">
      <w:pPr>
        <w:pStyle w:val="Pagedecouverture"/>
      </w:pPr>
      <w:bookmarkStart w:id="0" w:name="_GoBack"/>
      <w:bookmarkEnd w:id="0"/>
      <w:r>
        <w:rPr>
          <w:noProof/>
        </w:rPr>
        <w:drawing>
          <wp:inline distT="0" distB="0" distL="0" distR="0" wp14:anchorId="6D47D6BD" wp14:editId="4534665B">
            <wp:extent cx="5715000" cy="7848600"/>
            <wp:effectExtent l="0" t="0" r="0" b="0"/>
            <wp:docPr id="2" name="Bild 1" descr="B64C58BA-CEE6-4797-B358-523FA9B35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4C58BA-CEE6-4797-B358-523FA9B35A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7848600"/>
                    </a:xfrm>
                    <a:prstGeom prst="rect">
                      <a:avLst/>
                    </a:prstGeom>
                    <a:noFill/>
                    <a:ln>
                      <a:noFill/>
                    </a:ln>
                  </pic:spPr>
                </pic:pic>
              </a:graphicData>
            </a:graphic>
          </wp:inline>
        </w:drawing>
      </w:r>
    </w:p>
    <w:p w14:paraId="3754680F" w14:textId="77777777" w:rsidR="00EA0134" w:rsidRDefault="00EA0134" w:rsidP="002C3580">
      <w:pPr>
        <w:sectPr w:rsidR="00EA0134" w:rsidSect="00976A49">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58F766D3" w14:textId="36C37490" w:rsidR="002D3967" w:rsidRPr="00FB18DC" w:rsidRDefault="002D3967" w:rsidP="00EA0134">
      <w:pPr>
        <w:pStyle w:val="Exposdesmotifstitre"/>
      </w:pPr>
    </w:p>
    <w:p w14:paraId="26309927" w14:textId="77777777" w:rsidR="002D3967" w:rsidRDefault="002D3967" w:rsidP="00FB18DC">
      <w:pPr>
        <w:pStyle w:val="ManualHeading1"/>
      </w:pPr>
      <w:r w:rsidRPr="00FB18DC">
        <w:t>1.</w:t>
      </w:r>
      <w:r w:rsidRPr="00FB18DC">
        <w:tab/>
      </w:r>
      <w:r>
        <w:t>CONTEXT OF THE DELEGATED ACT</w:t>
      </w:r>
    </w:p>
    <w:p w14:paraId="3170213F" w14:textId="77777777" w:rsidR="0047246B" w:rsidRPr="00A30460" w:rsidRDefault="0047246B" w:rsidP="0047246B">
      <w:r w:rsidRPr="00A30460">
        <w:rPr>
          <w:b/>
        </w:rPr>
        <w:t>Grounds for and objectives of the proposal</w:t>
      </w:r>
    </w:p>
    <w:p w14:paraId="35B82A94" w14:textId="77777777" w:rsidR="00CF5DAC" w:rsidRPr="00692310" w:rsidRDefault="00CF5DAC" w:rsidP="00CF5DAC">
      <w:pPr>
        <w:rPr>
          <w:lang w:eastAsia="de-DE"/>
        </w:rPr>
      </w:pPr>
      <w:r>
        <w:t xml:space="preserve">Regulation (EU) </w:t>
      </w:r>
      <w:r w:rsidRPr="005211B3">
        <w:rPr>
          <w:rStyle w:val="Marker"/>
          <w:rFonts w:eastAsia="Calibri"/>
          <w:color w:val="000000" w:themeColor="text1"/>
        </w:rPr>
        <w:t>2017/1369</w:t>
      </w:r>
      <w:r w:rsidR="00F52801">
        <w:rPr>
          <w:rStyle w:val="Fotnotsreferens"/>
          <w:szCs w:val="24"/>
        </w:rPr>
        <w:footnoteReference w:id="1"/>
      </w:r>
      <w:r w:rsidRPr="005211B3">
        <w:rPr>
          <w:rStyle w:val="Marker"/>
          <w:rFonts w:eastAsia="Calibri"/>
          <w:color w:val="000000" w:themeColor="text1"/>
        </w:rPr>
        <w:t xml:space="preserve"> </w:t>
      </w:r>
      <w:r w:rsidRPr="00E47D82">
        <w:t xml:space="preserve">establishes a framework for setting </w:t>
      </w:r>
      <w:r>
        <w:t>energy labelling regulations</w:t>
      </w:r>
      <w:r w:rsidRPr="00E47D82">
        <w:t xml:space="preserve"> for energy-related products</w:t>
      </w:r>
      <w:r>
        <w:rPr>
          <w:b/>
          <w:bCs/>
        </w:rPr>
        <w:t xml:space="preserve"> </w:t>
      </w:r>
      <w:r w:rsidRPr="00B72B55">
        <w:rPr>
          <w:bCs/>
        </w:rPr>
        <w:t>at EU level</w:t>
      </w:r>
      <w:r w:rsidR="00F52801">
        <w:rPr>
          <w:bCs/>
        </w:rPr>
        <w:t xml:space="preserve"> and repeals the previous framework set out in Directive 2010/30/EU</w:t>
      </w:r>
      <w:r w:rsidRPr="00E47D82">
        <w:t xml:space="preserve">. </w:t>
      </w:r>
      <w:r w:rsidR="00F52801">
        <w:t>Energy labelling</w:t>
      </w:r>
      <w:r w:rsidRPr="00E47D82">
        <w:t xml:space="preserve"> is a key EU policy instrument for </w:t>
      </w:r>
      <w:r>
        <w:t>informing consumers about</w:t>
      </w:r>
      <w:r w:rsidRPr="00E47D82">
        <w:t xml:space="preserve"> the energy efficiency and other environmental performance aspects of </w:t>
      </w:r>
      <w:r>
        <w:t xml:space="preserve">energy-related </w:t>
      </w:r>
      <w:r w:rsidRPr="00E47D82">
        <w:t xml:space="preserve">products placed on the internal market. </w:t>
      </w:r>
      <w:r w:rsidR="00F52801">
        <w:t xml:space="preserve"> </w:t>
      </w:r>
    </w:p>
    <w:p w14:paraId="75464E8C" w14:textId="77777777" w:rsidR="00CF5DAC" w:rsidRPr="00E47D82" w:rsidRDefault="00CF5DAC" w:rsidP="00CF5DAC">
      <w:pPr>
        <w:rPr>
          <w:szCs w:val="24"/>
        </w:rPr>
      </w:pPr>
      <w:r w:rsidRPr="00E47D82">
        <w:rPr>
          <w:szCs w:val="24"/>
        </w:rPr>
        <w:t xml:space="preserve">The </w:t>
      </w:r>
      <w:r>
        <w:rPr>
          <w:szCs w:val="24"/>
        </w:rPr>
        <w:t xml:space="preserve">energy labelling </w:t>
      </w:r>
      <w:r w:rsidRPr="00E47D82">
        <w:rPr>
          <w:szCs w:val="24"/>
        </w:rPr>
        <w:t xml:space="preserve">measures </w:t>
      </w:r>
      <w:r>
        <w:rPr>
          <w:szCs w:val="24"/>
        </w:rPr>
        <w:t>applicable to</w:t>
      </w:r>
      <w:r w:rsidRPr="00E47D82">
        <w:rPr>
          <w:szCs w:val="24"/>
        </w:rPr>
        <w:t xml:space="preserve"> </w:t>
      </w:r>
      <w:r>
        <w:rPr>
          <w:szCs w:val="24"/>
        </w:rPr>
        <w:t>lighting products</w:t>
      </w:r>
      <w:r w:rsidRPr="00E47D82">
        <w:rPr>
          <w:szCs w:val="24"/>
        </w:rPr>
        <w:t xml:space="preserve"> </w:t>
      </w:r>
      <w:r>
        <w:rPr>
          <w:szCs w:val="24"/>
        </w:rPr>
        <w:t>are</w:t>
      </w:r>
      <w:r w:rsidR="00F52801">
        <w:rPr>
          <w:szCs w:val="24"/>
        </w:rPr>
        <w:t xml:space="preserve"> in</w:t>
      </w:r>
      <w:r w:rsidRPr="00E47D82">
        <w:rPr>
          <w:szCs w:val="24"/>
        </w:rPr>
        <w:t xml:space="preserve">: </w:t>
      </w:r>
    </w:p>
    <w:p w14:paraId="25404872" w14:textId="77777777" w:rsidR="00CF5DAC" w:rsidRPr="00E47D82" w:rsidRDefault="00CF5DAC" w:rsidP="00CF5DAC">
      <w:pPr>
        <w:pStyle w:val="Tiret0"/>
      </w:pPr>
      <w:r w:rsidRPr="00E47D82">
        <w:t xml:space="preserve">Commission </w:t>
      </w:r>
      <w:r w:rsidR="00F52801">
        <w:t xml:space="preserve">Delegated </w:t>
      </w:r>
      <w:r w:rsidRPr="00E47D82">
        <w:t xml:space="preserve">Regulation (EU) No </w:t>
      </w:r>
      <w:r>
        <w:t>874</w:t>
      </w:r>
      <w:r w:rsidRPr="00E47D82">
        <w:t>/201</w:t>
      </w:r>
      <w:r>
        <w:t>2</w:t>
      </w:r>
      <w:r w:rsidRPr="0014770E">
        <w:rPr>
          <w:vertAlign w:val="superscript"/>
        </w:rPr>
        <w:footnoteReference w:id="2"/>
      </w:r>
      <w:r w:rsidRPr="00E47D82">
        <w:t xml:space="preserve"> of </w:t>
      </w:r>
      <w:r>
        <w:t>12 July 2012</w:t>
      </w:r>
      <w:r w:rsidRPr="00E47D82">
        <w:t xml:space="preserve"> with regard to energy labelling </w:t>
      </w:r>
      <w:r>
        <w:t>of electrical lamps and luminaires</w:t>
      </w:r>
      <w:r w:rsidRPr="00E47D82">
        <w:t>;</w:t>
      </w:r>
    </w:p>
    <w:p w14:paraId="2E28135C" w14:textId="77777777" w:rsidR="00CF5DAC" w:rsidRPr="00E47D82" w:rsidRDefault="00CF5DAC" w:rsidP="00CF5DAC">
      <w:pPr>
        <w:pStyle w:val="Tiret0"/>
      </w:pPr>
      <w:r>
        <w:t xml:space="preserve">as amended by </w:t>
      </w:r>
      <w:r w:rsidRPr="00E47D82">
        <w:t>Commission Delegated Regulation (EU) No 518/2014</w:t>
      </w:r>
      <w:r w:rsidRPr="0014770E">
        <w:rPr>
          <w:vertAlign w:val="superscript"/>
        </w:rPr>
        <w:footnoteReference w:id="3"/>
      </w:r>
      <w:r w:rsidRPr="00E47D82">
        <w:t xml:space="preserve"> of 5 March 2014 with regard to labelling of energy-related products on the internet</w:t>
      </w:r>
      <w:r>
        <w:t>.</w:t>
      </w:r>
    </w:p>
    <w:p w14:paraId="527B7102" w14:textId="77777777" w:rsidR="00CF5DAC" w:rsidRDefault="00CF5DAC" w:rsidP="00CF5DAC">
      <w:pPr>
        <w:rPr>
          <w:szCs w:val="24"/>
        </w:rPr>
      </w:pPr>
      <w:r w:rsidRPr="00D26917">
        <w:rPr>
          <w:szCs w:val="24"/>
        </w:rPr>
        <w:t xml:space="preserve">The revision </w:t>
      </w:r>
      <w:r w:rsidR="00F52801">
        <w:rPr>
          <w:szCs w:val="24"/>
        </w:rPr>
        <w:t>of the e</w:t>
      </w:r>
      <w:r>
        <w:rPr>
          <w:szCs w:val="24"/>
        </w:rPr>
        <w:t>nergy labelling measure</w:t>
      </w:r>
      <w:r w:rsidRPr="00D26917">
        <w:rPr>
          <w:szCs w:val="24"/>
        </w:rPr>
        <w:t xml:space="preserve"> for </w:t>
      </w:r>
      <w:r w:rsidR="00551A44">
        <w:rPr>
          <w:szCs w:val="24"/>
        </w:rPr>
        <w:t>lighting prod</w:t>
      </w:r>
      <w:r w:rsidR="00F52801">
        <w:rPr>
          <w:szCs w:val="24"/>
        </w:rPr>
        <w:t>ucts</w:t>
      </w:r>
      <w:r w:rsidRPr="00D26917">
        <w:rPr>
          <w:szCs w:val="24"/>
        </w:rPr>
        <w:t xml:space="preserve"> follows Article 7 </w:t>
      </w:r>
      <w:r>
        <w:rPr>
          <w:szCs w:val="24"/>
        </w:rPr>
        <w:t xml:space="preserve">of </w:t>
      </w:r>
      <w:r w:rsidRPr="00D26917">
        <w:rPr>
          <w:szCs w:val="24"/>
        </w:rPr>
        <w:t xml:space="preserve">Commission Delegated Regulation (EU) No. </w:t>
      </w:r>
      <w:r w:rsidR="00F52801">
        <w:rPr>
          <w:szCs w:val="24"/>
        </w:rPr>
        <w:t>874/2012</w:t>
      </w:r>
      <w:r w:rsidRPr="00D26917">
        <w:rPr>
          <w:szCs w:val="24"/>
        </w:rPr>
        <w:t xml:space="preserve">. </w:t>
      </w:r>
      <w:r>
        <w:rPr>
          <w:szCs w:val="24"/>
        </w:rPr>
        <w:t xml:space="preserve">In particular, this review should </w:t>
      </w:r>
      <w:r w:rsidR="00F52801">
        <w:rPr>
          <w:szCs w:val="24"/>
        </w:rPr>
        <w:t>assess verification tolerances</w:t>
      </w:r>
      <w:r>
        <w:rPr>
          <w:szCs w:val="24"/>
        </w:rPr>
        <w:t>.</w:t>
      </w:r>
    </w:p>
    <w:p w14:paraId="64AB4998" w14:textId="6B5EAFB3" w:rsidR="00CF5DAC" w:rsidRPr="00D26917" w:rsidRDefault="00CF5DAC" w:rsidP="00CF5DAC">
      <w:pPr>
        <w:rPr>
          <w:szCs w:val="24"/>
        </w:rPr>
      </w:pPr>
      <w:r>
        <w:rPr>
          <w:szCs w:val="24"/>
        </w:rPr>
        <w:t>Furthermore, according to</w:t>
      </w:r>
      <w:r w:rsidRPr="00D26917">
        <w:rPr>
          <w:szCs w:val="24"/>
        </w:rPr>
        <w:t xml:space="preserve"> </w:t>
      </w:r>
      <w:r>
        <w:rPr>
          <w:szCs w:val="24"/>
        </w:rPr>
        <w:t>a</w:t>
      </w:r>
      <w:r w:rsidRPr="00D26917">
        <w:rPr>
          <w:szCs w:val="24"/>
        </w:rPr>
        <w:t>rt</w:t>
      </w:r>
      <w:r>
        <w:rPr>
          <w:szCs w:val="24"/>
        </w:rPr>
        <w:t>icle</w:t>
      </w:r>
      <w:r w:rsidR="00F52801">
        <w:rPr>
          <w:szCs w:val="24"/>
        </w:rPr>
        <w:t xml:space="preserve"> </w:t>
      </w:r>
      <w:r w:rsidR="00001334">
        <w:rPr>
          <w:szCs w:val="24"/>
        </w:rPr>
        <w:t>11(</w:t>
      </w:r>
      <w:r w:rsidR="00F52801">
        <w:rPr>
          <w:szCs w:val="24"/>
        </w:rPr>
        <w:t>5</w:t>
      </w:r>
      <w:r w:rsidR="00001334">
        <w:rPr>
          <w:szCs w:val="24"/>
        </w:rPr>
        <w:t>)</w:t>
      </w:r>
      <w:r w:rsidR="00F52801">
        <w:rPr>
          <w:szCs w:val="24"/>
        </w:rPr>
        <w:t xml:space="preserve"> of the new framework </w:t>
      </w:r>
      <w:r w:rsidR="00F52801">
        <w:t xml:space="preserve">Regulation (EU) </w:t>
      </w:r>
      <w:r w:rsidR="00F52801" w:rsidRPr="005211B3">
        <w:rPr>
          <w:rStyle w:val="Marker"/>
          <w:rFonts w:eastAsia="Calibri"/>
          <w:color w:val="000000" w:themeColor="text1"/>
        </w:rPr>
        <w:t>2017/1369</w:t>
      </w:r>
      <w:r w:rsidRPr="00D26917">
        <w:rPr>
          <w:szCs w:val="24"/>
        </w:rPr>
        <w:t xml:space="preserve">, a new delegated act for energy labelling of </w:t>
      </w:r>
      <w:r w:rsidR="00F52801">
        <w:rPr>
          <w:szCs w:val="24"/>
        </w:rPr>
        <w:t>lighting products</w:t>
      </w:r>
      <w:r w:rsidRPr="00D26917">
        <w:rPr>
          <w:szCs w:val="24"/>
        </w:rPr>
        <w:t xml:space="preserve"> must be adopted at the latest </w:t>
      </w:r>
      <w:r w:rsidR="00863977">
        <w:rPr>
          <w:szCs w:val="24"/>
        </w:rPr>
        <w:t xml:space="preserve">by </w:t>
      </w:r>
      <w:r w:rsidRPr="00D26917">
        <w:rPr>
          <w:szCs w:val="24"/>
        </w:rPr>
        <w:t>2 November 2018</w:t>
      </w:r>
      <w:r w:rsidR="0047246B">
        <w:rPr>
          <w:szCs w:val="24"/>
        </w:rPr>
        <w:t xml:space="preserve"> to rescale products from A to G (as of today, it applies A++ to </w:t>
      </w:r>
      <w:r w:rsidR="002F6207">
        <w:rPr>
          <w:szCs w:val="24"/>
        </w:rPr>
        <w:t>E</w:t>
      </w:r>
      <w:r w:rsidR="0047246B">
        <w:rPr>
          <w:szCs w:val="24"/>
        </w:rPr>
        <w:t>)</w:t>
      </w:r>
      <w:r w:rsidRPr="00D26917">
        <w:rPr>
          <w:szCs w:val="24"/>
        </w:rPr>
        <w:t xml:space="preserve">. </w:t>
      </w:r>
    </w:p>
    <w:p w14:paraId="1A332D54" w14:textId="77777777" w:rsidR="00CF5DAC" w:rsidRDefault="00CF5DAC" w:rsidP="00CF5DAC">
      <w:pPr>
        <w:rPr>
          <w:szCs w:val="24"/>
        </w:rPr>
      </w:pPr>
      <w:r>
        <w:rPr>
          <w:szCs w:val="24"/>
        </w:rPr>
        <w:t>Moreover,</w:t>
      </w:r>
      <w:r w:rsidRPr="00D26917">
        <w:rPr>
          <w:szCs w:val="24"/>
        </w:rPr>
        <w:t xml:space="preserve"> there are new policies that force the revision to look beyond the strict scope mentioned in the review articles of the existing acts for </w:t>
      </w:r>
      <w:r w:rsidR="00F52801">
        <w:rPr>
          <w:szCs w:val="24"/>
        </w:rPr>
        <w:t>lighting products: a</w:t>
      </w:r>
      <w:r w:rsidRPr="00D26917">
        <w:rPr>
          <w:szCs w:val="24"/>
        </w:rPr>
        <w:t xml:space="preserve"> renewed effort in carbon emission abatement through the Paris </w:t>
      </w:r>
      <w:r>
        <w:rPr>
          <w:szCs w:val="24"/>
        </w:rPr>
        <w:t xml:space="preserve">climate </w:t>
      </w:r>
      <w:r w:rsidRPr="00D26917">
        <w:rPr>
          <w:szCs w:val="24"/>
        </w:rPr>
        <w:t>agreement</w:t>
      </w:r>
      <w:r>
        <w:rPr>
          <w:rStyle w:val="Fotnotsreferens"/>
          <w:szCs w:val="24"/>
        </w:rPr>
        <w:footnoteReference w:id="4"/>
      </w:r>
      <w:r w:rsidRPr="00D26917">
        <w:rPr>
          <w:szCs w:val="24"/>
        </w:rPr>
        <w:t>, the Commission’s Circular Economy</w:t>
      </w:r>
      <w:r>
        <w:rPr>
          <w:rStyle w:val="Fotnotsreferens"/>
          <w:szCs w:val="24"/>
        </w:rPr>
        <w:footnoteReference w:id="5"/>
      </w:r>
      <w:r w:rsidRPr="00D26917">
        <w:rPr>
          <w:szCs w:val="24"/>
        </w:rPr>
        <w:t>, the Better Regulation policy aiming at more efficient and effective legislation</w:t>
      </w:r>
      <w:r>
        <w:rPr>
          <w:rStyle w:val="Fotnotsreferens"/>
          <w:szCs w:val="24"/>
        </w:rPr>
        <w:footnoteReference w:id="6"/>
      </w:r>
      <w:r w:rsidRPr="00D26917">
        <w:rPr>
          <w:szCs w:val="24"/>
        </w:rPr>
        <w:t xml:space="preserve">, </w:t>
      </w:r>
      <w:r w:rsidR="00711A39" w:rsidRPr="004B2ABE">
        <w:rPr>
          <w:szCs w:val="24"/>
        </w:rPr>
        <w:t xml:space="preserve">the need to </w:t>
      </w:r>
      <w:r w:rsidR="00711A39">
        <w:rPr>
          <w:szCs w:val="24"/>
        </w:rPr>
        <w:t xml:space="preserve">address possible </w:t>
      </w:r>
      <w:r w:rsidR="00711A39" w:rsidRPr="004B2ABE">
        <w:rPr>
          <w:szCs w:val="24"/>
        </w:rPr>
        <w:t>circumvention</w:t>
      </w:r>
      <w:r w:rsidR="00711A39">
        <w:rPr>
          <w:szCs w:val="24"/>
        </w:rPr>
        <w:t xml:space="preserve"> of testing standards</w:t>
      </w:r>
      <w:r w:rsidRPr="00D26917">
        <w:rPr>
          <w:szCs w:val="24"/>
        </w:rPr>
        <w:t>, etc.</w:t>
      </w:r>
      <w:r>
        <w:rPr>
          <w:rStyle w:val="Fotnotsreferens"/>
          <w:szCs w:val="24"/>
        </w:rPr>
        <w:footnoteReference w:id="7"/>
      </w:r>
    </w:p>
    <w:p w14:paraId="385EB294" w14:textId="77777777" w:rsidR="00FC7CEA" w:rsidRPr="00120CB7" w:rsidRDefault="00FC7CEA" w:rsidP="00FC7CEA">
      <w:pPr>
        <w:rPr>
          <w:color w:val="000000"/>
        </w:rPr>
      </w:pPr>
      <w:r>
        <w:rPr>
          <w:color w:val="000000"/>
        </w:rPr>
        <w:t xml:space="preserve">This act is developed in parallel with the </w:t>
      </w:r>
      <w:r w:rsidRPr="00120CB7">
        <w:rPr>
          <w:color w:val="000000"/>
        </w:rPr>
        <w:t xml:space="preserve">proposed act for </w:t>
      </w:r>
      <w:r>
        <w:rPr>
          <w:color w:val="000000"/>
        </w:rPr>
        <w:t>ecodesign</w:t>
      </w:r>
      <w:r w:rsidRPr="00120CB7">
        <w:rPr>
          <w:color w:val="000000"/>
        </w:rPr>
        <w:t xml:space="preserve"> </w:t>
      </w:r>
      <w:r>
        <w:rPr>
          <w:color w:val="000000"/>
        </w:rPr>
        <w:t>of lighting products</w:t>
      </w:r>
      <w:r w:rsidRPr="00120CB7">
        <w:rPr>
          <w:color w:val="000000"/>
        </w:rPr>
        <w:t>.</w:t>
      </w:r>
      <w:r w:rsidR="009E4DC9">
        <w:rPr>
          <w:color w:val="000000"/>
        </w:rPr>
        <w:t xml:space="preserve"> </w:t>
      </w:r>
    </w:p>
    <w:p w14:paraId="23F5A10C" w14:textId="77777777" w:rsidR="00CF5DAC" w:rsidRPr="00A30460" w:rsidRDefault="00CF5DAC" w:rsidP="00CF5DAC">
      <w:r w:rsidRPr="00A30460">
        <w:rPr>
          <w:b/>
        </w:rPr>
        <w:t>General context</w:t>
      </w:r>
    </w:p>
    <w:p w14:paraId="21301590" w14:textId="77777777" w:rsidR="00CF5DAC" w:rsidRPr="00D26917" w:rsidRDefault="00CF5DAC" w:rsidP="00CF5DAC">
      <w:pPr>
        <w:rPr>
          <w:szCs w:val="24"/>
        </w:rPr>
      </w:pPr>
      <w:r>
        <w:rPr>
          <w:szCs w:val="24"/>
        </w:rPr>
        <w:t xml:space="preserve">In </w:t>
      </w:r>
      <w:r w:rsidRPr="00D26917">
        <w:rPr>
          <w:szCs w:val="24"/>
        </w:rPr>
        <w:t>2014</w:t>
      </w:r>
      <w:r>
        <w:rPr>
          <w:szCs w:val="24"/>
        </w:rPr>
        <w:t>, t</w:t>
      </w:r>
      <w:r w:rsidRPr="00D26917">
        <w:rPr>
          <w:szCs w:val="24"/>
        </w:rPr>
        <w:t>he Commission</w:t>
      </w:r>
      <w:r>
        <w:rPr>
          <w:szCs w:val="24"/>
        </w:rPr>
        <w:t xml:space="preserve"> conducted an</w:t>
      </w:r>
      <w:r w:rsidRPr="00D26917">
        <w:rPr>
          <w:szCs w:val="24"/>
        </w:rPr>
        <w:t xml:space="preserve"> ‘Omnibus’ review</w:t>
      </w:r>
      <w:r>
        <w:rPr>
          <w:rStyle w:val="Fotnotsreferens"/>
          <w:szCs w:val="24"/>
        </w:rPr>
        <w:footnoteReference w:id="8"/>
      </w:r>
      <w:r w:rsidRPr="00D26917">
        <w:rPr>
          <w:szCs w:val="24"/>
        </w:rPr>
        <w:t xml:space="preserve"> </w:t>
      </w:r>
      <w:r>
        <w:rPr>
          <w:szCs w:val="24"/>
        </w:rPr>
        <w:t xml:space="preserve">of several product groups that </w:t>
      </w:r>
      <w:r w:rsidRPr="00D26917">
        <w:rPr>
          <w:szCs w:val="24"/>
        </w:rPr>
        <w:t xml:space="preserve">indicated that there is still a large untapped saving potential </w:t>
      </w:r>
      <w:r>
        <w:rPr>
          <w:szCs w:val="24"/>
        </w:rPr>
        <w:t xml:space="preserve">for </w:t>
      </w:r>
      <w:r w:rsidR="00155E6D">
        <w:rPr>
          <w:szCs w:val="24"/>
        </w:rPr>
        <w:t>lighting products</w:t>
      </w:r>
      <w:r>
        <w:rPr>
          <w:szCs w:val="24"/>
        </w:rPr>
        <w:t xml:space="preserve"> </w:t>
      </w:r>
      <w:r w:rsidR="0009574F">
        <w:rPr>
          <w:szCs w:val="24"/>
        </w:rPr>
        <w:t>making the acts on ecodesign and energy labelling</w:t>
      </w:r>
      <w:r w:rsidRPr="00D26917">
        <w:rPr>
          <w:szCs w:val="24"/>
        </w:rPr>
        <w:t xml:space="preserve"> eligible for a revision. This was confirmed by the review </w:t>
      </w:r>
      <w:r>
        <w:rPr>
          <w:szCs w:val="24"/>
        </w:rPr>
        <w:t xml:space="preserve">study, concluded in </w:t>
      </w:r>
      <w:r w:rsidR="00155E6D">
        <w:rPr>
          <w:szCs w:val="24"/>
        </w:rPr>
        <w:t>October 2015</w:t>
      </w:r>
      <w:r>
        <w:rPr>
          <w:rStyle w:val="Fotnotsreferens"/>
          <w:szCs w:val="24"/>
        </w:rPr>
        <w:footnoteReference w:id="9"/>
      </w:r>
      <w:r w:rsidR="004B6765">
        <w:rPr>
          <w:szCs w:val="24"/>
        </w:rPr>
        <w:t>, for which consultants developed t</w:t>
      </w:r>
      <w:r w:rsidR="004B6765" w:rsidRPr="00F47BFF">
        <w:t>he ‘Model for European Light Sources Analysis</w:t>
      </w:r>
      <w:r w:rsidR="004B6765">
        <w:t>"</w:t>
      </w:r>
      <w:r w:rsidR="004B6765" w:rsidRPr="00F47BFF">
        <w:t xml:space="preserve"> MELISA</w:t>
      </w:r>
      <w:r>
        <w:rPr>
          <w:szCs w:val="24"/>
        </w:rPr>
        <w:t>.</w:t>
      </w:r>
    </w:p>
    <w:p w14:paraId="4CB804BC" w14:textId="77777777" w:rsidR="004B6765" w:rsidRDefault="004B6765" w:rsidP="0047246B">
      <w:pPr>
        <w:rPr>
          <w:color w:val="000000"/>
        </w:rPr>
      </w:pPr>
      <w:r>
        <w:rPr>
          <w:szCs w:val="24"/>
        </w:rPr>
        <w:lastRenderedPageBreak/>
        <w:t xml:space="preserve">In the </w:t>
      </w:r>
      <w:r w:rsidRPr="004B2ABE">
        <w:rPr>
          <w:szCs w:val="24"/>
        </w:rPr>
        <w:t>Ecodesign Working Plan 2016-2019</w:t>
      </w:r>
      <w:r>
        <w:rPr>
          <w:szCs w:val="24"/>
        </w:rPr>
        <w:t xml:space="preserve"> of the European Commission</w:t>
      </w:r>
      <w:r w:rsidRPr="004B2ABE">
        <w:rPr>
          <w:rStyle w:val="Fotnotsreferens"/>
          <w:szCs w:val="24"/>
        </w:rPr>
        <w:footnoteReference w:id="10"/>
      </w:r>
      <w:r w:rsidRPr="004B2ABE">
        <w:rPr>
          <w:szCs w:val="24"/>
        </w:rPr>
        <w:t xml:space="preserve"> the revision of the implementing acts for lighting products is mentioned as one of the major energy saving opportunities</w:t>
      </w:r>
      <w:r>
        <w:rPr>
          <w:szCs w:val="24"/>
        </w:rPr>
        <w:t>, with anticipated 125 TWh of primary energy savings per year in 2030 (combined effect of ecodesign and energy labelling)</w:t>
      </w:r>
      <w:r w:rsidRPr="004B2ABE">
        <w:rPr>
          <w:szCs w:val="24"/>
        </w:rPr>
        <w:t>.</w:t>
      </w:r>
      <w:r w:rsidRPr="00120CB7">
        <w:rPr>
          <w:color w:val="000000"/>
        </w:rPr>
        <w:t xml:space="preserve"> </w:t>
      </w:r>
    </w:p>
    <w:p w14:paraId="4A9A8ED1" w14:textId="77777777" w:rsidR="0047246B" w:rsidRPr="00B056D4" w:rsidRDefault="0047246B" w:rsidP="0047246B">
      <w:pPr>
        <w:rPr>
          <w:color w:val="000000"/>
        </w:rPr>
      </w:pPr>
      <w:r w:rsidRPr="00120CB7">
        <w:rPr>
          <w:color w:val="000000"/>
        </w:rPr>
        <w:t xml:space="preserve">In 2015, around </w:t>
      </w:r>
      <w:r w:rsidRPr="00B056D4">
        <w:rPr>
          <w:color w:val="000000"/>
        </w:rPr>
        <w:t>1.7 billion light sources were sold in EU-28, of which approximately 22% based on LED technology. In the same year, around 11.4 billion light sources were operating in EU-28, of which 6.5% LED. These light sources consumed a total of 335 TWh/a of electricity, covering 12.4% of the overall EU-28 electricity use. This corresponded to greenhouse gas (GHG) emissions of 132 megatons of CO</w:t>
      </w:r>
      <w:r w:rsidRPr="00B056D4">
        <w:rPr>
          <w:color w:val="000000"/>
          <w:vertAlign w:val="subscript"/>
        </w:rPr>
        <w:t>2</w:t>
      </w:r>
      <w:r w:rsidRPr="00B056D4">
        <w:rPr>
          <w:color w:val="000000"/>
        </w:rPr>
        <w:t xml:space="preserve"> equivalent per year (MtCO</w:t>
      </w:r>
      <w:r w:rsidRPr="00B056D4">
        <w:rPr>
          <w:color w:val="000000"/>
          <w:vertAlign w:val="subscript"/>
        </w:rPr>
        <w:t>2</w:t>
      </w:r>
      <w:r w:rsidRPr="00B056D4">
        <w:rPr>
          <w:color w:val="000000"/>
        </w:rPr>
        <w:t>eq/a), i.e. 2.8% of the overall EU-28 GHG-emission.</w:t>
      </w:r>
    </w:p>
    <w:p w14:paraId="2665BEB2" w14:textId="77777777" w:rsidR="0047246B" w:rsidRDefault="0047246B" w:rsidP="0047246B">
      <w:r>
        <w:t>F</w:t>
      </w:r>
      <w:r w:rsidRPr="00B056D4">
        <w:t>ollowing the growth in population and in economic activity, the total number of light sources operating in EU-28 will increase (projected 14.6 billion in 2030; 128% of the 2015 stock), but so will the share of LEDs in this stock (projected 81% in 2030). As these LEDs on average have higher energy</w:t>
      </w:r>
      <w:r w:rsidRPr="0032428F">
        <w:t xml:space="preserve"> efficiency than the light sources they replace,</w:t>
      </w:r>
      <w:r>
        <w:t xml:space="preserve"> i.e. consume less electricity,</w:t>
      </w:r>
      <w:r w:rsidRPr="0032428F">
        <w:t xml:space="preserve"> the total EU-28 electricity consumption for lighting is expected to decrease to 275 TWh/a in 2030</w:t>
      </w:r>
      <w:r>
        <w:t xml:space="preserve"> (82% of the 2015 consumption)</w:t>
      </w:r>
      <w:r w:rsidRPr="0032428F">
        <w:t>, corresponding to 93 MtCO2eq/a GHG-emissions.</w:t>
      </w:r>
      <w:r>
        <w:t xml:space="preserve"> </w:t>
      </w:r>
    </w:p>
    <w:p w14:paraId="2851732E" w14:textId="77777777" w:rsidR="004B6765" w:rsidRDefault="004B6765" w:rsidP="004B6765">
      <w:r>
        <w:t>Preliminary impact data from September 2016, based on the latest version of the MELISA model, estimate</w:t>
      </w:r>
      <w:r w:rsidR="00001334">
        <w:t>s</w:t>
      </w:r>
      <w:r>
        <w:t xml:space="preserve"> that this act on energy labelling of light sources will </w:t>
      </w:r>
      <w:r w:rsidR="00927FC4">
        <w:t xml:space="preserve">reduce the electricity consumption for lighting by </w:t>
      </w:r>
      <w:r w:rsidR="0069183C">
        <w:t xml:space="preserve">2030, reaching </w:t>
      </w:r>
      <w:r w:rsidR="00927FC4">
        <w:t xml:space="preserve">20 TWh/y </w:t>
      </w:r>
      <w:r w:rsidR="0069183C">
        <w:t xml:space="preserve">of electricity savings </w:t>
      </w:r>
      <w:r w:rsidR="00927FC4">
        <w:t>and 6 MtCO</w:t>
      </w:r>
      <w:r w:rsidR="00927FC4" w:rsidRPr="002E4C3B">
        <w:rPr>
          <w:vertAlign w:val="subscript"/>
        </w:rPr>
        <w:t>2</w:t>
      </w:r>
      <w:r w:rsidR="00927FC4">
        <w:t xml:space="preserve">eq/y of GHG-emission </w:t>
      </w:r>
      <w:r w:rsidR="0069183C">
        <w:t xml:space="preserve">savings </w:t>
      </w:r>
      <w:r w:rsidR="00927FC4">
        <w:t>in 2030, in addition to respectively 40 TWh/y and 14 MtCO</w:t>
      </w:r>
      <w:r w:rsidR="00927FC4" w:rsidRPr="002E4C3B">
        <w:rPr>
          <w:vertAlign w:val="subscript"/>
        </w:rPr>
        <w:t>2</w:t>
      </w:r>
      <w:r w:rsidR="00927FC4">
        <w:t xml:space="preserve">eq/y from the ecodesign act. </w:t>
      </w:r>
      <w:r>
        <w:t xml:space="preserve">It is further estimated that </w:t>
      </w:r>
      <w:r w:rsidR="00927FC4">
        <w:t>the two acts</w:t>
      </w:r>
      <w:r>
        <w:t xml:space="preserve"> will reduce the total user expense for lighting by 15 billion euros </w:t>
      </w:r>
      <w:r w:rsidR="00927FC4">
        <w:t xml:space="preserve">(4 billion euros thanks to energy labelling) </w:t>
      </w:r>
      <w:r>
        <w:t>per year in 2030 compared to a BAU-scenario without new measures.</w:t>
      </w:r>
    </w:p>
    <w:p w14:paraId="57BC6E3F" w14:textId="77777777" w:rsidR="004B6765" w:rsidRDefault="004B6765" w:rsidP="004B6765">
      <w:r>
        <w:t>The Commission will carry out an impact assessment of the measures under consideration, following the stakeholder consultation of December 2017 and the public consultation that will take place between November 2017 and January 2018.</w:t>
      </w:r>
    </w:p>
    <w:p w14:paraId="72DE4C1D" w14:textId="77777777" w:rsidR="002D3967" w:rsidRDefault="002D3967" w:rsidP="00FB18DC">
      <w:pPr>
        <w:pStyle w:val="ManualHeading1"/>
      </w:pPr>
      <w:r w:rsidRPr="00FB18DC">
        <w:t>2.</w:t>
      </w:r>
      <w:r w:rsidRPr="00FB18DC">
        <w:tab/>
      </w:r>
      <w:r>
        <w:t>CONSULTATIONS PRIOR TO THE ADOPTION OF THE ACT</w:t>
      </w:r>
    </w:p>
    <w:p w14:paraId="551ADD95" w14:textId="77777777" w:rsidR="0047246B" w:rsidRPr="00A30460" w:rsidRDefault="0047246B" w:rsidP="0047246B">
      <w:pPr>
        <w:rPr>
          <w:b/>
        </w:rPr>
      </w:pPr>
      <w:r w:rsidRPr="00A30460">
        <w:rPr>
          <w:b/>
        </w:rPr>
        <w:t>Consultation of interested parties</w:t>
      </w:r>
    </w:p>
    <w:p w14:paraId="02B39073" w14:textId="77777777" w:rsidR="00927FC4" w:rsidRDefault="0047246B" w:rsidP="0047246B">
      <w:r w:rsidRPr="00FD194C">
        <w:t xml:space="preserve">Stakeholders </w:t>
      </w:r>
      <w:r>
        <w:t xml:space="preserve">(industry, Member States, NGOs) </w:t>
      </w:r>
      <w:r w:rsidRPr="00FD194C">
        <w:t xml:space="preserve">were </w:t>
      </w:r>
      <w:r>
        <w:t>consulted during the Lot 8/9/19 review study in two occasions. A 1</w:t>
      </w:r>
      <w:r w:rsidRPr="00FD194C">
        <w:rPr>
          <w:vertAlign w:val="superscript"/>
        </w:rPr>
        <w:t>st</w:t>
      </w:r>
      <w:r>
        <w:t xml:space="preserve"> stakeholder meeting was held on 5 February 2015 on the MEErP (</w:t>
      </w:r>
      <w:r>
        <w:rPr>
          <w:rStyle w:val="Fotnotsreferens"/>
        </w:rPr>
        <w:footnoteReference w:id="11"/>
      </w:r>
      <w:r>
        <w:t>) Task 0, 1, 2 and 3 reports; a 2</w:t>
      </w:r>
      <w:r w:rsidRPr="00FD194C">
        <w:rPr>
          <w:vertAlign w:val="superscript"/>
        </w:rPr>
        <w:t>nd</w:t>
      </w:r>
      <w:r>
        <w:t xml:space="preserve"> meeting was held on 17 June 2015 on the Task 4, 5 and 6 reports. </w:t>
      </w:r>
    </w:p>
    <w:p w14:paraId="3DB92DCC" w14:textId="77777777" w:rsidR="0047246B" w:rsidRDefault="0047246B" w:rsidP="0047246B">
      <w:r>
        <w:t xml:space="preserve">Study reports were updated to reflect stakeholders’ comments. Importantly, the future projections for LED prices and LED efficiencies used in the analysis </w:t>
      </w:r>
      <w:r w:rsidR="00927FC4">
        <w:t xml:space="preserve">of the MELISA </w:t>
      </w:r>
      <w:r>
        <w:t>model were agreed with industry. Stakeholder comments were also taken into account when preparing the Commission Working Document (WD) for the Ecodesign Consultation Forum (ECF) of 7 December 2015.</w:t>
      </w:r>
    </w:p>
    <w:p w14:paraId="041EB06D" w14:textId="77777777" w:rsidR="0047246B" w:rsidRDefault="0047246B" w:rsidP="0047246B">
      <w:r>
        <w:t xml:space="preserve">The comments on the 2015 WD showed a lack of consensus among stakeholders on the general approach, the level of ambition and on many details. To resolve this situation following the 2015 ECF, between Spring 2016 and Spring 2017 further stakeholder meetings took place in an attempt to address the different comments. </w:t>
      </w:r>
      <w:r w:rsidR="00927FC4">
        <w:t>The MELISA model</w:t>
      </w:r>
      <w:r w:rsidR="00927FC4" w:rsidRPr="00F47BFF">
        <w:t xml:space="preserve"> was extensively discussed with industry experts and adapted accordingly</w:t>
      </w:r>
      <w:r w:rsidR="00927FC4">
        <w:t>.</w:t>
      </w:r>
    </w:p>
    <w:p w14:paraId="2862EA64" w14:textId="77777777" w:rsidR="0047246B" w:rsidRDefault="0047246B" w:rsidP="0047246B">
      <w:r>
        <w:lastRenderedPageBreak/>
        <w:t>Furthermore, a second ECF is planned for December 2017 and a public consultation will be held between November 2017 and January 2018.</w:t>
      </w:r>
    </w:p>
    <w:p w14:paraId="75C6B8EB" w14:textId="77777777" w:rsidR="002D3967" w:rsidRPr="0012110C" w:rsidRDefault="002D3967" w:rsidP="00A75600"/>
    <w:p w14:paraId="63B11138" w14:textId="77777777" w:rsidR="002D3967" w:rsidRDefault="002D3967" w:rsidP="00FB18DC">
      <w:pPr>
        <w:pStyle w:val="ManualHeading1"/>
      </w:pPr>
      <w:r w:rsidRPr="00FB18DC">
        <w:t>3.</w:t>
      </w:r>
      <w:r w:rsidRPr="00FB18DC">
        <w:tab/>
      </w:r>
      <w:r>
        <w:t>LEGAL ELEMENTS OF THE DELEGATED ACT</w:t>
      </w:r>
    </w:p>
    <w:p w14:paraId="1AEE894E" w14:textId="77777777" w:rsidR="00E94390" w:rsidRPr="00B57EA1" w:rsidRDefault="0007379A" w:rsidP="00E94390">
      <w:pPr>
        <w:rPr>
          <w:u w:val="single"/>
        </w:rPr>
      </w:pPr>
      <w:r>
        <w:rPr>
          <w:u w:val="single"/>
        </w:rPr>
        <w:t>1</w:t>
      </w:r>
      <w:r w:rsidR="00E94390" w:rsidRPr="00B57EA1">
        <w:rPr>
          <w:u w:val="single"/>
        </w:rPr>
        <w:t>.</w:t>
      </w:r>
      <w:r w:rsidR="00E94390" w:rsidRPr="00B57EA1">
        <w:rPr>
          <w:u w:val="single"/>
        </w:rPr>
        <w:tab/>
      </w:r>
      <w:r w:rsidR="00E94390">
        <w:rPr>
          <w:u w:val="single"/>
        </w:rPr>
        <w:t>Scope</w:t>
      </w:r>
    </w:p>
    <w:p w14:paraId="4C1647C2" w14:textId="77777777" w:rsidR="00E94390" w:rsidRDefault="00CE54E5" w:rsidP="00E94390">
      <w:pPr>
        <w:spacing w:after="0"/>
        <w:rPr>
          <w:szCs w:val="24"/>
        </w:rPr>
      </w:pPr>
      <w:r w:rsidRPr="00020CD0">
        <w:rPr>
          <w:szCs w:val="24"/>
        </w:rPr>
        <w:t xml:space="preserve">The scope of the measures </w:t>
      </w:r>
      <w:r w:rsidR="00001334">
        <w:rPr>
          <w:szCs w:val="24"/>
        </w:rPr>
        <w:t>is</w:t>
      </w:r>
      <w:r w:rsidR="00001334" w:rsidRPr="00020CD0">
        <w:rPr>
          <w:szCs w:val="24"/>
        </w:rPr>
        <w:t xml:space="preserve"> </w:t>
      </w:r>
      <w:r w:rsidRPr="00020CD0">
        <w:rPr>
          <w:szCs w:val="24"/>
        </w:rPr>
        <w:t>light source</w:t>
      </w:r>
      <w:r>
        <w:rPr>
          <w:szCs w:val="24"/>
        </w:rPr>
        <w:t>s</w:t>
      </w:r>
      <w:r w:rsidRPr="00020CD0">
        <w:rPr>
          <w:szCs w:val="24"/>
        </w:rPr>
        <w:t xml:space="preserve">. Light sources </w:t>
      </w:r>
      <w:r>
        <w:rPr>
          <w:szCs w:val="24"/>
        </w:rPr>
        <w:t xml:space="preserve">as defined by this act are always in scope, even when they are </w:t>
      </w:r>
      <w:r w:rsidRPr="00020CD0">
        <w:rPr>
          <w:szCs w:val="24"/>
        </w:rPr>
        <w:t>parts of ‘containing products’</w:t>
      </w:r>
      <w:r>
        <w:rPr>
          <w:szCs w:val="24"/>
        </w:rPr>
        <w:t xml:space="preserve"> such as e.g. luminaires, mirrors</w:t>
      </w:r>
      <w:r w:rsidR="0069183C">
        <w:rPr>
          <w:szCs w:val="24"/>
        </w:rPr>
        <w:t>, fridges</w:t>
      </w:r>
      <w:r>
        <w:rPr>
          <w:szCs w:val="24"/>
        </w:rPr>
        <w:t xml:space="preserve"> or shelves. However, </w:t>
      </w:r>
      <w:r w:rsidRPr="00020CD0">
        <w:rPr>
          <w:szCs w:val="24"/>
        </w:rPr>
        <w:t>the containing products themselves are not</w:t>
      </w:r>
      <w:r>
        <w:rPr>
          <w:szCs w:val="24"/>
        </w:rPr>
        <w:t xml:space="preserve"> in scope of this act (but they may be in scope of other energy labelling acts)</w:t>
      </w:r>
      <w:r w:rsidRPr="00020CD0">
        <w:rPr>
          <w:szCs w:val="24"/>
        </w:rPr>
        <w:t>.</w:t>
      </w:r>
      <w:r>
        <w:rPr>
          <w:szCs w:val="24"/>
        </w:rPr>
        <w:t xml:space="preserve"> </w:t>
      </w:r>
      <w:r w:rsidR="00E94390">
        <w:rPr>
          <w:szCs w:val="24"/>
        </w:rPr>
        <w:t>This means that this act eliminates the requirement of energy labelling of luminaires set out in Regulation (EU) 874/2012.</w:t>
      </w:r>
    </w:p>
    <w:p w14:paraId="0DCBAFD3" w14:textId="77777777" w:rsidR="00E94390" w:rsidRDefault="00CE54E5" w:rsidP="00E94390">
      <w:pPr>
        <w:spacing w:after="0"/>
        <w:rPr>
          <w:szCs w:val="24"/>
        </w:rPr>
      </w:pPr>
      <w:r>
        <w:rPr>
          <w:szCs w:val="24"/>
        </w:rPr>
        <w:t xml:space="preserve">The scope </w:t>
      </w:r>
      <w:r w:rsidR="00001334">
        <w:rPr>
          <w:szCs w:val="24"/>
        </w:rPr>
        <w:t xml:space="preserve">covers </w:t>
      </w:r>
      <w:r>
        <w:rPr>
          <w:szCs w:val="24"/>
        </w:rPr>
        <w:t xml:space="preserve">all lighting technologies, including incandescent, halogen, fluorescent, high-intensity discharge and light-emitting diodes (both inorganic LED and organic OLED). </w:t>
      </w:r>
    </w:p>
    <w:p w14:paraId="5A24FD07" w14:textId="77777777" w:rsidR="00CE54E5" w:rsidRDefault="00E94390" w:rsidP="00CE54E5">
      <w:pPr>
        <w:spacing w:after="0"/>
        <w:rPr>
          <w:szCs w:val="24"/>
        </w:rPr>
      </w:pPr>
      <w:r>
        <w:rPr>
          <w:szCs w:val="24"/>
        </w:rPr>
        <w:t xml:space="preserve">The definition of light sources is the same </w:t>
      </w:r>
      <w:r w:rsidR="00001334">
        <w:rPr>
          <w:szCs w:val="24"/>
        </w:rPr>
        <w:t>as that</w:t>
      </w:r>
      <w:r>
        <w:rPr>
          <w:szCs w:val="24"/>
        </w:rPr>
        <w:t xml:space="preserve"> in the proposed act for ecodesign. However, </w:t>
      </w:r>
      <w:r w:rsidR="00001334">
        <w:rPr>
          <w:szCs w:val="24"/>
        </w:rPr>
        <w:t>fewer</w:t>
      </w:r>
      <w:r>
        <w:rPr>
          <w:szCs w:val="24"/>
        </w:rPr>
        <w:t xml:space="preserve"> products are exempt under energy labelling than in the ecodesign act: w</w:t>
      </w:r>
      <w:r w:rsidR="00CE54E5">
        <w:rPr>
          <w:szCs w:val="24"/>
        </w:rPr>
        <w:t xml:space="preserve">hile in the ecodesign regulation </w:t>
      </w:r>
      <w:r>
        <w:rPr>
          <w:szCs w:val="24"/>
        </w:rPr>
        <w:t xml:space="preserve">it is important to avoid the </w:t>
      </w:r>
      <w:r w:rsidR="00CE54E5">
        <w:rPr>
          <w:szCs w:val="24"/>
        </w:rPr>
        <w:t xml:space="preserve">risk that light sources with special characteristics be unintentionally removed from the market, energy labelling of these light sources </w:t>
      </w:r>
      <w:r>
        <w:rPr>
          <w:szCs w:val="24"/>
        </w:rPr>
        <w:t>is</w:t>
      </w:r>
      <w:r w:rsidR="00CE54E5">
        <w:rPr>
          <w:szCs w:val="24"/>
        </w:rPr>
        <w:t xml:space="preserve"> useful</w:t>
      </w:r>
      <w:r>
        <w:rPr>
          <w:szCs w:val="24"/>
        </w:rPr>
        <w:t xml:space="preserve">, because </w:t>
      </w:r>
      <w:r w:rsidR="00CE54E5">
        <w:rPr>
          <w:szCs w:val="24"/>
        </w:rPr>
        <w:t xml:space="preserve">the label </w:t>
      </w:r>
      <w:r>
        <w:rPr>
          <w:szCs w:val="24"/>
        </w:rPr>
        <w:t>will indicate</w:t>
      </w:r>
      <w:r w:rsidR="00CE54E5">
        <w:rPr>
          <w:szCs w:val="24"/>
        </w:rPr>
        <w:t xml:space="preserve"> the price to be paid, in terms of lower energy efficiency, to have the special characteristics.</w:t>
      </w:r>
      <w:r>
        <w:rPr>
          <w:szCs w:val="24"/>
        </w:rPr>
        <w:t xml:space="preserve"> Thus, there will be light sources which are exempt from ecodesign requirements but not from the energy labelling.</w:t>
      </w:r>
    </w:p>
    <w:p w14:paraId="580BEB67" w14:textId="77777777" w:rsidR="00CE54E5" w:rsidRPr="00B57EA1" w:rsidRDefault="00CE54E5" w:rsidP="00CE54E5">
      <w:pPr>
        <w:rPr>
          <w:u w:val="single"/>
        </w:rPr>
      </w:pPr>
      <w:r w:rsidRPr="00B57EA1">
        <w:rPr>
          <w:u w:val="single"/>
        </w:rPr>
        <w:t>2.</w:t>
      </w:r>
      <w:r w:rsidRPr="00B57EA1">
        <w:rPr>
          <w:u w:val="single"/>
        </w:rPr>
        <w:tab/>
      </w:r>
      <w:r w:rsidR="00E94390">
        <w:rPr>
          <w:u w:val="single"/>
        </w:rPr>
        <w:t>E</w:t>
      </w:r>
      <w:r>
        <w:rPr>
          <w:u w:val="single"/>
        </w:rPr>
        <w:t>nergy efficiency classes</w:t>
      </w:r>
    </w:p>
    <w:p w14:paraId="5C52C3E7" w14:textId="77777777" w:rsidR="00CE54E5" w:rsidRDefault="00CE54E5" w:rsidP="00CE54E5">
      <w:r>
        <w:t>The limits for the energy efficiency classes have been defined directly in terms of light source efficiency</w:t>
      </w:r>
      <w:r w:rsidR="00C459F1">
        <w:t xml:space="preserve">, as a result of the total light output of a light source (in lumen, </w:t>
      </w:r>
      <w:r w:rsidR="00C459F1" w:rsidRPr="00C459F1">
        <w:rPr>
          <w:i/>
        </w:rPr>
        <w:t>lm</w:t>
      </w:r>
      <w:r w:rsidR="00C459F1">
        <w:t xml:space="preserve">) divided by the mains (230V) power input (in Watt, </w:t>
      </w:r>
      <w:r w:rsidR="00C459F1" w:rsidRPr="00C459F1">
        <w:rPr>
          <w:i/>
        </w:rPr>
        <w:t>W</w:t>
      </w:r>
      <w:r w:rsidR="00C459F1">
        <w:t>)</w:t>
      </w:r>
      <w:r>
        <w:t xml:space="preserve"> </w:t>
      </w:r>
      <w:r w:rsidR="00C459F1">
        <w:t xml:space="preserve">and expressed as </w:t>
      </w:r>
      <w:r w:rsidRPr="00C459F1">
        <w:rPr>
          <w:i/>
        </w:rPr>
        <w:t>lm/W</w:t>
      </w:r>
      <w:r>
        <w:t>. This is more straightforward and e</w:t>
      </w:r>
      <w:r w:rsidR="00C459F1">
        <w:t>asier to understand than using the</w:t>
      </w:r>
      <w:r>
        <w:t xml:space="preserve"> Energy Efficiency Index</w:t>
      </w:r>
      <w:r w:rsidR="00C459F1">
        <w:t xml:space="preserve"> set out in the current regulation</w:t>
      </w:r>
      <w:r>
        <w:t xml:space="preserve">. </w:t>
      </w:r>
      <w:r w:rsidR="00C459F1">
        <w:t>This change</w:t>
      </w:r>
      <w:r>
        <w:t xml:space="preserve"> implies that light sources with high light output do not need a higher efficiency than light sources with low light output to obtain a given energy efficiency class. This is reasonable considering that after 2020, when the measures start to apply, the label classes will mainly have to differentiate between LEDs with different efficiencies, and for LEDs the efficiency does not strongly depend on the amount of light output.</w:t>
      </w:r>
    </w:p>
    <w:p w14:paraId="6E326DED" w14:textId="77777777" w:rsidR="00CE54E5" w:rsidRDefault="00CE54E5" w:rsidP="00CE54E5">
      <w:r>
        <w:t>For directional light sources, where normally only the part of light output in a cone is taken into account, and for non-mains light sources (not taking 230 V as input), correction factors are applied to convert their efficacy to an efficacy comparable to the limits of the energy efficiency classes.</w:t>
      </w:r>
    </w:p>
    <w:p w14:paraId="1FB0045A" w14:textId="77777777" w:rsidR="00CE54E5" w:rsidRDefault="00CE54E5" w:rsidP="00CE54E5">
      <w:r>
        <w:t>Class limits are proposed with 25 lm/W differen</w:t>
      </w:r>
      <w:r w:rsidR="00D11354">
        <w:t xml:space="preserve">ce between consecutive classes: all light sources above </w:t>
      </w:r>
      <w:r>
        <w:t xml:space="preserve">210 lm/W </w:t>
      </w:r>
      <w:r w:rsidR="00D11354">
        <w:t>are class A</w:t>
      </w:r>
      <w:r>
        <w:t xml:space="preserve">. All light sources below 85 lm/W are class G. </w:t>
      </w:r>
    </w:p>
    <w:p w14:paraId="3EA3AFDC" w14:textId="77777777" w:rsidR="00CE54E5" w:rsidRDefault="00D11354" w:rsidP="00CE54E5">
      <w:r>
        <w:t>As of October 2017</w:t>
      </w:r>
      <w:r w:rsidR="00CE54E5">
        <w:t xml:space="preserve"> there are no light sources on the market that can meet the efficiency limits of classes A and B</w:t>
      </w:r>
      <w:r>
        <w:t xml:space="preserve"> (but there are at laboratory level)</w:t>
      </w:r>
      <w:r w:rsidR="00CE54E5">
        <w:t xml:space="preserve">, so these classes would </w:t>
      </w:r>
      <w:r w:rsidR="00001334">
        <w:t xml:space="preserve">initially </w:t>
      </w:r>
      <w:r w:rsidR="00CE54E5">
        <w:t>be empty as requ</w:t>
      </w:r>
      <w:r w:rsidR="00001334">
        <w:t>ired</w:t>
      </w:r>
      <w:r w:rsidR="00CE54E5">
        <w:t xml:space="preserve"> by Regulation 2017/1369. The best LED light sources typically used </w:t>
      </w:r>
      <w:r>
        <w:t xml:space="preserve">by </w:t>
      </w:r>
      <w:r w:rsidR="00CE54E5">
        <w:t xml:space="preserve">households </w:t>
      </w:r>
      <w:r>
        <w:t>today</w:t>
      </w:r>
      <w:r w:rsidR="00CE54E5">
        <w:t xml:space="preserve"> on the market would have new label class E; the best LED light sources for professional use </w:t>
      </w:r>
      <w:r>
        <w:t>today</w:t>
      </w:r>
      <w:r w:rsidR="00CE54E5">
        <w:t xml:space="preserve"> on the market would be class D.  In 2020, when the new classes would start to apply, there might already be some class B light sources on the market, but class A is still expected to be empty.</w:t>
      </w:r>
    </w:p>
    <w:p w14:paraId="289E697C" w14:textId="77777777" w:rsidR="00CE54E5" w:rsidRDefault="00CE54E5" w:rsidP="00CE54E5">
      <w:r>
        <w:t xml:space="preserve">In the highly dynamic light sources market, it is not an easy task to predict the share of models that will fall in class A around 2030, but it is unlikely that an update of the classes </w:t>
      </w:r>
      <w:r>
        <w:lastRenderedPageBreak/>
        <w:t xml:space="preserve">would be necessary within 10 years of the introduction, thus meeting the </w:t>
      </w:r>
      <w:r w:rsidR="00001334">
        <w:t xml:space="preserve">requirements </w:t>
      </w:r>
      <w:r>
        <w:t>of Regulation 2017/1369. More data on the projected shares of light sources in the various energy efficiency classes in 2020 and 2030 will be supplied during the E</w:t>
      </w:r>
      <w:r w:rsidR="00D11354">
        <w:t xml:space="preserve">codesign </w:t>
      </w:r>
      <w:r>
        <w:t>C</w:t>
      </w:r>
      <w:r w:rsidR="00D11354">
        <w:t xml:space="preserve">onsultation </w:t>
      </w:r>
      <w:r>
        <w:t>F</w:t>
      </w:r>
      <w:r w:rsidR="00D11354">
        <w:t>orum</w:t>
      </w:r>
      <w:r>
        <w:t xml:space="preserve"> of December 2017.</w:t>
      </w:r>
    </w:p>
    <w:p w14:paraId="6041765D" w14:textId="77777777" w:rsidR="00CE54E5" w:rsidRPr="00B57EA1" w:rsidRDefault="00CE54E5" w:rsidP="00CE54E5">
      <w:pPr>
        <w:rPr>
          <w:u w:val="single"/>
        </w:rPr>
      </w:pPr>
      <w:r>
        <w:rPr>
          <w:u w:val="single"/>
        </w:rPr>
        <w:t>3</w:t>
      </w:r>
      <w:r w:rsidRPr="00B57EA1">
        <w:rPr>
          <w:u w:val="single"/>
        </w:rPr>
        <w:t>.</w:t>
      </w:r>
      <w:r w:rsidRPr="00B57EA1">
        <w:rPr>
          <w:u w:val="single"/>
        </w:rPr>
        <w:tab/>
      </w:r>
      <w:r w:rsidR="0054595C">
        <w:rPr>
          <w:u w:val="single"/>
        </w:rPr>
        <w:t>E</w:t>
      </w:r>
      <w:r>
        <w:rPr>
          <w:u w:val="single"/>
        </w:rPr>
        <w:t>nergy label</w:t>
      </w:r>
    </w:p>
    <w:p w14:paraId="4A66B017" w14:textId="15B4E22B" w:rsidR="00CE54E5" w:rsidRPr="002C3580" w:rsidRDefault="0054595C" w:rsidP="002C3580">
      <w:pPr>
        <w:jc w:val="left"/>
      </w:pPr>
      <w:r>
        <w:t xml:space="preserve">The label </w:t>
      </w:r>
      <w:r w:rsidR="00710959">
        <w:t>is reviewed and updated following the instructions in the new framework Regulation (EU) 2017/1369</w:t>
      </w:r>
      <w:r w:rsidR="00CE54E5" w:rsidRPr="002C3580">
        <w:t>.</w:t>
      </w:r>
      <w:r w:rsidR="00710959" w:rsidRPr="002C3580">
        <w:t xml:space="preserve"> The general principle</w:t>
      </w:r>
      <w:r w:rsidR="00CE54E5" w:rsidRPr="002C3580">
        <w:t xml:space="preserve"> </w:t>
      </w:r>
      <w:r w:rsidR="00EA0134" w:rsidRPr="002C3580">
        <w:t xml:space="preserve">is </w:t>
      </w:r>
      <w:r w:rsidR="00710959" w:rsidRPr="002C3580">
        <w:t xml:space="preserve">that </w:t>
      </w:r>
      <w:r w:rsidR="00CE54E5" w:rsidRPr="002C3580">
        <w:t>the label has to be displayed on the side of the packaging facing the potential buyer at the point of sale (visibility objective)</w:t>
      </w:r>
      <w:r w:rsidR="00EA0134" w:rsidRPr="002C3580">
        <w:t>. Regulation (EU) 2017/1369, Article 16.3(e) sets out that delegated acts shall specify "the locations where the label shall be displayed (…) and the implications for customers, suppliers and dealers". L</w:t>
      </w:r>
      <w:r w:rsidR="00CE54E5" w:rsidRPr="002C3580">
        <w:t xml:space="preserve">ight source packages can be small, and there is also other information </w:t>
      </w:r>
      <w:r w:rsidR="00001334" w:rsidRPr="002C3580">
        <w:t>which must</w:t>
      </w:r>
      <w:r w:rsidR="00CE54E5" w:rsidRPr="002C3580">
        <w:t xml:space="preserve"> be displayed on the packaging. </w:t>
      </w:r>
      <w:r w:rsidR="00710959" w:rsidRPr="002C3580">
        <w:t>The tailor-made solution</w:t>
      </w:r>
      <w:r w:rsidR="00EA0134" w:rsidRPr="002C3580">
        <w:t xml:space="preserve"> for small packages</w:t>
      </w:r>
      <w:r w:rsidR="00710959" w:rsidRPr="002C3580">
        <w:t xml:space="preserve"> is to have the label on the</w:t>
      </w:r>
      <w:r w:rsidR="00CE54E5" w:rsidRPr="002C3580">
        <w:t xml:space="preserve"> rear of the packaging, </w:t>
      </w:r>
      <w:r w:rsidR="00710959" w:rsidRPr="002C3580">
        <w:t xml:space="preserve">with </w:t>
      </w:r>
      <w:r w:rsidR="00CE54E5" w:rsidRPr="002C3580">
        <w:t>a coloured arrow with the energy efficiency class displayed on the front.</w:t>
      </w:r>
      <w:r w:rsidR="00EA0134" w:rsidRPr="002C3580">
        <w:t xml:space="preserve"> This is in line with the outcome of the review study.</w:t>
      </w:r>
      <w:r w:rsidR="00CE54E5" w:rsidRPr="002C3580">
        <w:t>.</w:t>
      </w:r>
    </w:p>
    <w:p w14:paraId="607E482E" w14:textId="77777777" w:rsidR="00CE54E5" w:rsidRDefault="00CE54E5" w:rsidP="00CE54E5">
      <w:r w:rsidRPr="002C3580">
        <w:t>If the light source is sold inside a containing product (e.g. a luminaire) it would</w:t>
      </w:r>
      <w:r w:rsidRPr="00703C29">
        <w:t xml:space="preserve"> be confusing to attach a label for the light source to the packaging of the containing product. Hence, in this case, a label is not required, but the packaging of the containing product shall display a text declaring the energy efficiency class of the contained light source.</w:t>
      </w:r>
    </w:p>
    <w:p w14:paraId="67A40724" w14:textId="77777777" w:rsidR="00CE54E5" w:rsidRPr="00B57EA1" w:rsidRDefault="00CE54E5" w:rsidP="00CE54E5">
      <w:pPr>
        <w:rPr>
          <w:u w:val="single"/>
        </w:rPr>
      </w:pPr>
      <w:r>
        <w:rPr>
          <w:u w:val="single"/>
        </w:rPr>
        <w:t>4</w:t>
      </w:r>
      <w:r w:rsidRPr="00B57EA1">
        <w:rPr>
          <w:u w:val="single"/>
        </w:rPr>
        <w:t>.</w:t>
      </w:r>
      <w:r w:rsidRPr="00B57EA1">
        <w:rPr>
          <w:u w:val="single"/>
        </w:rPr>
        <w:tab/>
        <w:t xml:space="preserve">Implementation of </w:t>
      </w:r>
      <w:r>
        <w:rPr>
          <w:u w:val="single"/>
        </w:rPr>
        <w:t>product information requirements</w:t>
      </w:r>
    </w:p>
    <w:p w14:paraId="1AB2E8A4" w14:textId="77777777" w:rsidR="00CE54E5" w:rsidRDefault="00CE54E5" w:rsidP="00CE54E5">
      <w:r>
        <w:t>The delegated act specifies the list of lighting parameters and other information:</w:t>
      </w:r>
    </w:p>
    <w:p w14:paraId="5C939905" w14:textId="77777777" w:rsidR="00CE54E5" w:rsidRPr="00710959" w:rsidRDefault="00CE54E5" w:rsidP="00CE54E5">
      <w:pPr>
        <w:pStyle w:val="Liststycke"/>
        <w:numPr>
          <w:ilvl w:val="0"/>
          <w:numId w:val="33"/>
        </w:numPr>
        <w:spacing w:before="120" w:after="120" w:line="240" w:lineRule="auto"/>
        <w:rPr>
          <w:rFonts w:ascii="Times New Roman" w:hAnsi="Times New Roman" w:cs="Times New Roman"/>
          <w:sz w:val="24"/>
          <w:lang w:val="en-GB"/>
        </w:rPr>
      </w:pPr>
      <w:r w:rsidRPr="00710959">
        <w:rPr>
          <w:rFonts w:ascii="Times New Roman" w:hAnsi="Times New Roman" w:cs="Times New Roman"/>
          <w:sz w:val="24"/>
          <w:lang w:val="en-GB"/>
        </w:rPr>
        <w:t>to be displayed on the packaging,</w:t>
      </w:r>
    </w:p>
    <w:p w14:paraId="25622C8F" w14:textId="77777777" w:rsidR="00CE54E5" w:rsidRPr="00710959" w:rsidRDefault="00CE54E5" w:rsidP="00CE54E5">
      <w:pPr>
        <w:pStyle w:val="Liststycke"/>
        <w:numPr>
          <w:ilvl w:val="0"/>
          <w:numId w:val="33"/>
        </w:numPr>
        <w:spacing w:before="120" w:after="120" w:line="240" w:lineRule="auto"/>
        <w:rPr>
          <w:rFonts w:ascii="Times New Roman" w:hAnsi="Times New Roman" w:cs="Times New Roman"/>
          <w:sz w:val="24"/>
          <w:lang w:val="en-GB"/>
        </w:rPr>
      </w:pPr>
      <w:r w:rsidRPr="00710959">
        <w:rPr>
          <w:rFonts w:ascii="Times New Roman" w:hAnsi="Times New Roman" w:cs="Times New Roman"/>
          <w:sz w:val="24"/>
          <w:lang w:val="en-GB"/>
        </w:rPr>
        <w:t xml:space="preserve">to be entered in the public part of the product database </w:t>
      </w:r>
      <w:r w:rsidR="00001334">
        <w:rPr>
          <w:rFonts w:ascii="Times New Roman" w:hAnsi="Times New Roman" w:cs="Times New Roman"/>
          <w:sz w:val="24"/>
          <w:lang w:val="en-GB"/>
        </w:rPr>
        <w:t>established</w:t>
      </w:r>
      <w:r w:rsidRPr="00710959">
        <w:rPr>
          <w:rFonts w:ascii="Times New Roman" w:hAnsi="Times New Roman" w:cs="Times New Roman"/>
          <w:sz w:val="24"/>
          <w:lang w:val="en-GB"/>
        </w:rPr>
        <w:t xml:space="preserve"> pursuant to Regulation 2017/1369 (this part can be printed as the product information sheet),</w:t>
      </w:r>
    </w:p>
    <w:p w14:paraId="42543853" w14:textId="77777777" w:rsidR="00CE54E5" w:rsidRPr="00710959" w:rsidRDefault="00CE54E5" w:rsidP="00CE54E5">
      <w:pPr>
        <w:pStyle w:val="Liststycke"/>
        <w:numPr>
          <w:ilvl w:val="0"/>
          <w:numId w:val="33"/>
        </w:numPr>
        <w:spacing w:before="120" w:after="120" w:line="240" w:lineRule="auto"/>
        <w:rPr>
          <w:rFonts w:ascii="Times New Roman" w:hAnsi="Times New Roman" w:cs="Times New Roman"/>
          <w:sz w:val="24"/>
          <w:lang w:val="en-GB"/>
        </w:rPr>
      </w:pPr>
      <w:r w:rsidRPr="00710959">
        <w:rPr>
          <w:rFonts w:ascii="Times New Roman" w:hAnsi="Times New Roman" w:cs="Times New Roman"/>
          <w:sz w:val="24"/>
          <w:lang w:val="en-GB"/>
        </w:rPr>
        <w:t xml:space="preserve">to be entered in the compliance part of the product database </w:t>
      </w:r>
      <w:r w:rsidR="00001334">
        <w:rPr>
          <w:rFonts w:ascii="Times New Roman" w:hAnsi="Times New Roman" w:cs="Times New Roman"/>
          <w:sz w:val="24"/>
          <w:lang w:val="en-GB"/>
        </w:rPr>
        <w:t>established</w:t>
      </w:r>
      <w:r w:rsidR="00001334" w:rsidRPr="00710959">
        <w:rPr>
          <w:rFonts w:ascii="Times New Roman" w:hAnsi="Times New Roman" w:cs="Times New Roman"/>
          <w:sz w:val="24"/>
          <w:lang w:val="en-GB"/>
        </w:rPr>
        <w:t xml:space="preserve"> </w:t>
      </w:r>
      <w:r w:rsidRPr="00710959">
        <w:rPr>
          <w:rFonts w:ascii="Times New Roman" w:hAnsi="Times New Roman" w:cs="Times New Roman"/>
          <w:sz w:val="24"/>
          <w:lang w:val="en-GB"/>
        </w:rPr>
        <w:t>pursuant to Regulation 2017/1369 (this is a part of the technical documentation).</w:t>
      </w:r>
    </w:p>
    <w:p w14:paraId="3401A1D8" w14:textId="77777777" w:rsidR="00CE54E5" w:rsidRDefault="00CE54E5" w:rsidP="00CE54E5">
      <w:r>
        <w:t xml:space="preserve">The list of parameters to be entered in the product database includes not only information strictly related to the energy label and its verification, but also all information useful </w:t>
      </w:r>
      <w:r w:rsidR="00710959">
        <w:t xml:space="preserve">for end-users and for </w:t>
      </w:r>
      <w:r>
        <w:t>market surveillance authoritie</w:t>
      </w:r>
      <w:r w:rsidR="00710959">
        <w:t>s to verify compliance with the</w:t>
      </w:r>
      <w:r>
        <w:t xml:space="preserve"> ecodesign regulation on light sources</w:t>
      </w:r>
      <w:r w:rsidR="00710959">
        <w:t>, which is developed in parallel.</w:t>
      </w:r>
    </w:p>
    <w:p w14:paraId="3DAA9F34" w14:textId="77777777" w:rsidR="00CE54E5" w:rsidRPr="00D82493" w:rsidRDefault="00CB6C8A" w:rsidP="00CE54E5">
      <w:pPr>
        <w:rPr>
          <w:u w:val="single"/>
        </w:rPr>
      </w:pPr>
      <w:r>
        <w:rPr>
          <w:u w:val="single"/>
        </w:rPr>
        <w:t>5</w:t>
      </w:r>
      <w:r w:rsidR="00CE54E5" w:rsidRPr="00D82493">
        <w:rPr>
          <w:u w:val="single"/>
        </w:rPr>
        <w:t>.</w:t>
      </w:r>
      <w:r w:rsidR="00CE54E5" w:rsidRPr="00D82493">
        <w:rPr>
          <w:u w:val="single"/>
        </w:rPr>
        <w:tab/>
        <w:t>Verification procedure for market surveillance purposes</w:t>
      </w:r>
    </w:p>
    <w:p w14:paraId="55AA6F85" w14:textId="77777777" w:rsidR="00CE54E5" w:rsidRDefault="00CE54E5" w:rsidP="00CE54E5">
      <w:pPr>
        <w:rPr>
          <w:color w:val="000000" w:themeColor="text1"/>
        </w:rPr>
      </w:pPr>
      <w:r>
        <w:rPr>
          <w:szCs w:val="24"/>
        </w:rPr>
        <w:t>The procedure to be used by market surveillance authorities to verify the compliance of light sources with this Regulation</w:t>
      </w:r>
      <w:r w:rsidR="00710959">
        <w:rPr>
          <w:szCs w:val="24"/>
        </w:rPr>
        <w:t xml:space="preserve"> is </w:t>
      </w:r>
      <w:r>
        <w:rPr>
          <w:szCs w:val="24"/>
        </w:rPr>
        <w:t xml:space="preserve">aligned </w:t>
      </w:r>
      <w:r w:rsidR="00710959">
        <w:rPr>
          <w:szCs w:val="24"/>
        </w:rPr>
        <w:t>to</w:t>
      </w:r>
      <w:r>
        <w:rPr>
          <w:szCs w:val="24"/>
        </w:rPr>
        <w:t xml:space="preserve"> </w:t>
      </w:r>
      <w:r>
        <w:rPr>
          <w:color w:val="000000" w:themeColor="text1"/>
        </w:rPr>
        <w:t>Commi</w:t>
      </w:r>
      <w:r w:rsidR="00710959">
        <w:rPr>
          <w:color w:val="000000" w:themeColor="text1"/>
        </w:rPr>
        <w:t>ssion Regulation (EU) 2016/2282</w:t>
      </w:r>
      <w:r>
        <w:rPr>
          <w:rStyle w:val="Fotnotsreferens"/>
          <w:color w:val="000000" w:themeColor="text1"/>
        </w:rPr>
        <w:footnoteReference w:id="12"/>
      </w:r>
      <w:r>
        <w:rPr>
          <w:color w:val="000000" w:themeColor="text1"/>
        </w:rPr>
        <w:t xml:space="preserve">, which is based on verification of parameter values declared by suppliers. In addition, the required number of samples has been reduced to 10 (3 for expensive products). This will facilitate market surveillance activities and remove some ambiguities. </w:t>
      </w:r>
    </w:p>
    <w:p w14:paraId="06853529" w14:textId="77777777" w:rsidR="00CE54E5" w:rsidRDefault="00CE54E5" w:rsidP="00CE54E5">
      <w:pPr>
        <w:rPr>
          <w:color w:val="000000" w:themeColor="text1"/>
        </w:rPr>
      </w:pPr>
      <w:r>
        <w:rPr>
          <w:color w:val="000000" w:themeColor="text1"/>
        </w:rPr>
        <w:t>As regards verification tolerances, the approach has been diversified, using different toler</w:t>
      </w:r>
      <w:r w:rsidR="00710959">
        <w:rPr>
          <w:color w:val="000000" w:themeColor="text1"/>
        </w:rPr>
        <w:t xml:space="preserve">ances for different parameters </w:t>
      </w:r>
      <w:r>
        <w:rPr>
          <w:color w:val="000000" w:themeColor="text1"/>
        </w:rPr>
        <w:t>and depending on the sample size</w:t>
      </w:r>
      <w:r w:rsidR="00710959">
        <w:rPr>
          <w:color w:val="000000" w:themeColor="text1"/>
        </w:rPr>
        <w:t>, to better reflect reality</w:t>
      </w:r>
      <w:r>
        <w:rPr>
          <w:color w:val="000000" w:themeColor="text1"/>
        </w:rPr>
        <w:t xml:space="preserve">. </w:t>
      </w:r>
    </w:p>
    <w:p w14:paraId="3F551254" w14:textId="77777777" w:rsidR="00CB6C8A" w:rsidRPr="00D82493" w:rsidRDefault="00DA6C98" w:rsidP="00CB6C8A">
      <w:pPr>
        <w:rPr>
          <w:u w:val="single"/>
        </w:rPr>
      </w:pPr>
      <w:r>
        <w:rPr>
          <w:u w:val="single"/>
        </w:rPr>
        <w:t>6</w:t>
      </w:r>
      <w:r w:rsidR="00CB6C8A" w:rsidRPr="00D82493">
        <w:rPr>
          <w:u w:val="single"/>
        </w:rPr>
        <w:t>.</w:t>
      </w:r>
      <w:r w:rsidR="00CB6C8A" w:rsidRPr="00D82493">
        <w:rPr>
          <w:u w:val="single"/>
        </w:rPr>
        <w:tab/>
      </w:r>
      <w:r w:rsidR="00CB6C8A">
        <w:rPr>
          <w:u w:val="single"/>
        </w:rPr>
        <w:t>Date of application</w:t>
      </w:r>
    </w:p>
    <w:p w14:paraId="3DACEF57" w14:textId="77777777" w:rsidR="00CB6C8A" w:rsidRPr="00270484" w:rsidRDefault="00CB6C8A" w:rsidP="00CB6C8A">
      <w:r>
        <w:t xml:space="preserve">It is the intention of the Commission that </w:t>
      </w:r>
      <w:r w:rsidR="0069183C">
        <w:t>this act starts</w:t>
      </w:r>
      <w:r>
        <w:t xml:space="preserve"> </w:t>
      </w:r>
      <w:r w:rsidR="00001334">
        <w:t xml:space="preserve">to </w:t>
      </w:r>
      <w:r>
        <w:t>apply from the same date of application of the ecodesign act which is developed in parallel</w:t>
      </w:r>
      <w:r w:rsidRPr="00270484">
        <w:t>.</w:t>
      </w:r>
      <w:r>
        <w:t xml:space="preserve"> </w:t>
      </w:r>
      <w:r w:rsidRPr="00270484">
        <w:t xml:space="preserve">The </w:t>
      </w:r>
      <w:r>
        <w:t>existing energy labelling regulation</w:t>
      </w:r>
      <w:r w:rsidRPr="00270484">
        <w:t xml:space="preserve"> for lighting products (C</w:t>
      </w:r>
      <w:r>
        <w:t xml:space="preserve">ommission </w:t>
      </w:r>
      <w:r w:rsidRPr="00270484">
        <w:t>R</w:t>
      </w:r>
      <w:r>
        <w:t>egulation (EC) No 874/2012</w:t>
      </w:r>
      <w:r w:rsidRPr="00270484">
        <w:t xml:space="preserve">) will be repealed from </w:t>
      </w:r>
      <w:r>
        <w:t>the day of application.</w:t>
      </w:r>
    </w:p>
    <w:p w14:paraId="2E66B9BE" w14:textId="77777777" w:rsidR="00CB6C8A" w:rsidRDefault="00CB6C8A" w:rsidP="00CE54E5">
      <w:pPr>
        <w:rPr>
          <w:color w:val="000000" w:themeColor="text1"/>
        </w:rPr>
      </w:pPr>
    </w:p>
    <w:p w14:paraId="35F07F66" w14:textId="77777777" w:rsidR="002D3967" w:rsidRDefault="002D3967" w:rsidP="00815964">
      <w:pPr>
        <w:sectPr w:rsidR="002D3967" w:rsidSect="00976A49">
          <w:footerReference w:type="default" r:id="rId15"/>
          <w:footerReference w:type="first" r:id="rId16"/>
          <w:pgSz w:w="11907" w:h="16839"/>
          <w:pgMar w:top="1134" w:right="1417" w:bottom="1134" w:left="1417" w:header="709" w:footer="709" w:gutter="0"/>
          <w:cols w:space="720"/>
          <w:docGrid w:linePitch="360"/>
        </w:sectPr>
      </w:pPr>
    </w:p>
    <w:p w14:paraId="66542992" w14:textId="5287E83E" w:rsidR="002D3967" w:rsidRPr="00937BA9" w:rsidRDefault="00EA0134" w:rsidP="00EA0134">
      <w:pPr>
        <w:pStyle w:val="Typedudocument"/>
      </w:pPr>
      <w:r w:rsidRPr="00EA0134">
        <w:lastRenderedPageBreak/>
        <w:t>COMMISSION DELEGATED REGULATION (EU) …/...</w:t>
      </w:r>
    </w:p>
    <w:p w14:paraId="45CBA4C0" w14:textId="638C82C4" w:rsidR="002D3967" w:rsidRPr="00CE4FF7" w:rsidRDefault="00EA0134" w:rsidP="00EA0134">
      <w:pPr>
        <w:pStyle w:val="Datedadoption"/>
      </w:pPr>
      <w:r w:rsidRPr="00EA0134">
        <w:t xml:space="preserve">of </w:t>
      </w:r>
      <w:r w:rsidRPr="00EA0134">
        <w:rPr>
          <w:rStyle w:val="Marker2"/>
        </w:rPr>
        <w:t>XXX</w:t>
      </w:r>
    </w:p>
    <w:p w14:paraId="307C2401" w14:textId="715D045F" w:rsidR="002D3967" w:rsidRPr="00CE4FF7" w:rsidRDefault="00EA0134" w:rsidP="00EA0134">
      <w:pPr>
        <w:pStyle w:val="Titreobjet"/>
      </w:pPr>
      <w:r w:rsidRPr="00EA0134">
        <w:t>supplementing Regulation (EU) 2017/1369 of the European Parliament and of the Council with regard to energy labelling of light sources</w:t>
      </w:r>
      <w:r w:rsidRPr="00EA0134">
        <w:br/>
        <w:t>repealing</w:t>
      </w:r>
      <w:r w:rsidRPr="00EA0134">
        <w:br/>
        <w:t>Regulation (EU) No 874/2012 with regard to energy labelling of electrical lamps and luminaires</w:t>
      </w:r>
    </w:p>
    <w:p w14:paraId="257E146E" w14:textId="296FA88A" w:rsidR="002D3967" w:rsidRPr="002D3967" w:rsidRDefault="00EA0134" w:rsidP="00EA0134">
      <w:pPr>
        <w:pStyle w:val="IntrtEEE"/>
      </w:pPr>
      <w:r w:rsidRPr="00EA0134">
        <w:t>(Text with EEA relevance)</w:t>
      </w:r>
    </w:p>
    <w:p w14:paraId="70E2802C" w14:textId="77777777" w:rsidR="002D3967" w:rsidRPr="00937BA9" w:rsidRDefault="002D3967" w:rsidP="009343DF">
      <w:pPr>
        <w:pStyle w:val="Institutionquiagit"/>
      </w:pPr>
      <w:r w:rsidRPr="00937BA9">
        <w:t>THE EUROPEAN COMMISSION,</w:t>
      </w:r>
    </w:p>
    <w:p w14:paraId="3C5C0B60" w14:textId="77777777" w:rsidR="002D3967" w:rsidRPr="00937BA9" w:rsidRDefault="002D3967" w:rsidP="009343DF">
      <w:r w:rsidRPr="00937BA9">
        <w:rPr>
          <w:color w:val="000000"/>
        </w:rPr>
        <w:t>Having regard to the Treaty on the Functioning of the European Union</w:t>
      </w:r>
      <w:r w:rsidRPr="00937BA9">
        <w:t>,</w:t>
      </w:r>
    </w:p>
    <w:p w14:paraId="322D313A" w14:textId="57555A4C" w:rsidR="005F09C2" w:rsidRDefault="000A01E0" w:rsidP="000A01E0">
      <w:pPr>
        <w:spacing w:before="100" w:beforeAutospacing="1" w:after="100" w:afterAutospacing="1"/>
        <w:rPr>
          <w:rFonts w:eastAsia="Times New Roman"/>
          <w:szCs w:val="24"/>
          <w:lang w:eastAsia="de-DE"/>
        </w:rPr>
      </w:pPr>
      <w:r w:rsidRPr="00976AA9">
        <w:rPr>
          <w:rFonts w:eastAsia="Times New Roman"/>
          <w:szCs w:val="24"/>
          <w:lang w:eastAsia="de-DE"/>
        </w:rPr>
        <w:t xml:space="preserve">Having regard to </w:t>
      </w:r>
      <w:r>
        <w:rPr>
          <w:rFonts w:eastAsia="Times New Roman"/>
          <w:szCs w:val="24"/>
          <w:lang w:eastAsia="de-DE"/>
        </w:rPr>
        <w:t>Regulation</w:t>
      </w:r>
      <w:r w:rsidRPr="00976AA9">
        <w:rPr>
          <w:rFonts w:eastAsia="Times New Roman"/>
          <w:szCs w:val="24"/>
          <w:lang w:eastAsia="de-DE"/>
        </w:rPr>
        <w:t xml:space="preserve"> 201</w:t>
      </w:r>
      <w:r>
        <w:rPr>
          <w:rFonts w:eastAsia="Times New Roman"/>
          <w:szCs w:val="24"/>
          <w:lang w:eastAsia="de-DE"/>
        </w:rPr>
        <w:t>7</w:t>
      </w:r>
      <w:r w:rsidRPr="00976AA9">
        <w:rPr>
          <w:rFonts w:eastAsia="Times New Roman"/>
          <w:szCs w:val="24"/>
          <w:lang w:eastAsia="de-DE"/>
        </w:rPr>
        <w:t>/</w:t>
      </w:r>
      <w:r>
        <w:rPr>
          <w:rFonts w:eastAsia="Times New Roman"/>
          <w:szCs w:val="24"/>
          <w:lang w:eastAsia="de-DE"/>
        </w:rPr>
        <w:t>1369</w:t>
      </w:r>
      <w:r w:rsidRPr="00976AA9">
        <w:rPr>
          <w:rFonts w:eastAsia="Times New Roman"/>
          <w:szCs w:val="24"/>
          <w:lang w:eastAsia="de-DE"/>
        </w:rPr>
        <w:t xml:space="preserve"> of the European Par</w:t>
      </w:r>
      <w:r>
        <w:rPr>
          <w:rFonts w:eastAsia="Times New Roman"/>
          <w:szCs w:val="24"/>
          <w:lang w:eastAsia="de-DE"/>
        </w:rPr>
        <w:t>liament and of the Council of 28 July</w:t>
      </w:r>
      <w:r w:rsidRPr="00976AA9">
        <w:rPr>
          <w:rFonts w:eastAsia="Times New Roman"/>
          <w:szCs w:val="24"/>
          <w:lang w:eastAsia="de-DE"/>
        </w:rPr>
        <w:t xml:space="preserve"> </w:t>
      </w:r>
      <w:r>
        <w:rPr>
          <w:rFonts w:eastAsia="Times New Roman"/>
          <w:szCs w:val="24"/>
          <w:lang w:eastAsia="de-DE"/>
        </w:rPr>
        <w:t>2017</w:t>
      </w:r>
      <w:r w:rsidRPr="00976AA9">
        <w:rPr>
          <w:rFonts w:eastAsia="Times New Roman"/>
          <w:szCs w:val="24"/>
          <w:lang w:eastAsia="de-DE"/>
        </w:rPr>
        <w:t xml:space="preserve"> </w:t>
      </w:r>
      <w:r w:rsidR="00452668" w:rsidRPr="00452668">
        <w:rPr>
          <w:rFonts w:eastAsia="Times New Roman"/>
          <w:szCs w:val="24"/>
          <w:lang w:eastAsia="de-DE"/>
        </w:rPr>
        <w:t xml:space="preserve">setting a framework for energy labelling </w:t>
      </w:r>
      <w:r w:rsidR="002A56F0">
        <w:rPr>
          <w:rFonts w:eastAsia="Times New Roman"/>
          <w:szCs w:val="24"/>
          <w:lang w:eastAsia="de-DE"/>
        </w:rPr>
        <w:t>(</w:t>
      </w:r>
      <w:r>
        <w:rPr>
          <w:rStyle w:val="Fotnotsreferens"/>
          <w:rFonts w:eastAsia="Times New Roman"/>
          <w:szCs w:val="24"/>
          <w:lang w:eastAsia="de-DE"/>
        </w:rPr>
        <w:footnoteReference w:id="13"/>
      </w:r>
      <w:r w:rsidR="002A56F0">
        <w:t xml:space="preserve">) </w:t>
      </w:r>
      <w:r w:rsidR="00452668" w:rsidRPr="00452668">
        <w:rPr>
          <w:rFonts w:eastAsia="Times New Roman"/>
          <w:szCs w:val="24"/>
          <w:lang w:eastAsia="de-DE"/>
        </w:rPr>
        <w:t>repealing Directive 2010/30/EU</w:t>
      </w:r>
      <w:r w:rsidRPr="00976AA9">
        <w:rPr>
          <w:rFonts w:eastAsia="Times New Roman"/>
          <w:szCs w:val="24"/>
          <w:lang w:eastAsia="de-DE"/>
        </w:rPr>
        <w:t>, and in particular Article</w:t>
      </w:r>
      <w:r w:rsidR="00452668">
        <w:rPr>
          <w:rFonts w:eastAsia="Times New Roman"/>
          <w:szCs w:val="24"/>
          <w:lang w:eastAsia="de-DE"/>
        </w:rPr>
        <w:t>s</w:t>
      </w:r>
      <w:r w:rsidRPr="00976AA9">
        <w:rPr>
          <w:rFonts w:eastAsia="Times New Roman"/>
          <w:szCs w:val="24"/>
          <w:lang w:eastAsia="de-DE"/>
        </w:rPr>
        <w:t xml:space="preserve"> 1</w:t>
      </w:r>
      <w:r>
        <w:rPr>
          <w:rFonts w:eastAsia="Times New Roman"/>
          <w:szCs w:val="24"/>
          <w:lang w:eastAsia="de-DE"/>
        </w:rPr>
        <w:t xml:space="preserve">1 </w:t>
      </w:r>
      <w:r w:rsidR="00452668">
        <w:rPr>
          <w:rFonts w:eastAsia="Times New Roman"/>
          <w:szCs w:val="24"/>
          <w:lang w:eastAsia="de-DE"/>
        </w:rPr>
        <w:t xml:space="preserve">and 16 </w:t>
      </w:r>
      <w:r w:rsidRPr="00976AA9">
        <w:rPr>
          <w:rFonts w:eastAsia="Times New Roman"/>
          <w:szCs w:val="24"/>
          <w:lang w:eastAsia="de-DE"/>
        </w:rPr>
        <w:t>thereof,</w:t>
      </w:r>
      <w:r w:rsidR="005F09C2" w:rsidRPr="005F09C2">
        <w:rPr>
          <w:rFonts w:eastAsia="Times New Roman"/>
          <w:szCs w:val="24"/>
          <w:lang w:eastAsia="de-DE"/>
        </w:rPr>
        <w:t xml:space="preserve"> </w:t>
      </w:r>
    </w:p>
    <w:p w14:paraId="0AC63F43" w14:textId="77777777" w:rsidR="000A01E0" w:rsidRPr="00976AA9" w:rsidRDefault="005F09C2" w:rsidP="000A01E0">
      <w:pPr>
        <w:spacing w:before="100" w:beforeAutospacing="1" w:after="100" w:afterAutospacing="1"/>
        <w:rPr>
          <w:rFonts w:eastAsia="Times New Roman"/>
          <w:szCs w:val="24"/>
          <w:lang w:eastAsia="de-DE"/>
        </w:rPr>
      </w:pPr>
      <w:r w:rsidRPr="000A01E0">
        <w:rPr>
          <w:rFonts w:eastAsia="Times New Roman"/>
          <w:szCs w:val="24"/>
          <w:lang w:eastAsia="de-DE"/>
        </w:rPr>
        <w:t>Whereas:</w:t>
      </w:r>
    </w:p>
    <w:p w14:paraId="7275A1DD" w14:textId="77777777" w:rsidR="000A01E0" w:rsidRPr="000A01E0" w:rsidRDefault="000A01E0" w:rsidP="0013046D">
      <w:pPr>
        <w:pStyle w:val="Considrant"/>
        <w:rPr>
          <w:lang w:eastAsia="de-DE"/>
        </w:rPr>
      </w:pPr>
      <w:r w:rsidRPr="000A01E0">
        <w:rPr>
          <w:lang w:eastAsia="de-DE"/>
        </w:rPr>
        <w:t xml:space="preserve">Regulation 2017/1369 </w:t>
      </w:r>
      <w:r w:rsidR="00452668">
        <w:rPr>
          <w:lang w:eastAsia="de-DE"/>
        </w:rPr>
        <w:t>empowers</w:t>
      </w:r>
      <w:r w:rsidR="00452668" w:rsidRPr="000A01E0">
        <w:rPr>
          <w:lang w:eastAsia="de-DE"/>
        </w:rPr>
        <w:t xml:space="preserve"> </w:t>
      </w:r>
      <w:r w:rsidRPr="000A01E0">
        <w:rPr>
          <w:lang w:eastAsia="de-DE"/>
        </w:rPr>
        <w:t xml:space="preserve">the Commission to adopt delegated acts as regards the labelling or re-scaling of the labelling of product </w:t>
      </w:r>
      <w:r w:rsidR="00452668">
        <w:rPr>
          <w:lang w:eastAsia="de-DE"/>
        </w:rPr>
        <w:t xml:space="preserve">groups </w:t>
      </w:r>
      <w:r w:rsidRPr="000A01E0">
        <w:rPr>
          <w:lang w:eastAsia="de-DE"/>
        </w:rPr>
        <w:t xml:space="preserve">representing significant potential for energy savings </w:t>
      </w:r>
      <w:r w:rsidR="005F09C2">
        <w:rPr>
          <w:lang w:eastAsia="de-DE"/>
        </w:rPr>
        <w:t>and</w:t>
      </w:r>
      <w:r w:rsidR="00ED10E7">
        <w:rPr>
          <w:lang w:eastAsia="de-DE"/>
        </w:rPr>
        <w:t>,</w:t>
      </w:r>
      <w:r w:rsidR="005F09C2">
        <w:rPr>
          <w:lang w:eastAsia="de-DE"/>
        </w:rPr>
        <w:t xml:space="preserve"> where relevant</w:t>
      </w:r>
      <w:r w:rsidR="00ED10E7">
        <w:rPr>
          <w:lang w:eastAsia="de-DE"/>
        </w:rPr>
        <w:t>,</w:t>
      </w:r>
      <w:r w:rsidR="005F09C2">
        <w:rPr>
          <w:lang w:eastAsia="de-DE"/>
        </w:rPr>
        <w:t xml:space="preserve"> other resources</w:t>
      </w:r>
      <w:r w:rsidRPr="000A01E0">
        <w:rPr>
          <w:lang w:eastAsia="de-DE"/>
        </w:rPr>
        <w:t>.</w:t>
      </w:r>
    </w:p>
    <w:p w14:paraId="25CF81CA" w14:textId="0075F050" w:rsidR="000A01E0" w:rsidRPr="0013046D" w:rsidRDefault="000A01E0" w:rsidP="002C3580">
      <w:pPr>
        <w:pStyle w:val="Considrant"/>
        <w:rPr>
          <w:lang w:eastAsia="de-DE"/>
        </w:rPr>
      </w:pPr>
      <w:r w:rsidRPr="0013046D">
        <w:rPr>
          <w:lang w:eastAsia="de-DE"/>
        </w:rPr>
        <w:t xml:space="preserve">Provisions on the energy labelling of </w:t>
      </w:r>
      <w:r w:rsidR="00501C58">
        <w:rPr>
          <w:lang w:eastAsia="de-DE"/>
        </w:rPr>
        <w:t>lighting products, namely electrical lamps and luminaires,</w:t>
      </w:r>
      <w:r w:rsidR="001C06FB" w:rsidRPr="0013046D">
        <w:rPr>
          <w:lang w:eastAsia="de-DE"/>
        </w:rPr>
        <w:t xml:space="preserve"> </w:t>
      </w:r>
      <w:r w:rsidRPr="0013046D">
        <w:rPr>
          <w:lang w:eastAsia="de-DE"/>
        </w:rPr>
        <w:t xml:space="preserve">were established by Commission Delegated Regulation (EU) No </w:t>
      </w:r>
      <w:r w:rsidR="003B150A">
        <w:rPr>
          <w:lang w:eastAsia="de-DE"/>
        </w:rPr>
        <w:t>874</w:t>
      </w:r>
      <w:r w:rsidRPr="0013046D">
        <w:rPr>
          <w:lang w:eastAsia="de-DE"/>
        </w:rPr>
        <w:t>/</w:t>
      </w:r>
      <w:r w:rsidR="003B150A">
        <w:rPr>
          <w:lang w:eastAsia="de-DE"/>
        </w:rPr>
        <w:t xml:space="preserve">2012 </w:t>
      </w:r>
      <w:r w:rsidRPr="0013046D">
        <w:rPr>
          <w:lang w:eastAsia="de-DE"/>
        </w:rPr>
        <w:t xml:space="preserve">of </w:t>
      </w:r>
      <w:r w:rsidR="003B150A">
        <w:rPr>
          <w:lang w:eastAsia="de-DE"/>
        </w:rPr>
        <w:t>12 July 2012</w:t>
      </w:r>
      <w:r w:rsidRPr="0013046D">
        <w:rPr>
          <w:lang w:eastAsia="de-DE"/>
        </w:rPr>
        <w:t xml:space="preserve"> supplementing Directive 2010/30/EU</w:t>
      </w:r>
      <w:r w:rsidR="004838DB">
        <w:rPr>
          <w:lang w:eastAsia="de-DE"/>
        </w:rPr>
        <w:t xml:space="preserve"> (</w:t>
      </w:r>
      <w:r w:rsidR="003B150A">
        <w:rPr>
          <w:rStyle w:val="Fotnotsreferens"/>
          <w:lang w:eastAsia="de-DE"/>
        </w:rPr>
        <w:footnoteReference w:id="14"/>
      </w:r>
      <w:r w:rsidR="004838DB">
        <w:rPr>
          <w:lang w:eastAsia="de-DE"/>
        </w:rPr>
        <w:t>) and its successive amendment (</w:t>
      </w:r>
      <w:r w:rsidR="004838DB">
        <w:rPr>
          <w:rStyle w:val="Fotnotsreferens"/>
          <w:lang w:eastAsia="de-DE"/>
        </w:rPr>
        <w:footnoteReference w:id="15"/>
      </w:r>
      <w:r w:rsidR="002A56F0">
        <w:rPr>
          <w:lang w:eastAsia="de-DE"/>
        </w:rPr>
        <w:t>).</w:t>
      </w:r>
    </w:p>
    <w:p w14:paraId="24B2E871" w14:textId="77777777" w:rsidR="00452668" w:rsidRPr="0013046D" w:rsidRDefault="00501C58" w:rsidP="0013046D">
      <w:pPr>
        <w:pStyle w:val="Considrant"/>
        <w:rPr>
          <w:lang w:eastAsia="de-DE"/>
        </w:rPr>
      </w:pPr>
      <w:r>
        <w:rPr>
          <w:lang w:eastAsia="de-DE"/>
        </w:rPr>
        <w:t>Lighting products</w:t>
      </w:r>
      <w:r w:rsidR="001C06FB" w:rsidRPr="0013046D">
        <w:rPr>
          <w:lang w:eastAsia="de-DE"/>
        </w:rPr>
        <w:t xml:space="preserve"> </w:t>
      </w:r>
      <w:r w:rsidR="00452668" w:rsidRPr="0013046D">
        <w:rPr>
          <w:lang w:eastAsia="de-DE"/>
        </w:rPr>
        <w:t>are among the product groups mentioned in Article 11(5)(b) of Regulation (EU) 2017/1369 for which the Commission should adopt a delegated act to introduce an A to G rescaled labe</w:t>
      </w:r>
      <w:r w:rsidR="001230AF" w:rsidRPr="0013046D">
        <w:rPr>
          <w:lang w:eastAsia="de-DE"/>
        </w:rPr>
        <w:t>l</w:t>
      </w:r>
      <w:r w:rsidR="00ED10E7" w:rsidRPr="0013046D">
        <w:rPr>
          <w:lang w:eastAsia="de-DE"/>
        </w:rPr>
        <w:t>.</w:t>
      </w:r>
    </w:p>
    <w:p w14:paraId="7E8C0A84" w14:textId="77777777" w:rsidR="00ED10E7" w:rsidRPr="0013046D" w:rsidRDefault="00ED10E7" w:rsidP="0013046D">
      <w:pPr>
        <w:pStyle w:val="Considrant"/>
        <w:rPr>
          <w:lang w:eastAsia="de-DE"/>
        </w:rPr>
      </w:pPr>
      <w:r w:rsidRPr="0013046D">
        <w:rPr>
          <w:lang w:eastAsia="de-DE"/>
        </w:rPr>
        <w:t xml:space="preserve">Regulation </w:t>
      </w:r>
      <w:r w:rsidR="001C06FB" w:rsidRPr="0013046D">
        <w:rPr>
          <w:lang w:eastAsia="de-DE"/>
        </w:rPr>
        <w:t xml:space="preserve">(EU) No </w:t>
      </w:r>
      <w:r w:rsidR="00501C58">
        <w:rPr>
          <w:lang w:eastAsia="de-DE"/>
        </w:rPr>
        <w:t>874/2012</w:t>
      </w:r>
      <w:r w:rsidRPr="0013046D">
        <w:rPr>
          <w:lang w:eastAsia="de-DE"/>
        </w:rPr>
        <w:t xml:space="preserve"> contains a review clause in Article </w:t>
      </w:r>
      <w:r w:rsidR="00501C58">
        <w:rPr>
          <w:lang w:eastAsia="de-DE"/>
        </w:rPr>
        <w:t>7</w:t>
      </w:r>
      <w:r w:rsidRPr="0013046D">
        <w:rPr>
          <w:lang w:eastAsia="de-DE"/>
        </w:rPr>
        <w:t xml:space="preserve"> requiring the Commission to review the regulation in light of technological progress. </w:t>
      </w:r>
    </w:p>
    <w:p w14:paraId="5D7C777E" w14:textId="77777777" w:rsidR="000A01E0" w:rsidRPr="0013046D" w:rsidRDefault="000A01E0" w:rsidP="0013046D">
      <w:pPr>
        <w:pStyle w:val="Considrant"/>
        <w:rPr>
          <w:lang w:eastAsia="de-DE"/>
        </w:rPr>
      </w:pPr>
      <w:r w:rsidRPr="0013046D">
        <w:rPr>
          <w:lang w:eastAsia="de-DE"/>
        </w:rPr>
        <w:t xml:space="preserve">The Commission has reviewed Regulation </w:t>
      </w:r>
      <w:r w:rsidR="001C06FB" w:rsidRPr="0013046D">
        <w:rPr>
          <w:lang w:eastAsia="de-DE"/>
        </w:rPr>
        <w:t xml:space="preserve">(EU) No </w:t>
      </w:r>
      <w:r w:rsidR="00501C58">
        <w:rPr>
          <w:lang w:eastAsia="de-DE"/>
        </w:rPr>
        <w:t>874/2012</w:t>
      </w:r>
      <w:r w:rsidR="001C06FB" w:rsidRPr="0013046D">
        <w:rPr>
          <w:lang w:eastAsia="de-DE"/>
        </w:rPr>
        <w:t xml:space="preserve"> </w:t>
      </w:r>
      <w:r w:rsidR="006133BF" w:rsidRPr="0013046D">
        <w:rPr>
          <w:lang w:eastAsia="de-DE"/>
        </w:rPr>
        <w:t xml:space="preserve">and </w:t>
      </w:r>
      <w:r w:rsidRPr="0013046D">
        <w:rPr>
          <w:lang w:eastAsia="de-DE"/>
        </w:rPr>
        <w:t xml:space="preserve">analysed technical, environmental and economic aspects of as well as real-life user behaviour. The </w:t>
      </w:r>
      <w:r w:rsidR="006133BF" w:rsidRPr="0013046D">
        <w:rPr>
          <w:lang w:eastAsia="de-DE"/>
        </w:rPr>
        <w:t>review was undertaken in close cooperation with</w:t>
      </w:r>
      <w:r w:rsidRPr="0013046D">
        <w:rPr>
          <w:lang w:eastAsia="de-DE"/>
        </w:rPr>
        <w:t xml:space="preserve"> stakeholders and interested parties from the Union and third countries. The results of the </w:t>
      </w:r>
      <w:r w:rsidR="006133BF" w:rsidRPr="0013046D">
        <w:rPr>
          <w:lang w:eastAsia="de-DE"/>
        </w:rPr>
        <w:t>review were</w:t>
      </w:r>
      <w:r w:rsidRPr="0013046D">
        <w:rPr>
          <w:lang w:eastAsia="de-DE"/>
        </w:rPr>
        <w:t xml:space="preserve"> made public and presented to the Consultation Forum established by Article 1</w:t>
      </w:r>
      <w:r w:rsidR="00672F71" w:rsidRPr="0013046D">
        <w:rPr>
          <w:lang w:eastAsia="de-DE"/>
        </w:rPr>
        <w:t>4</w:t>
      </w:r>
      <w:r w:rsidRPr="0013046D">
        <w:rPr>
          <w:lang w:eastAsia="de-DE"/>
        </w:rPr>
        <w:t xml:space="preserve"> of </w:t>
      </w:r>
      <w:r w:rsidR="001C06FB" w:rsidRPr="0013046D">
        <w:rPr>
          <w:lang w:eastAsia="de-DE"/>
        </w:rPr>
        <w:t>Regulation (EU) 2017/1369</w:t>
      </w:r>
      <w:r w:rsidRPr="0013046D">
        <w:rPr>
          <w:lang w:eastAsia="de-DE"/>
        </w:rPr>
        <w:t xml:space="preserve">. </w:t>
      </w:r>
    </w:p>
    <w:p w14:paraId="0B00FB43" w14:textId="77777777" w:rsidR="000A01E0" w:rsidRPr="0013046D" w:rsidRDefault="000A01E0" w:rsidP="0013046D">
      <w:pPr>
        <w:pStyle w:val="Considrant"/>
        <w:rPr>
          <w:lang w:eastAsia="de-DE"/>
        </w:rPr>
      </w:pPr>
      <w:r w:rsidRPr="0013046D">
        <w:rPr>
          <w:lang w:eastAsia="de-DE"/>
        </w:rPr>
        <w:t xml:space="preserve">The </w:t>
      </w:r>
      <w:r w:rsidR="006133BF" w:rsidRPr="0013046D">
        <w:rPr>
          <w:lang w:eastAsia="de-DE"/>
        </w:rPr>
        <w:t>review</w:t>
      </w:r>
      <w:r w:rsidRPr="0013046D">
        <w:rPr>
          <w:lang w:eastAsia="de-DE"/>
        </w:rPr>
        <w:t xml:space="preserve"> concluded that there was a need for the introduction of revised energy labelling requirements for </w:t>
      </w:r>
      <w:r w:rsidR="00501C58">
        <w:rPr>
          <w:lang w:eastAsia="de-DE"/>
        </w:rPr>
        <w:t>lighting products, namely light sources</w:t>
      </w:r>
      <w:r w:rsidRPr="0013046D">
        <w:rPr>
          <w:lang w:eastAsia="de-DE"/>
        </w:rPr>
        <w:t xml:space="preserve">.  </w:t>
      </w:r>
    </w:p>
    <w:p w14:paraId="3FB3EEB0" w14:textId="77777777" w:rsidR="005C0DB0" w:rsidRPr="0013046D" w:rsidRDefault="000A01E0" w:rsidP="0013046D">
      <w:pPr>
        <w:pStyle w:val="Considrant"/>
        <w:rPr>
          <w:lang w:eastAsia="de-DE"/>
        </w:rPr>
      </w:pPr>
      <w:r w:rsidRPr="0013046D">
        <w:rPr>
          <w:lang w:eastAsia="de-DE"/>
        </w:rPr>
        <w:lastRenderedPageBreak/>
        <w:t xml:space="preserve">The environmental aspect of </w:t>
      </w:r>
      <w:r w:rsidR="00501C58">
        <w:rPr>
          <w:lang w:eastAsia="de-DE"/>
        </w:rPr>
        <w:t>light sources</w:t>
      </w:r>
      <w:r w:rsidRPr="0013046D">
        <w:rPr>
          <w:lang w:eastAsia="de-DE"/>
        </w:rPr>
        <w:t xml:space="preserve">, identified as </w:t>
      </w:r>
      <w:r w:rsidR="00501C58">
        <w:rPr>
          <w:lang w:eastAsia="de-DE"/>
        </w:rPr>
        <w:t xml:space="preserve">the most </w:t>
      </w:r>
      <w:r w:rsidRPr="0013046D">
        <w:rPr>
          <w:lang w:eastAsia="de-DE"/>
        </w:rPr>
        <w:t xml:space="preserve">significant for the purposes of this Regulation, </w:t>
      </w:r>
      <w:r w:rsidR="00501C58">
        <w:rPr>
          <w:lang w:eastAsia="de-DE"/>
        </w:rPr>
        <w:t>is</w:t>
      </w:r>
      <w:r w:rsidRPr="0013046D">
        <w:rPr>
          <w:lang w:eastAsia="de-DE"/>
        </w:rPr>
        <w:t xml:space="preserve"> </w:t>
      </w:r>
      <w:r w:rsidR="00501C58">
        <w:rPr>
          <w:lang w:eastAsia="de-DE"/>
        </w:rPr>
        <w:t>electricity</w:t>
      </w:r>
      <w:r w:rsidRPr="0013046D">
        <w:rPr>
          <w:lang w:eastAsia="de-DE"/>
        </w:rPr>
        <w:t xml:space="preserve"> consumption in the use phase. </w:t>
      </w:r>
    </w:p>
    <w:p w14:paraId="74D8BC5D" w14:textId="77777777" w:rsidR="000A01E0" w:rsidRPr="0013046D" w:rsidRDefault="004030C0" w:rsidP="0013046D">
      <w:pPr>
        <w:pStyle w:val="Considrant"/>
        <w:rPr>
          <w:lang w:eastAsia="de-DE"/>
        </w:rPr>
      </w:pPr>
      <w:r w:rsidRPr="00CB4EFC">
        <w:rPr>
          <w:rStyle w:val="Marker"/>
          <w:color w:val="000000" w:themeColor="text1"/>
        </w:rPr>
        <w:t xml:space="preserve">The electricity used by </w:t>
      </w:r>
      <w:r>
        <w:rPr>
          <w:rStyle w:val="Marker"/>
          <w:color w:val="000000" w:themeColor="text1"/>
        </w:rPr>
        <w:t>light sources</w:t>
      </w:r>
      <w:r w:rsidRPr="00CB4EFC">
        <w:rPr>
          <w:rStyle w:val="Marker"/>
          <w:color w:val="000000" w:themeColor="text1"/>
        </w:rPr>
        <w:t xml:space="preserve"> accounts for a significant share of total household electricity demand in the Union. </w:t>
      </w:r>
      <w:r w:rsidR="000A01E0" w:rsidRPr="0013046D">
        <w:rPr>
          <w:lang w:eastAsia="de-DE"/>
        </w:rPr>
        <w:t xml:space="preserve">The </w:t>
      </w:r>
      <w:r w:rsidR="00C51010" w:rsidRPr="0013046D">
        <w:rPr>
          <w:lang w:eastAsia="de-DE"/>
        </w:rPr>
        <w:t>review has</w:t>
      </w:r>
      <w:r w:rsidR="000A01E0" w:rsidRPr="0013046D">
        <w:rPr>
          <w:lang w:eastAsia="de-DE"/>
        </w:rPr>
        <w:t xml:space="preserve"> show</w:t>
      </w:r>
      <w:r w:rsidR="00C51010" w:rsidRPr="0013046D">
        <w:rPr>
          <w:lang w:eastAsia="de-DE"/>
        </w:rPr>
        <w:t xml:space="preserve">n </w:t>
      </w:r>
      <w:r w:rsidR="000A01E0" w:rsidRPr="0013046D">
        <w:rPr>
          <w:lang w:eastAsia="de-DE"/>
        </w:rPr>
        <w:t>that the electricity consumption of products subject to this Regulation can be further significantly reduced by imp</w:t>
      </w:r>
      <w:r w:rsidR="00501C58">
        <w:rPr>
          <w:lang w:eastAsia="de-DE"/>
        </w:rPr>
        <w:t>lementing energy label measures</w:t>
      </w:r>
      <w:r w:rsidR="000A01E0" w:rsidRPr="0013046D">
        <w:rPr>
          <w:lang w:eastAsia="de-DE"/>
        </w:rPr>
        <w:t>.</w:t>
      </w:r>
      <w:r w:rsidR="00501C58">
        <w:rPr>
          <w:lang w:eastAsia="de-DE"/>
        </w:rPr>
        <w:t xml:space="preserve"> </w:t>
      </w:r>
    </w:p>
    <w:p w14:paraId="39BF213D" w14:textId="77777777" w:rsidR="00672F71" w:rsidRPr="0013046D" w:rsidRDefault="00672F71" w:rsidP="006500C8">
      <w:pPr>
        <w:pStyle w:val="Considrant"/>
        <w:rPr>
          <w:lang w:eastAsia="de-DE"/>
        </w:rPr>
      </w:pPr>
      <w:r w:rsidRPr="0013046D">
        <w:rPr>
          <w:lang w:eastAsia="de-DE"/>
        </w:rPr>
        <w:t xml:space="preserve">The measures provided for in this Regulation </w:t>
      </w:r>
      <w:r w:rsidR="006500C8">
        <w:rPr>
          <w:lang w:eastAsia="de-DE"/>
        </w:rPr>
        <w:t xml:space="preserve">were discussed </w:t>
      </w:r>
      <w:r w:rsidR="006500C8" w:rsidRPr="006500C8">
        <w:rPr>
          <w:lang w:eastAsia="de-DE"/>
        </w:rPr>
        <w:t>by the Consultation Forum and the Member States' experts</w:t>
      </w:r>
      <w:r w:rsidRPr="0013046D">
        <w:rPr>
          <w:lang w:eastAsia="de-DE"/>
        </w:rPr>
        <w:t xml:space="preserve"> in accordance </w:t>
      </w:r>
      <w:r w:rsidR="006500C8" w:rsidRPr="0013046D">
        <w:rPr>
          <w:lang w:eastAsia="de-DE"/>
        </w:rPr>
        <w:t>Article</w:t>
      </w:r>
      <w:r w:rsidR="006500C8">
        <w:rPr>
          <w:lang w:eastAsia="de-DE"/>
        </w:rPr>
        <w:t xml:space="preserve">s 14 and </w:t>
      </w:r>
      <w:r w:rsidRPr="0013046D">
        <w:rPr>
          <w:lang w:eastAsia="de-DE"/>
        </w:rPr>
        <w:t>18 of Regulation (EU) 2017/1369.</w:t>
      </w:r>
    </w:p>
    <w:p w14:paraId="746AF8E6" w14:textId="77777777" w:rsidR="000A01E0" w:rsidRPr="0013046D" w:rsidRDefault="00C51010" w:rsidP="0013046D">
      <w:pPr>
        <w:pStyle w:val="Considrant"/>
        <w:rPr>
          <w:lang w:eastAsia="de-DE"/>
        </w:rPr>
      </w:pPr>
      <w:r w:rsidRPr="0013046D">
        <w:rPr>
          <w:lang w:eastAsia="de-DE"/>
        </w:rPr>
        <w:t xml:space="preserve">Regulation </w:t>
      </w:r>
      <w:r w:rsidR="00501C58">
        <w:rPr>
          <w:lang w:eastAsia="de-DE"/>
        </w:rPr>
        <w:t>874</w:t>
      </w:r>
      <w:r w:rsidRPr="0013046D">
        <w:rPr>
          <w:lang w:eastAsia="de-DE"/>
        </w:rPr>
        <w:t>/</w:t>
      </w:r>
      <w:r w:rsidR="00501C58">
        <w:rPr>
          <w:lang w:eastAsia="de-DE"/>
        </w:rPr>
        <w:t>2012</w:t>
      </w:r>
      <w:r w:rsidR="005C0DB0" w:rsidRPr="0013046D">
        <w:rPr>
          <w:lang w:eastAsia="de-DE"/>
        </w:rPr>
        <w:t xml:space="preserve"> </w:t>
      </w:r>
      <w:r w:rsidRPr="0013046D">
        <w:rPr>
          <w:lang w:eastAsia="de-DE"/>
        </w:rPr>
        <w:t>should be repealed and new provisions should be laid down by this Regulation.</w:t>
      </w:r>
    </w:p>
    <w:p w14:paraId="46DB844B" w14:textId="77777777" w:rsidR="002D3967" w:rsidRPr="00937BA9" w:rsidRDefault="002D3967" w:rsidP="000A01E0">
      <w:r w:rsidRPr="00937BA9">
        <w:t>HAS ADOPTED THIS REGULATION:</w:t>
      </w:r>
    </w:p>
    <w:p w14:paraId="6E6F0B15" w14:textId="77777777" w:rsidR="002D3967" w:rsidRPr="00937BA9" w:rsidRDefault="001230AF" w:rsidP="009343DF">
      <w:pPr>
        <w:pStyle w:val="Titrearticle"/>
      </w:pPr>
      <w:r>
        <w:t>Article</w:t>
      </w:r>
      <w:r w:rsidRPr="00937BA9">
        <w:t xml:space="preserve"> </w:t>
      </w:r>
      <w:r w:rsidR="002D3967" w:rsidRPr="00937BA9">
        <w:t>1</w:t>
      </w:r>
    </w:p>
    <w:p w14:paraId="35091CAA"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Subject matter and scope</w:t>
      </w:r>
    </w:p>
    <w:p w14:paraId="399D7F4C" w14:textId="77777777" w:rsidR="002D3967" w:rsidRPr="001D6F95" w:rsidRDefault="000A01E0" w:rsidP="00587C44">
      <w:pPr>
        <w:spacing w:before="100" w:beforeAutospacing="1" w:after="100" w:afterAutospacing="1"/>
      </w:pPr>
      <w:r w:rsidRPr="00454E10">
        <w:rPr>
          <w:rFonts w:eastAsia="Times New Roman"/>
          <w:szCs w:val="24"/>
          <w:lang w:eastAsia="de-DE"/>
        </w:rPr>
        <w:t>This Regulation establishes requirements for the labelling of</w:t>
      </w:r>
      <w:r w:rsidR="001230AF">
        <w:rPr>
          <w:rFonts w:eastAsia="Times New Roman"/>
          <w:szCs w:val="24"/>
          <w:lang w:eastAsia="de-DE"/>
        </w:rPr>
        <w:t>,</w:t>
      </w:r>
      <w:r w:rsidRPr="00454E10">
        <w:rPr>
          <w:rFonts w:eastAsia="Times New Roman"/>
          <w:szCs w:val="24"/>
          <w:lang w:eastAsia="de-DE"/>
        </w:rPr>
        <w:t xml:space="preserve"> and the provision of supplementary product information on</w:t>
      </w:r>
      <w:r w:rsidR="001230AF">
        <w:rPr>
          <w:rFonts w:eastAsia="Times New Roman"/>
          <w:szCs w:val="24"/>
          <w:lang w:eastAsia="de-DE"/>
        </w:rPr>
        <w:t>,</w:t>
      </w:r>
      <w:r w:rsidRPr="00454E10">
        <w:rPr>
          <w:rFonts w:eastAsia="Times New Roman"/>
          <w:szCs w:val="24"/>
          <w:lang w:eastAsia="de-DE"/>
        </w:rPr>
        <w:t xml:space="preserve"> </w:t>
      </w:r>
      <w:r w:rsidR="007D7D87">
        <w:rPr>
          <w:rFonts w:eastAsia="Times New Roman"/>
          <w:szCs w:val="24"/>
          <w:lang w:eastAsia="de-DE"/>
        </w:rPr>
        <w:t>light sources</w:t>
      </w:r>
      <w:r w:rsidR="005F69DC">
        <w:rPr>
          <w:rFonts w:eastAsia="Times New Roman"/>
          <w:szCs w:val="24"/>
          <w:lang w:eastAsia="de-DE"/>
        </w:rPr>
        <w:t>, with or without integrated control gear</w:t>
      </w:r>
      <w:r w:rsidRPr="00454E10">
        <w:rPr>
          <w:rFonts w:eastAsia="Times New Roman"/>
          <w:szCs w:val="24"/>
          <w:lang w:eastAsia="de-DE"/>
        </w:rPr>
        <w:t>.</w:t>
      </w:r>
      <w:r>
        <w:rPr>
          <w:rFonts w:eastAsia="Times New Roman"/>
          <w:szCs w:val="24"/>
          <w:lang w:eastAsia="de-DE"/>
        </w:rPr>
        <w:t xml:space="preserve"> </w:t>
      </w:r>
      <w:r w:rsidR="00DF02E6" w:rsidRPr="00FC5690">
        <w:t xml:space="preserve">The requirements also apply to </w:t>
      </w:r>
      <w:r w:rsidR="00DF02E6" w:rsidRPr="001D6F95">
        <w:t xml:space="preserve">light sources placed on the market in a containing product. </w:t>
      </w:r>
    </w:p>
    <w:p w14:paraId="6A2962C5" w14:textId="77777777" w:rsidR="00DF02E6" w:rsidRPr="00587C44" w:rsidRDefault="00DB6368" w:rsidP="00587C44">
      <w:pPr>
        <w:spacing w:before="100" w:beforeAutospacing="1" w:after="100" w:afterAutospacing="1"/>
        <w:rPr>
          <w:rStyle w:val="Marker"/>
          <w:rFonts w:ascii="Arial" w:hAnsi="Arial" w:cstheme="minorBidi"/>
          <w:color w:val="auto"/>
          <w:sz w:val="22"/>
        </w:rPr>
      </w:pPr>
      <w:r w:rsidRPr="001D6F95">
        <w:t>This Regulation shall not apply to light sources specified in Annex I points 1 and 2. Light sources specified in Annex I point 3 shall only</w:t>
      </w:r>
      <w:r w:rsidR="006500C8" w:rsidRPr="001D6F95">
        <w:t xml:space="preserve"> be subject to</w:t>
      </w:r>
      <w:r w:rsidRPr="001D6F95">
        <w:t xml:space="preserve"> the requirements of Annex </w:t>
      </w:r>
      <w:r w:rsidR="000D5437" w:rsidRPr="001D6F95">
        <w:t xml:space="preserve">V </w:t>
      </w:r>
      <w:r w:rsidRPr="001D6F95">
        <w:t xml:space="preserve">point </w:t>
      </w:r>
      <w:r w:rsidR="001D6F95" w:rsidRPr="001D6F95">
        <w:t>5</w:t>
      </w:r>
      <w:r w:rsidRPr="001D6F95">
        <w:t>.</w:t>
      </w:r>
    </w:p>
    <w:p w14:paraId="50BF0970" w14:textId="77777777" w:rsidR="00E52260" w:rsidRPr="00937BA9" w:rsidRDefault="001230AF" w:rsidP="00E52260">
      <w:pPr>
        <w:pStyle w:val="Titrearticle"/>
      </w:pPr>
      <w:r>
        <w:t xml:space="preserve">Article </w:t>
      </w:r>
      <w:r w:rsidR="00E52260">
        <w:t>2</w:t>
      </w:r>
    </w:p>
    <w:p w14:paraId="4BDA00C7"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Definitions</w:t>
      </w:r>
    </w:p>
    <w:p w14:paraId="055CAC23" w14:textId="77777777" w:rsidR="000A01E0" w:rsidRDefault="000A01E0" w:rsidP="0090308B">
      <w:pPr>
        <w:spacing w:before="100" w:beforeAutospacing="1" w:after="100" w:afterAutospacing="1"/>
        <w:rPr>
          <w:rFonts w:eastAsia="Times New Roman"/>
          <w:szCs w:val="24"/>
          <w:lang w:eastAsia="de-DE"/>
        </w:rPr>
      </w:pPr>
      <w:r w:rsidRPr="00976AA9">
        <w:rPr>
          <w:rFonts w:eastAsia="Times New Roman"/>
          <w:szCs w:val="24"/>
          <w:lang w:eastAsia="de-DE"/>
        </w:rPr>
        <w:t xml:space="preserve">In addition to the definitions laid down in Article 2 of </w:t>
      </w:r>
      <w:r w:rsidR="00DB6368">
        <w:rPr>
          <w:rFonts w:eastAsia="Times New Roman"/>
          <w:szCs w:val="24"/>
          <w:lang w:eastAsia="de-DE"/>
        </w:rPr>
        <w:t>Regulation (EU) 2017/1369</w:t>
      </w:r>
      <w:r w:rsidRPr="00976AA9">
        <w:rPr>
          <w:rFonts w:eastAsia="Times New Roman"/>
          <w:szCs w:val="24"/>
          <w:lang w:eastAsia="de-DE"/>
        </w:rPr>
        <w:t>, the following definitions shall apply for the purposes of this Regulation:</w:t>
      </w:r>
    </w:p>
    <w:p w14:paraId="4F446606" w14:textId="77777777" w:rsidR="00DF02E6" w:rsidRPr="00E96ECC" w:rsidRDefault="00DF02E6" w:rsidP="00DF02E6">
      <w:pPr>
        <w:pStyle w:val="Point0number"/>
        <w:numPr>
          <w:ilvl w:val="0"/>
          <w:numId w:val="29"/>
        </w:numPr>
        <w:tabs>
          <w:tab w:val="clear" w:pos="850"/>
          <w:tab w:val="num" w:pos="567"/>
        </w:tabs>
        <w:ind w:left="567" w:hanging="567"/>
      </w:pPr>
      <w:r w:rsidRPr="00E96ECC">
        <w:rPr>
          <w:i/>
        </w:rPr>
        <w:t>‘light source’</w:t>
      </w:r>
      <w:r w:rsidRPr="00E96ECC">
        <w:t xml:space="preserve"> means an electrically operated product intended to emit and/or be possibly tuned to emit light with the following optical characteristics:</w:t>
      </w:r>
    </w:p>
    <w:p w14:paraId="0E0ACD93" w14:textId="77777777" w:rsidR="00DF02E6" w:rsidRPr="00E96ECC" w:rsidRDefault="00DF02E6" w:rsidP="00DF02E6">
      <w:pPr>
        <w:pStyle w:val="Point0letter"/>
        <w:numPr>
          <w:ilvl w:val="1"/>
          <w:numId w:val="30"/>
        </w:numPr>
        <w:tabs>
          <w:tab w:val="clear" w:pos="850"/>
          <w:tab w:val="num" w:pos="1134"/>
        </w:tabs>
        <w:ind w:left="1134" w:hanging="567"/>
      </w:pPr>
      <w:r w:rsidRPr="00E96ECC">
        <w:t xml:space="preserve">chromaticity coordinates x and y in the range </w:t>
      </w:r>
    </w:p>
    <w:p w14:paraId="4F7D2843" w14:textId="77777777" w:rsidR="00DF02E6" w:rsidRPr="00E96ECC" w:rsidRDefault="00DF02E6" w:rsidP="00DF02E6">
      <w:pPr>
        <w:pStyle w:val="Point0letter"/>
        <w:numPr>
          <w:ilvl w:val="0"/>
          <w:numId w:val="0"/>
        </w:numPr>
        <w:tabs>
          <w:tab w:val="num" w:pos="1134"/>
        </w:tabs>
        <w:ind w:left="1134" w:hanging="567"/>
      </w:pPr>
      <w:r w:rsidRPr="00E96ECC">
        <w:rPr>
          <w:color w:val="FF0000"/>
        </w:rPr>
        <w:t xml:space="preserve"> </w:t>
      </w:r>
      <w:r w:rsidRPr="00E96ECC">
        <w:rPr>
          <w:color w:val="FF0000"/>
        </w:rPr>
        <w:tab/>
      </w:r>
      <w:r w:rsidRPr="00E96ECC">
        <w:t xml:space="preserve">0,270 &lt; x &lt; 0,530 and  </w:t>
      </w:r>
    </w:p>
    <w:p w14:paraId="0F7E8475" w14:textId="77777777" w:rsidR="00DF02E6" w:rsidRPr="00E96ECC" w:rsidRDefault="00DF02E6" w:rsidP="00DF02E6">
      <w:pPr>
        <w:pStyle w:val="Liststycke"/>
        <w:tabs>
          <w:tab w:val="num" w:pos="1134"/>
        </w:tabs>
        <w:ind w:left="1134" w:hanging="567"/>
        <w:rPr>
          <w:rFonts w:ascii="Times New Roman" w:hAnsi="Times New Roman" w:cs="Times New Roman"/>
          <w:sz w:val="24"/>
        </w:rPr>
      </w:pPr>
      <w:r w:rsidRPr="00E96ECC">
        <w:tab/>
      </w:r>
      <w:r w:rsidRPr="00E96ECC">
        <w:rPr>
          <w:rFonts w:ascii="Times New Roman" w:hAnsi="Times New Roman" w:cs="Times New Roman"/>
          <w:sz w:val="24"/>
        </w:rPr>
        <w:t>– 2,3172  x</w:t>
      </w:r>
      <w:r w:rsidRPr="00E96ECC">
        <w:rPr>
          <w:rFonts w:ascii="Times New Roman" w:hAnsi="Times New Roman" w:cs="Times New Roman"/>
          <w:sz w:val="24"/>
          <w:vertAlign w:val="superscript"/>
        </w:rPr>
        <w:t>2</w:t>
      </w:r>
      <w:r w:rsidRPr="00E96ECC">
        <w:rPr>
          <w:rFonts w:ascii="Times New Roman" w:hAnsi="Times New Roman" w:cs="Times New Roman"/>
          <w:sz w:val="24"/>
        </w:rPr>
        <w:t xml:space="preserve"> + 2,3653  x – 0,2199  &lt;  y &lt; – 2,3172  x</w:t>
      </w:r>
      <w:r w:rsidRPr="00E96ECC">
        <w:rPr>
          <w:rFonts w:ascii="Times New Roman" w:hAnsi="Times New Roman" w:cs="Times New Roman"/>
          <w:sz w:val="24"/>
          <w:vertAlign w:val="superscript"/>
        </w:rPr>
        <w:t>2</w:t>
      </w:r>
      <w:r w:rsidRPr="00E96ECC">
        <w:rPr>
          <w:rFonts w:ascii="Times New Roman" w:hAnsi="Times New Roman" w:cs="Times New Roman"/>
          <w:sz w:val="24"/>
        </w:rPr>
        <w:t xml:space="preserve"> + 2,3653  x – 0,1595;</w:t>
      </w:r>
    </w:p>
    <w:p w14:paraId="03AC487C" w14:textId="77777777" w:rsidR="00DF02E6" w:rsidRPr="00E96ECC" w:rsidRDefault="00DF02E6" w:rsidP="00DF02E6">
      <w:pPr>
        <w:pStyle w:val="Point0letter"/>
        <w:numPr>
          <w:ilvl w:val="1"/>
          <w:numId w:val="30"/>
        </w:numPr>
        <w:tabs>
          <w:tab w:val="clear" w:pos="850"/>
          <w:tab w:val="num" w:pos="1134"/>
        </w:tabs>
        <w:ind w:left="1134" w:hanging="567"/>
      </w:pPr>
      <w:r w:rsidRPr="00E96ECC">
        <w:t xml:space="preserve">a luminous flux &lt; 1000 </w:t>
      </w:r>
      <w:r w:rsidRPr="00E96ECC">
        <w:rPr>
          <w:i/>
        </w:rPr>
        <w:t>lm per mm²</w:t>
      </w:r>
      <w:r w:rsidRPr="00E96ECC">
        <w:t xml:space="preserve"> of projected light-emitting surface area</w:t>
      </w:r>
      <w:r w:rsidR="0090308B">
        <w:t xml:space="preserve"> as specified in Annex II</w:t>
      </w:r>
      <w:r w:rsidRPr="00E96ECC">
        <w:t>;</w:t>
      </w:r>
    </w:p>
    <w:p w14:paraId="03657792" w14:textId="77777777" w:rsidR="00DF02E6" w:rsidRDefault="00DF02E6" w:rsidP="00DF02E6">
      <w:pPr>
        <w:pStyle w:val="Point0letter"/>
        <w:numPr>
          <w:ilvl w:val="1"/>
          <w:numId w:val="30"/>
        </w:numPr>
        <w:tabs>
          <w:tab w:val="clear" w:pos="850"/>
          <w:tab w:val="num" w:pos="1134"/>
        </w:tabs>
        <w:ind w:left="1134" w:hanging="567"/>
      </w:pPr>
      <w:r w:rsidRPr="00E96ECC">
        <w:t xml:space="preserve">a luminous flux between 60 and 82 000 </w:t>
      </w:r>
      <w:r w:rsidRPr="00E96ECC">
        <w:rPr>
          <w:i/>
        </w:rPr>
        <w:t>lumen</w:t>
      </w:r>
      <w:r w:rsidRPr="00E96ECC">
        <w:t>;</w:t>
      </w:r>
    </w:p>
    <w:p w14:paraId="66A8CA31" w14:textId="77777777" w:rsidR="00DF02E6" w:rsidRPr="00E96ECC" w:rsidRDefault="00DF02E6" w:rsidP="00DF02E6">
      <w:pPr>
        <w:pStyle w:val="Point0letter"/>
        <w:numPr>
          <w:ilvl w:val="1"/>
          <w:numId w:val="30"/>
        </w:numPr>
        <w:tabs>
          <w:tab w:val="clear" w:pos="850"/>
          <w:tab w:val="num" w:pos="1134"/>
        </w:tabs>
        <w:ind w:left="1134" w:hanging="567"/>
      </w:pPr>
      <w:r w:rsidRPr="00E96ECC">
        <w:t xml:space="preserve">a colour rendering index CRI &gt; 0 </w:t>
      </w:r>
      <w:r w:rsidRPr="00E96ECC">
        <w:rPr>
          <w:i/>
        </w:rPr>
        <w:t>Ra</w:t>
      </w:r>
      <w:r w:rsidRPr="00E96ECC">
        <w:t>;</w:t>
      </w:r>
    </w:p>
    <w:p w14:paraId="7461B5CE" w14:textId="77777777" w:rsidR="00DF02E6" w:rsidRPr="00E96ECC" w:rsidRDefault="00DF02E6" w:rsidP="00DF02E6">
      <w:pPr>
        <w:pStyle w:val="Point0letter"/>
        <w:numPr>
          <w:ilvl w:val="0"/>
          <w:numId w:val="0"/>
        </w:numPr>
        <w:tabs>
          <w:tab w:val="num" w:pos="567"/>
        </w:tabs>
        <w:ind w:left="567"/>
      </w:pPr>
      <w:r w:rsidRPr="00E96ECC">
        <w:t xml:space="preserve">using incandescence, fluorescence, high-intensity discharge, light emitting diodes or their combinations as lighting technology. </w:t>
      </w:r>
    </w:p>
    <w:p w14:paraId="63889147" w14:textId="77777777" w:rsidR="00DF02E6" w:rsidRDefault="00DF02E6" w:rsidP="00DF02E6">
      <w:pPr>
        <w:pStyle w:val="Point0letter"/>
        <w:numPr>
          <w:ilvl w:val="0"/>
          <w:numId w:val="0"/>
        </w:numPr>
        <w:tabs>
          <w:tab w:val="num" w:pos="567"/>
        </w:tabs>
        <w:ind w:left="567"/>
      </w:pPr>
      <w:r w:rsidRPr="00E96ECC">
        <w:lastRenderedPageBreak/>
        <w:t xml:space="preserve">High-pressure sodium light emitters (HPS, as defined in Annex II) that do not fulfil condition (1)(a) are anyway considered light sources in the sense of this Regulation. </w:t>
      </w:r>
    </w:p>
    <w:p w14:paraId="2472B3D6" w14:textId="1B50E8FC" w:rsidR="00E61081" w:rsidRPr="00E96ECC" w:rsidRDefault="00E61081" w:rsidP="00DF02E6">
      <w:pPr>
        <w:pStyle w:val="Point0letter"/>
        <w:numPr>
          <w:ilvl w:val="0"/>
          <w:numId w:val="0"/>
        </w:numPr>
        <w:tabs>
          <w:tab w:val="num" w:pos="567"/>
        </w:tabs>
        <w:ind w:left="567"/>
      </w:pPr>
      <w:r>
        <w:t>I</w:t>
      </w:r>
      <w:r w:rsidRPr="00E61081">
        <w:t>f a contain</w:t>
      </w:r>
      <w:r>
        <w:t>i</w:t>
      </w:r>
      <w:r w:rsidRPr="00E61081">
        <w:t>ng product is itself a lig</w:t>
      </w:r>
      <w:r>
        <w:t>ht source, the light source to be considered for t</w:t>
      </w:r>
      <w:r w:rsidRPr="00E61081">
        <w:t>he purpose of this Regulation is the smallest physical unit that can be readily removed from the contain</w:t>
      </w:r>
      <w:r>
        <w:t>i</w:t>
      </w:r>
      <w:r w:rsidRPr="00E61081">
        <w:t>ng product without permanent mechanical damage</w:t>
      </w:r>
      <w:r w:rsidR="00D576B4">
        <w:t xml:space="preserve"> and that meets the definition for light source.</w:t>
      </w:r>
    </w:p>
    <w:p w14:paraId="093A2AEF" w14:textId="77777777" w:rsidR="00DF02E6" w:rsidRPr="009D3CE9" w:rsidRDefault="00DF02E6" w:rsidP="00DF02E6">
      <w:pPr>
        <w:pStyle w:val="Point0number"/>
        <w:numPr>
          <w:ilvl w:val="0"/>
          <w:numId w:val="30"/>
        </w:numPr>
        <w:tabs>
          <w:tab w:val="clear" w:pos="992"/>
          <w:tab w:val="num" w:pos="567"/>
        </w:tabs>
        <w:ind w:left="567" w:hanging="567"/>
      </w:pPr>
      <w:r w:rsidRPr="00341263">
        <w:rPr>
          <w:i/>
        </w:rPr>
        <w:t>‘control gear’</w:t>
      </w:r>
      <w:r w:rsidRPr="00341263">
        <w:t xml:space="preserve"> means one or more devices, possibly integrated in a light source, intended to prepare the mains</w:t>
      </w:r>
      <w:r w:rsidRPr="009D3CE9">
        <w:t xml:space="preserve"> electricity supply for the electric format required by one or more specific light sources within boundary conditions set by electric safety and electromagnetic compatibility. It may include transforming the supply and starting voltage, limiting operational and preheating current, preventing cold starting, correcting the power factor and/or reducing radio interference.</w:t>
      </w:r>
    </w:p>
    <w:p w14:paraId="178DDA02" w14:textId="77777777" w:rsidR="00DF02E6" w:rsidRPr="00341263" w:rsidRDefault="00DF02E6" w:rsidP="00DF02E6">
      <w:pPr>
        <w:pStyle w:val="Point0number"/>
        <w:numPr>
          <w:ilvl w:val="0"/>
          <w:numId w:val="30"/>
        </w:numPr>
        <w:tabs>
          <w:tab w:val="clear" w:pos="992"/>
          <w:tab w:val="num" w:pos="567"/>
        </w:tabs>
        <w:ind w:left="567" w:hanging="567"/>
      </w:pPr>
      <w:r w:rsidRPr="009D3CE9">
        <w:rPr>
          <w:i/>
        </w:rPr>
        <w:t>'containing product'</w:t>
      </w:r>
      <w:r w:rsidRPr="009D3CE9">
        <w:t xml:space="preserve"> means a product containing one or more light sources in scope of this Regulation</w:t>
      </w:r>
      <w:r w:rsidRPr="00FC5690">
        <w:t xml:space="preserve">. Suppliers of containing products shall enable verification by </w:t>
      </w:r>
      <w:r w:rsidRPr="00341263">
        <w:t>market surveillance authorities of compliance of light source(s) as set out in Annex VI.</w:t>
      </w:r>
    </w:p>
    <w:p w14:paraId="37F147A2" w14:textId="77777777" w:rsidR="00DF02E6" w:rsidRPr="00341263" w:rsidRDefault="00DF02E6" w:rsidP="00DF02E6">
      <w:pPr>
        <w:pStyle w:val="Point0number"/>
        <w:numPr>
          <w:ilvl w:val="0"/>
          <w:numId w:val="30"/>
        </w:numPr>
        <w:tabs>
          <w:tab w:val="clear" w:pos="992"/>
          <w:tab w:val="num" w:pos="567"/>
        </w:tabs>
        <w:ind w:left="567" w:hanging="567"/>
      </w:pPr>
      <w:r w:rsidRPr="00341263">
        <w:rPr>
          <w:i/>
        </w:rPr>
        <w:t xml:space="preserve">'light' </w:t>
      </w:r>
      <w:r w:rsidRPr="00341263">
        <w:t xml:space="preserve">means electromagnetic radiation with a wavelength between 380 </w:t>
      </w:r>
      <w:r w:rsidRPr="00341263">
        <w:rPr>
          <w:i/>
        </w:rPr>
        <w:t>nm</w:t>
      </w:r>
      <w:r w:rsidRPr="00341263">
        <w:t xml:space="preserve"> and 780 </w:t>
      </w:r>
      <w:r w:rsidRPr="00341263">
        <w:rPr>
          <w:i/>
        </w:rPr>
        <w:t>nm.</w:t>
      </w:r>
    </w:p>
    <w:p w14:paraId="3E55E193" w14:textId="77777777" w:rsidR="00DF02E6" w:rsidRPr="009D3CE9" w:rsidRDefault="00DF02E6" w:rsidP="00DF02E6">
      <w:pPr>
        <w:pStyle w:val="Point0number"/>
        <w:numPr>
          <w:ilvl w:val="0"/>
          <w:numId w:val="30"/>
        </w:numPr>
        <w:tabs>
          <w:tab w:val="clear" w:pos="992"/>
          <w:tab w:val="num" w:pos="567"/>
        </w:tabs>
        <w:ind w:left="567" w:hanging="567"/>
      </w:pPr>
      <w:r w:rsidRPr="009D3CE9">
        <w:rPr>
          <w:i/>
        </w:rPr>
        <w:t>‘mains’</w:t>
      </w:r>
      <w:r w:rsidRPr="009D3CE9">
        <w:t xml:space="preserve"> or </w:t>
      </w:r>
      <w:r w:rsidRPr="009D3CE9">
        <w:rPr>
          <w:i/>
        </w:rPr>
        <w:t>‘mains voltage’</w:t>
      </w:r>
      <w:r w:rsidRPr="009D3CE9">
        <w:t xml:space="preserve"> or </w:t>
      </w:r>
      <w:r w:rsidRPr="009D3CE9">
        <w:rPr>
          <w:i/>
        </w:rPr>
        <w:t>‘mains electricity supply’</w:t>
      </w:r>
      <w:r w:rsidRPr="009D3CE9">
        <w:t xml:space="preserve"> (MV) means the electricity supply of 230 (±10%) </w:t>
      </w:r>
      <w:r w:rsidRPr="009D3CE9">
        <w:rPr>
          <w:i/>
        </w:rPr>
        <w:t>Volt</w:t>
      </w:r>
      <w:r w:rsidRPr="009D3CE9">
        <w:t xml:space="preserve"> of alternating current at 50 </w:t>
      </w:r>
      <w:r w:rsidRPr="009D3CE9">
        <w:rPr>
          <w:i/>
        </w:rPr>
        <w:t>Hz</w:t>
      </w:r>
      <w:r w:rsidRPr="009D3CE9">
        <w:t>.</w:t>
      </w:r>
    </w:p>
    <w:p w14:paraId="7FBBA86E" w14:textId="77777777" w:rsidR="00DF02E6" w:rsidRDefault="00DF02E6" w:rsidP="00DF02E6">
      <w:pPr>
        <w:pStyle w:val="Point0number"/>
        <w:numPr>
          <w:ilvl w:val="0"/>
          <w:numId w:val="30"/>
        </w:numPr>
        <w:tabs>
          <w:tab w:val="clear" w:pos="992"/>
          <w:tab w:val="num" w:pos="567"/>
        </w:tabs>
        <w:ind w:left="567" w:hanging="567"/>
      </w:pPr>
      <w:r w:rsidRPr="009D3CE9">
        <w:rPr>
          <w:i/>
        </w:rPr>
        <w:t>'chromaticity'</w:t>
      </w:r>
      <w:r w:rsidRPr="009D3CE9">
        <w:t xml:space="preserve"> means the property of a colour stimulus defined by its chromaticity coordinates (x and y).</w:t>
      </w:r>
    </w:p>
    <w:p w14:paraId="5D39709B" w14:textId="77777777" w:rsidR="00DF02E6" w:rsidRPr="009D3CE9" w:rsidRDefault="00DF02E6" w:rsidP="00AB50C2">
      <w:pPr>
        <w:pStyle w:val="Point0number"/>
        <w:numPr>
          <w:ilvl w:val="0"/>
          <w:numId w:val="30"/>
        </w:numPr>
        <w:tabs>
          <w:tab w:val="clear" w:pos="992"/>
          <w:tab w:val="num" w:pos="567"/>
        </w:tabs>
        <w:ind w:left="567" w:hanging="567"/>
      </w:pPr>
      <w:r w:rsidRPr="00AB50C2">
        <w:rPr>
          <w:i/>
        </w:rPr>
        <w:t>'luminous flux'</w:t>
      </w:r>
      <w:r w:rsidRPr="009D3CE9">
        <w:t xml:space="preserve"> or </w:t>
      </w:r>
      <w:r w:rsidRPr="00AB50C2">
        <w:rPr>
          <w:i/>
        </w:rPr>
        <w:t>‘flux’</w:t>
      </w:r>
      <w:r w:rsidRPr="009D3CE9">
        <w:t xml:space="preserve"> (Φ), expressed in lumen (</w:t>
      </w:r>
      <w:r w:rsidRPr="00AB50C2">
        <w:rPr>
          <w:i/>
        </w:rPr>
        <w:t>lm</w:t>
      </w:r>
      <w:r w:rsidRPr="009D3CE9">
        <w:t xml:space="preserve">), means the quantity derived from radiant flux (radiant power) by evaluating the electromagnetic radiation in accordance with the spectral sensitivity of the human eye. It refers to the total flux emitted by a light source in a solid angle of 4π </w:t>
      </w:r>
      <w:r w:rsidRPr="00AB50C2">
        <w:rPr>
          <w:i/>
        </w:rPr>
        <w:t>steradians</w:t>
      </w:r>
      <w:r w:rsidRPr="009D3CE9">
        <w:t xml:space="preserve"> under conditions (e.g. current, voltage, temperature) specified in applicable standards. It refers to the initial flux for the undimmed light source after a short operating period, unless it is clearly specified that the flux in a dimmed condition or the flux after a given period of operation is intended.</w:t>
      </w:r>
      <w:r w:rsidR="005015BD">
        <w:t xml:space="preserve"> </w:t>
      </w:r>
      <w:r w:rsidR="005015BD" w:rsidRPr="00AB50C2">
        <w:rPr>
          <w:i/>
        </w:rPr>
        <w:t>'Luminous flux</w:t>
      </w:r>
      <w:r w:rsidR="005015BD" w:rsidRPr="00CD720A">
        <w:t>’ without further specification is the total luminous flux in a 360˚ sphere</w:t>
      </w:r>
      <w:r w:rsidR="005015BD">
        <w:t xml:space="preserve">. </w:t>
      </w:r>
      <w:r w:rsidRPr="009D3CE9">
        <w:t>For light sources that can be tuned to emit different light spectra and/or different maximum light intensities, it refers to the flux in the ‘reference control settings’ as defined in Annex II.</w:t>
      </w:r>
    </w:p>
    <w:p w14:paraId="7FA1D2D4" w14:textId="77777777" w:rsidR="00DF02E6" w:rsidRPr="009D3CE9" w:rsidRDefault="00DF02E6" w:rsidP="00DF02E6">
      <w:pPr>
        <w:pStyle w:val="Point0number"/>
        <w:numPr>
          <w:ilvl w:val="0"/>
          <w:numId w:val="30"/>
        </w:numPr>
        <w:tabs>
          <w:tab w:val="clear" w:pos="992"/>
          <w:tab w:val="num" w:pos="567"/>
        </w:tabs>
        <w:ind w:left="567" w:hanging="567"/>
      </w:pPr>
      <w:r w:rsidRPr="009D3CE9">
        <w:rPr>
          <w:i/>
        </w:rPr>
        <w:t>'colour rendering index'</w:t>
      </w:r>
      <w:r w:rsidRPr="009D3CE9">
        <w:t xml:space="preserve"> (CRI), expressed in </w:t>
      </w:r>
      <w:r w:rsidRPr="009D3CE9">
        <w:rPr>
          <w:i/>
        </w:rPr>
        <w:t>Ra</w:t>
      </w:r>
      <w:r w:rsidRPr="009D3CE9">
        <w:t>, means the effect of an illuminant on the colour appearance of objects by conscious or subconscious comparison with their colour appearance under the reference illuminant. For the purposes of this Regulation it refers to the mean of colour rendering indices for a set of 8 test colour samples as specified in standards (</w:t>
      </w:r>
      <w:r w:rsidRPr="009D3CE9">
        <w:rPr>
          <w:i/>
        </w:rPr>
        <w:t>Ra8</w:t>
      </w:r>
      <w:r w:rsidRPr="009D3CE9">
        <w:t>).</w:t>
      </w:r>
    </w:p>
    <w:p w14:paraId="7E221E20" w14:textId="77777777" w:rsidR="00DF02E6" w:rsidRPr="009D3CE9" w:rsidRDefault="00DF02E6" w:rsidP="00DF02E6">
      <w:pPr>
        <w:pStyle w:val="Point0number"/>
        <w:numPr>
          <w:ilvl w:val="0"/>
          <w:numId w:val="30"/>
        </w:numPr>
        <w:tabs>
          <w:tab w:val="clear" w:pos="992"/>
          <w:tab w:val="num" w:pos="567"/>
        </w:tabs>
        <w:ind w:left="567" w:hanging="567"/>
      </w:pPr>
      <w:r w:rsidRPr="009D3CE9">
        <w:rPr>
          <w:i/>
        </w:rPr>
        <w:t>‘incandescence’</w:t>
      </w:r>
      <w:r w:rsidRPr="009D3CE9">
        <w:t xml:space="preserve"> means a phenomenon where light is produced from heat, in light sources typically produced through a threadlike conductor (‘filament’) which is heated by the passage of an electric current.</w:t>
      </w:r>
    </w:p>
    <w:p w14:paraId="7DEAAF6D" w14:textId="77777777" w:rsidR="00DF02E6" w:rsidRPr="009D3CE9" w:rsidRDefault="00DF02E6" w:rsidP="00DF02E6">
      <w:pPr>
        <w:pStyle w:val="Point0number"/>
        <w:numPr>
          <w:ilvl w:val="0"/>
          <w:numId w:val="30"/>
        </w:numPr>
        <w:tabs>
          <w:tab w:val="clear" w:pos="992"/>
          <w:tab w:val="num" w:pos="567"/>
        </w:tabs>
        <w:ind w:left="567" w:hanging="567"/>
      </w:pPr>
      <w:r w:rsidRPr="009D3CE9">
        <w:rPr>
          <w:i/>
        </w:rPr>
        <w:t>‘halogen light source’</w:t>
      </w:r>
      <w:r w:rsidRPr="009D3CE9">
        <w:t xml:space="preserve"> (HL) means an incandescent light source with a threadlike conductor made from tungsten surrounded by gas containing halogens or halogen compounds.</w:t>
      </w:r>
      <w:r w:rsidRPr="009D3CE9">
        <w:rPr>
          <w:color w:val="1A171C"/>
          <w:sz w:val="20"/>
          <w:szCs w:val="20"/>
        </w:rPr>
        <w:t xml:space="preserve"> </w:t>
      </w:r>
    </w:p>
    <w:p w14:paraId="2F58E7E7" w14:textId="77777777" w:rsidR="00DF02E6" w:rsidRPr="009D3CE9" w:rsidRDefault="00DF02E6" w:rsidP="00DF02E6">
      <w:pPr>
        <w:pStyle w:val="Point0number"/>
        <w:numPr>
          <w:ilvl w:val="0"/>
          <w:numId w:val="30"/>
        </w:numPr>
        <w:tabs>
          <w:tab w:val="clear" w:pos="992"/>
          <w:tab w:val="num" w:pos="567"/>
        </w:tabs>
        <w:ind w:left="567" w:hanging="567"/>
      </w:pPr>
      <w:r w:rsidRPr="009D3CE9">
        <w:rPr>
          <w:i/>
        </w:rPr>
        <w:t>‘gas discharge’</w:t>
      </w:r>
      <w:r w:rsidRPr="009D3CE9">
        <w:t xml:space="preserve"> means a phenomenon where light is produced, directly or indirectly, by an electric discharge through a gas, plasma, metal vapour or mixture of gases and vapours.</w:t>
      </w:r>
    </w:p>
    <w:p w14:paraId="00C553C7" w14:textId="77777777" w:rsidR="00DF02E6" w:rsidRPr="009D3CE9" w:rsidRDefault="00DF02E6" w:rsidP="00DF02E6">
      <w:pPr>
        <w:pStyle w:val="Point0number"/>
        <w:numPr>
          <w:ilvl w:val="0"/>
          <w:numId w:val="30"/>
        </w:numPr>
        <w:tabs>
          <w:tab w:val="clear" w:pos="992"/>
          <w:tab w:val="num" w:pos="567"/>
        </w:tabs>
        <w:ind w:left="567" w:hanging="567"/>
      </w:pPr>
      <w:r w:rsidRPr="009D3CE9">
        <w:rPr>
          <w:i/>
        </w:rPr>
        <w:lastRenderedPageBreak/>
        <w:t>‘high intensity discharge’</w:t>
      </w:r>
      <w:r w:rsidRPr="009D3CE9">
        <w:t xml:space="preserve"> (HID) means an electric gas discharge in which the light- producing arc is stabilised by wall temperature and the arc has a bulb wall loading in excess of 3 </w:t>
      </w:r>
      <w:r w:rsidRPr="009D3CE9">
        <w:rPr>
          <w:i/>
        </w:rPr>
        <w:t>Watts per square centimetre</w:t>
      </w:r>
      <w:r w:rsidRPr="009D3CE9">
        <w:t>.  For the purpose of this Regulation, HID light sources are limited to metal halide, high pressure sodium and mercury vapour types as defined in Annex II.</w:t>
      </w:r>
    </w:p>
    <w:p w14:paraId="2D2B9804" w14:textId="77777777" w:rsidR="00DF02E6" w:rsidRPr="009D3CE9" w:rsidRDefault="00DF02E6" w:rsidP="00DF02E6">
      <w:pPr>
        <w:pStyle w:val="Point0number"/>
        <w:numPr>
          <w:ilvl w:val="0"/>
          <w:numId w:val="30"/>
        </w:numPr>
        <w:tabs>
          <w:tab w:val="clear" w:pos="992"/>
          <w:tab w:val="num" w:pos="567"/>
        </w:tabs>
        <w:ind w:left="567" w:hanging="567"/>
      </w:pPr>
      <w:r w:rsidRPr="009D3CE9">
        <w:rPr>
          <w:i/>
        </w:rPr>
        <w:t>‘fluorescence’</w:t>
      </w:r>
      <w:r w:rsidRPr="009D3CE9">
        <w:t xml:space="preserve"> or </w:t>
      </w:r>
      <w:r w:rsidRPr="009D3CE9">
        <w:rPr>
          <w:i/>
        </w:rPr>
        <w:t>‘fluorescent light source’</w:t>
      </w:r>
      <w:r w:rsidRPr="009D3CE9">
        <w:t xml:space="preserve"> (FL) means the phenomenon or a light source using an electric gas discharge of the low-pressure mercury type in which most of the light is emitted by one or more layers of phosphors excited by the ultraviolet radiation from the discharge. Fluorescent light sources may have one ('single-capped') or two ('double-capped') connections (‘caps’) to their electricity supply. For the purposes of this Regulation, magnetic induction light sources are also considered as fluorescent light sources.</w:t>
      </w:r>
    </w:p>
    <w:p w14:paraId="7C73970F" w14:textId="77777777" w:rsidR="00DF02E6" w:rsidRPr="009D3CE9" w:rsidRDefault="00DF02E6" w:rsidP="00DF02E6">
      <w:pPr>
        <w:pStyle w:val="Point0number"/>
        <w:numPr>
          <w:ilvl w:val="0"/>
          <w:numId w:val="30"/>
        </w:numPr>
        <w:tabs>
          <w:tab w:val="clear" w:pos="992"/>
          <w:tab w:val="num" w:pos="567"/>
        </w:tabs>
        <w:ind w:left="567" w:hanging="567"/>
      </w:pPr>
      <w:r w:rsidRPr="001E5BC4">
        <w:rPr>
          <w:i/>
        </w:rPr>
        <w:t>‘inorganic light emitting diode’</w:t>
      </w:r>
      <w:r w:rsidRPr="009D3CE9">
        <w:t xml:space="preserve"> (LED) means a technology in which light is produced from a solid state device embodying a p-n junction of inorganic material. The junction emits optical radiation when excited by an electric current.</w:t>
      </w:r>
    </w:p>
    <w:p w14:paraId="79771C56" w14:textId="77777777" w:rsidR="00DF02E6" w:rsidRPr="009D3CE9" w:rsidRDefault="00DF02E6" w:rsidP="00DF02E6">
      <w:pPr>
        <w:pStyle w:val="Point0number"/>
        <w:numPr>
          <w:ilvl w:val="0"/>
          <w:numId w:val="30"/>
        </w:numPr>
        <w:tabs>
          <w:tab w:val="clear" w:pos="992"/>
          <w:tab w:val="num" w:pos="567"/>
        </w:tabs>
        <w:ind w:left="567" w:hanging="567"/>
      </w:pPr>
      <w:r w:rsidRPr="001E5BC4">
        <w:rPr>
          <w:i/>
        </w:rPr>
        <w:t>‘organic light emitting diode’</w:t>
      </w:r>
      <w:r w:rsidRPr="009D3CE9">
        <w:t xml:space="preserve"> (OLED) means a technology in which light is produced from a solid state device embodying a p-n junction of organic material. The junction emits optical radiation when excited by an electric current.</w:t>
      </w:r>
    </w:p>
    <w:p w14:paraId="6986F777" w14:textId="77777777" w:rsidR="00DF02E6" w:rsidRDefault="00DF02E6" w:rsidP="00DF02E6">
      <w:pPr>
        <w:pStyle w:val="Point0number"/>
        <w:numPr>
          <w:ilvl w:val="0"/>
          <w:numId w:val="30"/>
        </w:numPr>
        <w:tabs>
          <w:tab w:val="clear" w:pos="992"/>
          <w:tab w:val="num" w:pos="567"/>
        </w:tabs>
        <w:ind w:left="567" w:hanging="567"/>
      </w:pPr>
      <w:r w:rsidRPr="00651363">
        <w:t>‘point of sale’ means a physical location where the product is displayed or offered for sale, hire or hire-purchase</w:t>
      </w:r>
      <w:r w:rsidRPr="00CC7D81">
        <w:t xml:space="preserve"> to the end-user</w:t>
      </w:r>
      <w:r>
        <w:t>.</w:t>
      </w:r>
    </w:p>
    <w:p w14:paraId="79D0838B" w14:textId="77777777" w:rsidR="00DF02E6" w:rsidRDefault="00DF02E6" w:rsidP="00DF02E6">
      <w:pPr>
        <w:pStyle w:val="Point0number"/>
        <w:numPr>
          <w:ilvl w:val="0"/>
          <w:numId w:val="30"/>
        </w:numPr>
        <w:tabs>
          <w:tab w:val="clear" w:pos="992"/>
          <w:tab w:val="num" w:pos="567"/>
        </w:tabs>
        <w:ind w:left="567" w:hanging="567"/>
      </w:pPr>
      <w:r w:rsidRPr="00D90C6E">
        <w:rPr>
          <w:i/>
        </w:rPr>
        <w:t>‘end-user’</w:t>
      </w:r>
      <w:r w:rsidRPr="00D90C6E">
        <w:t xml:space="preserve"> means a natural person buying or expected to buy a product for purposes which are outside his</w:t>
      </w:r>
      <w:r w:rsidRPr="00CC7D81">
        <w:t xml:space="preserve"> trade, business, craft or profession</w:t>
      </w:r>
      <w:r>
        <w:t>.</w:t>
      </w:r>
    </w:p>
    <w:p w14:paraId="4F535A3D" w14:textId="77777777" w:rsidR="00DF02E6" w:rsidRDefault="00DF02E6" w:rsidP="00DF02E6">
      <w:pPr>
        <w:pStyle w:val="Point0number"/>
        <w:numPr>
          <w:ilvl w:val="0"/>
          <w:numId w:val="30"/>
        </w:numPr>
        <w:tabs>
          <w:tab w:val="clear" w:pos="992"/>
          <w:tab w:val="num" w:pos="567"/>
        </w:tabs>
        <w:ind w:left="567" w:hanging="567"/>
      </w:pPr>
      <w:r w:rsidRPr="00341263">
        <w:rPr>
          <w:i/>
        </w:rPr>
        <w:t>'final owner'</w:t>
      </w:r>
      <w:r w:rsidRPr="00341263">
        <w:t xml:space="preserve"> means the entity owning a product during the use phase of its life cycle, or any other</w:t>
      </w:r>
      <w:r w:rsidRPr="008C30FA">
        <w:t xml:space="preserve"> entity acting on its behalf.</w:t>
      </w:r>
    </w:p>
    <w:p w14:paraId="4BB9C1FB" w14:textId="77777777" w:rsidR="00DB6368" w:rsidRDefault="00DB6368" w:rsidP="00DB6368">
      <w:pPr>
        <w:pStyle w:val="Point0number"/>
        <w:numPr>
          <w:ilvl w:val="0"/>
          <w:numId w:val="0"/>
        </w:numPr>
        <w:ind w:left="567"/>
        <w:rPr>
          <w:i/>
        </w:rPr>
      </w:pPr>
    </w:p>
    <w:p w14:paraId="3053A2A3" w14:textId="77777777" w:rsidR="00DB6368" w:rsidRDefault="00DB6368" w:rsidP="00DB6368">
      <w:pPr>
        <w:pStyle w:val="Point0number"/>
        <w:numPr>
          <w:ilvl w:val="0"/>
          <w:numId w:val="0"/>
        </w:numPr>
        <w:ind w:left="850" w:hanging="850"/>
      </w:pPr>
      <w:r>
        <w:t>Other definitions are set out in Annex II.</w:t>
      </w:r>
    </w:p>
    <w:p w14:paraId="139302A3" w14:textId="77777777" w:rsidR="00C87079" w:rsidRPr="00937BA9" w:rsidRDefault="00F4726A" w:rsidP="00384F27">
      <w:pPr>
        <w:pStyle w:val="Titrearticle"/>
      </w:pPr>
      <w:r>
        <w:rPr>
          <w:lang w:eastAsia="de-DE"/>
        </w:rPr>
        <w:t>Article</w:t>
      </w:r>
      <w:r w:rsidR="00C87079">
        <w:t xml:space="preserve"> 3</w:t>
      </w:r>
    </w:p>
    <w:p w14:paraId="09D8DC45" w14:textId="77777777" w:rsidR="000A01E0" w:rsidRDefault="00F4726A" w:rsidP="000A01E0">
      <w:pPr>
        <w:spacing w:before="100" w:beforeAutospacing="1" w:after="100" w:afterAutospacing="1"/>
        <w:jc w:val="center"/>
        <w:rPr>
          <w:rFonts w:eastAsia="Times New Roman"/>
          <w:b/>
          <w:i/>
          <w:szCs w:val="24"/>
          <w:lang w:eastAsia="de-DE"/>
        </w:rPr>
      </w:pPr>
      <w:r>
        <w:rPr>
          <w:rFonts w:eastAsia="Times New Roman"/>
          <w:b/>
          <w:i/>
          <w:szCs w:val="24"/>
          <w:lang w:eastAsia="de-DE"/>
        </w:rPr>
        <w:t>Obligations</w:t>
      </w:r>
      <w:r w:rsidRPr="00976AA9">
        <w:rPr>
          <w:rFonts w:eastAsia="Times New Roman"/>
          <w:b/>
          <w:i/>
          <w:szCs w:val="24"/>
          <w:lang w:eastAsia="de-DE"/>
        </w:rPr>
        <w:t xml:space="preserve"> </w:t>
      </w:r>
      <w:r w:rsidR="000A01E0" w:rsidRPr="00976AA9">
        <w:rPr>
          <w:rFonts w:eastAsia="Times New Roman"/>
          <w:b/>
          <w:i/>
          <w:szCs w:val="24"/>
          <w:lang w:eastAsia="de-DE"/>
        </w:rPr>
        <w:t>of suppliers</w:t>
      </w:r>
    </w:p>
    <w:p w14:paraId="5F86E741" w14:textId="77777777" w:rsidR="000A01E0" w:rsidRPr="002C3580" w:rsidRDefault="00F4726A" w:rsidP="000173AE">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C7435F">
        <w:rPr>
          <w:rFonts w:ascii="Times New Roman" w:eastAsia="Times New Roman" w:hAnsi="Times New Roman" w:cs="Times New Roman"/>
          <w:sz w:val="24"/>
          <w:szCs w:val="24"/>
          <w:lang w:val="en-GB" w:eastAsia="de-DE"/>
        </w:rPr>
        <w:t>In addition to the obligations of suppliers laid down in Regulation (EU) 2017/1369</w:t>
      </w:r>
      <w:r w:rsidRPr="00C7435F">
        <w:rPr>
          <w:rFonts w:eastAsia="Times New Roman"/>
          <w:szCs w:val="24"/>
          <w:lang w:val="en-GB" w:eastAsia="de-DE"/>
        </w:rPr>
        <w:t>,</w:t>
      </w:r>
      <w:r w:rsidR="00197041">
        <w:rPr>
          <w:rFonts w:eastAsia="Times New Roman"/>
          <w:szCs w:val="24"/>
          <w:lang w:val="en-GB" w:eastAsia="de-DE"/>
        </w:rPr>
        <w:t xml:space="preserve"> </w:t>
      </w:r>
      <w:r w:rsidRPr="002C3580">
        <w:rPr>
          <w:rFonts w:ascii="Times New Roman" w:eastAsia="Times New Roman" w:hAnsi="Times New Roman" w:cs="Times New Roman"/>
          <w:sz w:val="24"/>
          <w:szCs w:val="24"/>
          <w:lang w:val="en-GB" w:eastAsia="de-DE"/>
        </w:rPr>
        <w:t>s</w:t>
      </w:r>
      <w:r w:rsidR="000A01E0" w:rsidRPr="002C3580">
        <w:rPr>
          <w:rFonts w:ascii="Times New Roman" w:eastAsia="Times New Roman" w:hAnsi="Times New Roman" w:cs="Times New Roman"/>
          <w:sz w:val="24"/>
          <w:szCs w:val="24"/>
          <w:lang w:val="en-GB" w:eastAsia="de-DE"/>
        </w:rPr>
        <w:t>uppliers shall ensure that:</w:t>
      </w:r>
    </w:p>
    <w:p w14:paraId="55629E8D" w14:textId="77777777" w:rsidR="000A01E0" w:rsidRPr="002C3580" w:rsidRDefault="000A01E0" w:rsidP="000A01E0">
      <w:pPr>
        <w:pStyle w:val="Liststycke"/>
        <w:spacing w:before="100" w:beforeAutospacing="1" w:after="100" w:afterAutospacing="1" w:line="240" w:lineRule="auto"/>
        <w:jc w:val="left"/>
        <w:rPr>
          <w:rFonts w:ascii="Times New Roman" w:eastAsia="Times New Roman" w:hAnsi="Times New Roman" w:cs="Times New Roman"/>
          <w:sz w:val="24"/>
          <w:szCs w:val="24"/>
          <w:lang w:val="en-GB" w:eastAsia="de-DE"/>
        </w:rPr>
      </w:pPr>
    </w:p>
    <w:p w14:paraId="43695D51" w14:textId="77777777" w:rsidR="000A01E0" w:rsidRPr="002C3580" w:rsidRDefault="003A5718" w:rsidP="000A01E0">
      <w:pPr>
        <w:pStyle w:val="Liststycke"/>
        <w:numPr>
          <w:ilvl w:val="0"/>
          <w:numId w:val="22"/>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2C3580">
        <w:rPr>
          <w:rFonts w:ascii="Times New Roman" w:eastAsia="Times New Roman" w:hAnsi="Times New Roman" w:cs="Times New Roman"/>
          <w:sz w:val="24"/>
          <w:szCs w:val="24"/>
          <w:lang w:val="en-GB" w:eastAsia="de-DE"/>
        </w:rPr>
        <w:t>e</w:t>
      </w:r>
      <w:r w:rsidR="000A01E0" w:rsidRPr="002C3580">
        <w:rPr>
          <w:rFonts w:ascii="Times New Roman" w:eastAsia="Times New Roman" w:hAnsi="Times New Roman" w:cs="Times New Roman"/>
          <w:sz w:val="24"/>
          <w:szCs w:val="24"/>
          <w:lang w:val="en-GB" w:eastAsia="de-DE"/>
        </w:rPr>
        <w:t>ach</w:t>
      </w:r>
      <w:r w:rsidR="005C0DB0" w:rsidRPr="002C3580">
        <w:rPr>
          <w:rFonts w:ascii="Times New Roman" w:eastAsia="Times New Roman" w:hAnsi="Times New Roman" w:cs="Times New Roman"/>
          <w:sz w:val="24"/>
          <w:szCs w:val="24"/>
          <w:lang w:val="en-GB" w:eastAsia="de-DE"/>
        </w:rPr>
        <w:t xml:space="preserve"> </w:t>
      </w:r>
      <w:r w:rsidR="00BC3F3E" w:rsidRPr="002C3580">
        <w:rPr>
          <w:rFonts w:ascii="Times New Roman" w:eastAsia="Times New Roman" w:hAnsi="Times New Roman" w:cs="Times New Roman"/>
          <w:sz w:val="24"/>
          <w:szCs w:val="24"/>
          <w:lang w:val="en-GB" w:eastAsia="de-DE"/>
        </w:rPr>
        <w:t>light source</w:t>
      </w:r>
      <w:r w:rsidR="005C0DB0" w:rsidRPr="002C3580">
        <w:rPr>
          <w:rFonts w:ascii="Times New Roman" w:eastAsia="Times New Roman" w:hAnsi="Times New Roman" w:cs="Times New Roman"/>
          <w:sz w:val="24"/>
          <w:szCs w:val="24"/>
          <w:lang w:val="en-GB" w:eastAsia="de-DE"/>
        </w:rPr>
        <w:t xml:space="preserve"> </w:t>
      </w:r>
      <w:r w:rsidR="000A01E0" w:rsidRPr="002C3580">
        <w:rPr>
          <w:rFonts w:ascii="Times New Roman" w:eastAsia="Times New Roman" w:hAnsi="Times New Roman" w:cs="Times New Roman"/>
          <w:sz w:val="24"/>
          <w:szCs w:val="24"/>
          <w:lang w:val="en-GB" w:eastAsia="de-DE"/>
        </w:rPr>
        <w:t xml:space="preserve">is supplied with a printed label in the format </w:t>
      </w:r>
      <w:r w:rsidR="005C0DB0" w:rsidRPr="002C3580">
        <w:rPr>
          <w:rFonts w:ascii="Times New Roman" w:eastAsia="Times New Roman" w:hAnsi="Times New Roman" w:cs="Times New Roman"/>
          <w:sz w:val="24"/>
          <w:szCs w:val="24"/>
          <w:lang w:val="en-GB" w:eastAsia="de-DE"/>
        </w:rPr>
        <w:t>as set out in Annex II</w:t>
      </w:r>
      <w:r w:rsidR="00C7435F" w:rsidRPr="002C3580">
        <w:rPr>
          <w:rFonts w:ascii="Times New Roman" w:eastAsia="Times New Roman" w:hAnsi="Times New Roman" w:cs="Times New Roman"/>
          <w:sz w:val="24"/>
          <w:szCs w:val="24"/>
          <w:lang w:val="en-GB" w:eastAsia="de-DE"/>
        </w:rPr>
        <w:t>I</w:t>
      </w:r>
      <w:r w:rsidR="000A01E0" w:rsidRPr="002C3580">
        <w:rPr>
          <w:rFonts w:ascii="Times New Roman" w:eastAsia="Times New Roman" w:hAnsi="Times New Roman" w:cs="Times New Roman"/>
          <w:sz w:val="24"/>
          <w:szCs w:val="24"/>
          <w:lang w:val="en-GB" w:eastAsia="de-DE"/>
        </w:rPr>
        <w:t>;</w:t>
      </w:r>
    </w:p>
    <w:p w14:paraId="3C2DBAF4" w14:textId="77777777" w:rsidR="00153F1B" w:rsidRPr="002C3580" w:rsidRDefault="00AB3DBB" w:rsidP="00BD2A1A">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2C3580">
        <w:rPr>
          <w:rFonts w:ascii="Times New Roman" w:eastAsia="Times New Roman" w:hAnsi="Times New Roman" w:cs="Times New Roman"/>
          <w:sz w:val="24"/>
          <w:szCs w:val="24"/>
          <w:lang w:val="en-GB" w:eastAsia="de-DE"/>
        </w:rPr>
        <w:t xml:space="preserve">the parameters of the </w:t>
      </w:r>
      <w:r w:rsidR="000A01E0" w:rsidRPr="002C3580">
        <w:rPr>
          <w:rFonts w:ascii="Times New Roman" w:eastAsia="Times New Roman" w:hAnsi="Times New Roman" w:cs="Times New Roman"/>
          <w:sz w:val="24"/>
          <w:szCs w:val="24"/>
          <w:lang w:val="en-GB" w:eastAsia="de-DE"/>
        </w:rPr>
        <w:t xml:space="preserve">product </w:t>
      </w:r>
      <w:r w:rsidR="00164455" w:rsidRPr="002C3580">
        <w:rPr>
          <w:rFonts w:ascii="Times New Roman" w:eastAsia="Times New Roman" w:hAnsi="Times New Roman" w:cs="Times New Roman"/>
          <w:sz w:val="24"/>
          <w:szCs w:val="24"/>
          <w:lang w:val="en-GB" w:eastAsia="de-DE"/>
        </w:rPr>
        <w:t>information sheet</w:t>
      </w:r>
      <w:r w:rsidR="000A01E0" w:rsidRPr="002C3580">
        <w:rPr>
          <w:rFonts w:ascii="Times New Roman" w:eastAsia="Times New Roman" w:hAnsi="Times New Roman" w:cs="Times New Roman"/>
          <w:sz w:val="24"/>
          <w:szCs w:val="24"/>
          <w:lang w:val="en-GB" w:eastAsia="de-DE"/>
        </w:rPr>
        <w:t xml:space="preserve">, as set out in Annex </w:t>
      </w:r>
      <w:r w:rsidR="00C7435F" w:rsidRPr="002C3580">
        <w:rPr>
          <w:rFonts w:ascii="Times New Roman" w:eastAsia="Times New Roman" w:hAnsi="Times New Roman" w:cs="Times New Roman"/>
          <w:sz w:val="24"/>
          <w:szCs w:val="24"/>
          <w:lang w:val="en-GB" w:eastAsia="de-DE"/>
        </w:rPr>
        <w:t>V</w:t>
      </w:r>
      <w:r w:rsidR="000A01E0" w:rsidRPr="002C3580">
        <w:rPr>
          <w:rFonts w:ascii="Times New Roman" w:eastAsia="Times New Roman" w:hAnsi="Times New Roman" w:cs="Times New Roman"/>
          <w:sz w:val="24"/>
          <w:szCs w:val="24"/>
          <w:lang w:val="en-GB" w:eastAsia="de-DE"/>
        </w:rPr>
        <w:t xml:space="preserve">, </w:t>
      </w:r>
      <w:r w:rsidRPr="002C3580">
        <w:rPr>
          <w:rFonts w:ascii="Times New Roman" w:eastAsia="Times New Roman" w:hAnsi="Times New Roman" w:cs="Times New Roman"/>
          <w:sz w:val="24"/>
          <w:szCs w:val="24"/>
          <w:lang w:val="en-GB" w:eastAsia="de-DE"/>
        </w:rPr>
        <w:t>are entered into the product database</w:t>
      </w:r>
      <w:r w:rsidR="00581FB9" w:rsidRPr="002C3580">
        <w:rPr>
          <w:rFonts w:ascii="Times New Roman" w:eastAsia="Times New Roman" w:hAnsi="Times New Roman" w:cs="Times New Roman"/>
          <w:sz w:val="24"/>
          <w:szCs w:val="24"/>
          <w:lang w:val="en-GB" w:eastAsia="de-DE"/>
        </w:rPr>
        <w:t xml:space="preserve"> established by Regulation (EU) 2017/1369</w:t>
      </w:r>
      <w:r w:rsidR="00153F1B" w:rsidRPr="002C3580">
        <w:rPr>
          <w:rFonts w:ascii="Times New Roman" w:eastAsia="Times New Roman" w:hAnsi="Times New Roman" w:cs="Times New Roman"/>
          <w:sz w:val="24"/>
          <w:szCs w:val="24"/>
          <w:lang w:val="en-GB" w:eastAsia="de-DE"/>
        </w:rPr>
        <w:t>;</w:t>
      </w:r>
    </w:p>
    <w:p w14:paraId="4169E3E7" w14:textId="77777777" w:rsidR="008D05A7" w:rsidRDefault="008D05A7" w:rsidP="008D05A7">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2C3580">
        <w:rPr>
          <w:rFonts w:ascii="Times New Roman" w:eastAsia="Times New Roman" w:hAnsi="Times New Roman" w:cs="Times New Roman"/>
          <w:sz w:val="24"/>
          <w:szCs w:val="24"/>
          <w:lang w:val="en-GB" w:eastAsia="de-DE"/>
        </w:rPr>
        <w:t>an electronic label in the format and containing the information as set out in Annex III shall be made available to dealers for</w:t>
      </w:r>
      <w:r w:rsidRPr="000A01E0">
        <w:rPr>
          <w:rFonts w:ascii="Times New Roman" w:eastAsia="Times New Roman" w:hAnsi="Times New Roman" w:cs="Times New Roman"/>
          <w:sz w:val="24"/>
          <w:szCs w:val="24"/>
          <w:lang w:val="en-GB" w:eastAsia="de-DE"/>
        </w:rPr>
        <w:t xml:space="preserve"> each </w:t>
      </w:r>
      <w:r>
        <w:rPr>
          <w:rFonts w:ascii="Times New Roman" w:eastAsia="Times New Roman" w:hAnsi="Times New Roman" w:cs="Times New Roman"/>
          <w:sz w:val="24"/>
          <w:szCs w:val="24"/>
          <w:lang w:val="en-GB" w:eastAsia="de-DE"/>
        </w:rPr>
        <w:t>light source</w:t>
      </w:r>
      <w:r w:rsidRPr="000A01E0">
        <w:rPr>
          <w:rFonts w:ascii="Times New Roman" w:eastAsia="Times New Roman" w:hAnsi="Times New Roman" w:cs="Times New Roman"/>
          <w:sz w:val="24"/>
          <w:szCs w:val="24"/>
          <w:lang w:val="en-GB" w:eastAsia="de-DE"/>
        </w:rPr>
        <w:t xml:space="preserve"> model;</w:t>
      </w:r>
    </w:p>
    <w:p w14:paraId="1658F6C7" w14:textId="77777777" w:rsidR="00BD2A1A" w:rsidRPr="00C07C05" w:rsidRDefault="00BD2A1A" w:rsidP="00BD2A1A">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t xml:space="preserve">an electronic product information sheet </w:t>
      </w:r>
      <w:r w:rsidR="008D7752">
        <w:rPr>
          <w:rFonts w:ascii="Times New Roman" w:eastAsia="Times New Roman" w:hAnsi="Times New Roman" w:cs="Times New Roman"/>
          <w:sz w:val="24"/>
          <w:szCs w:val="24"/>
          <w:lang w:val="en-GB" w:eastAsia="de-DE"/>
        </w:rPr>
        <w:t>shall be</w:t>
      </w:r>
      <w:r w:rsidRPr="00C07C05">
        <w:rPr>
          <w:rFonts w:ascii="Times New Roman" w:eastAsia="Times New Roman" w:hAnsi="Times New Roman" w:cs="Times New Roman"/>
          <w:sz w:val="24"/>
          <w:szCs w:val="24"/>
          <w:lang w:val="en-GB" w:eastAsia="de-DE"/>
        </w:rPr>
        <w:t xml:space="preserve"> made available to dealers for each light source model;</w:t>
      </w:r>
      <w:r w:rsidR="008D7752">
        <w:rPr>
          <w:rFonts w:ascii="Times New Roman" w:eastAsia="Times New Roman" w:hAnsi="Times New Roman" w:cs="Times New Roman"/>
          <w:sz w:val="24"/>
          <w:szCs w:val="24"/>
          <w:lang w:val="en-GB" w:eastAsia="de-DE"/>
        </w:rPr>
        <w:t xml:space="preserve"> </w:t>
      </w:r>
    </w:p>
    <w:p w14:paraId="6DFFEC4F" w14:textId="77777777" w:rsidR="00BD2A1A" w:rsidRPr="00C07C05" w:rsidRDefault="00BD2A1A" w:rsidP="00BD2A1A">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t>if requested by the dealer,</w:t>
      </w:r>
      <w:r w:rsidRPr="00BC3F3E">
        <w:rPr>
          <w:rFonts w:ascii="Times New Roman" w:eastAsia="Times New Roman" w:hAnsi="Times New Roman" w:cs="Times New Roman"/>
          <w:sz w:val="24"/>
          <w:szCs w:val="24"/>
          <w:lang w:val="en-GB" w:eastAsia="de-DE"/>
        </w:rPr>
        <w:t xml:space="preserve"> the product information sheet shall be made available in </w:t>
      </w:r>
      <w:r w:rsidRPr="00C07C05">
        <w:rPr>
          <w:rFonts w:ascii="Times New Roman" w:eastAsia="Times New Roman" w:hAnsi="Times New Roman" w:cs="Times New Roman"/>
          <w:sz w:val="24"/>
          <w:szCs w:val="24"/>
          <w:lang w:val="en-GB" w:eastAsia="de-DE"/>
        </w:rPr>
        <w:t xml:space="preserve">printed form; </w:t>
      </w:r>
    </w:p>
    <w:p w14:paraId="0E197F80" w14:textId="77777777" w:rsidR="00BD2A1A" w:rsidRPr="00C07C05" w:rsidRDefault="00BD2A1A" w:rsidP="00BD2A1A">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t xml:space="preserve">the content of the technical documentation uploaded into the product database </w:t>
      </w:r>
      <w:r w:rsidR="00581FB9">
        <w:rPr>
          <w:rFonts w:ascii="Times New Roman" w:eastAsia="Times New Roman" w:hAnsi="Times New Roman" w:cs="Times New Roman"/>
          <w:sz w:val="24"/>
          <w:szCs w:val="24"/>
          <w:lang w:val="en-GB" w:eastAsia="de-DE"/>
        </w:rPr>
        <w:t xml:space="preserve">established by </w:t>
      </w:r>
      <w:r w:rsidR="00581FB9" w:rsidRPr="00C7435F">
        <w:rPr>
          <w:rFonts w:ascii="Times New Roman" w:eastAsia="Times New Roman" w:hAnsi="Times New Roman" w:cs="Times New Roman"/>
          <w:sz w:val="24"/>
          <w:szCs w:val="24"/>
          <w:lang w:val="en-GB" w:eastAsia="de-DE"/>
        </w:rPr>
        <w:t>Regulation (EU) 2017/1369</w:t>
      </w:r>
      <w:r w:rsidR="00581FB9">
        <w:rPr>
          <w:rFonts w:ascii="Times New Roman" w:eastAsia="Times New Roman" w:hAnsi="Times New Roman" w:cs="Times New Roman"/>
          <w:sz w:val="24"/>
          <w:szCs w:val="24"/>
          <w:lang w:val="en-GB" w:eastAsia="de-DE"/>
        </w:rPr>
        <w:t xml:space="preserve"> </w:t>
      </w:r>
      <w:r w:rsidRPr="00C07C05">
        <w:rPr>
          <w:rFonts w:ascii="Times New Roman" w:eastAsia="Times New Roman" w:hAnsi="Times New Roman" w:cs="Times New Roman"/>
          <w:sz w:val="24"/>
          <w:szCs w:val="24"/>
          <w:lang w:val="en-GB" w:eastAsia="de-DE"/>
        </w:rPr>
        <w:t>is according to Annex V;</w:t>
      </w:r>
    </w:p>
    <w:p w14:paraId="033CFB17" w14:textId="77777777" w:rsidR="000A01E0" w:rsidRPr="000A01E0" w:rsidRDefault="000A01E0" w:rsidP="006500C8">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lastRenderedPageBreak/>
        <w:t xml:space="preserve">any </w:t>
      </w:r>
      <w:r w:rsidR="00164455" w:rsidRPr="00C07C05">
        <w:rPr>
          <w:rFonts w:ascii="Times New Roman" w:eastAsia="Times New Roman" w:hAnsi="Times New Roman" w:cs="Times New Roman"/>
          <w:sz w:val="24"/>
          <w:szCs w:val="24"/>
          <w:lang w:val="en-GB" w:eastAsia="de-DE"/>
        </w:rPr>
        <w:t xml:space="preserve">visual </w:t>
      </w:r>
      <w:r w:rsidRPr="00C07C05">
        <w:rPr>
          <w:rFonts w:ascii="Times New Roman" w:eastAsia="Times New Roman" w:hAnsi="Times New Roman" w:cs="Times New Roman"/>
          <w:sz w:val="24"/>
          <w:szCs w:val="24"/>
          <w:lang w:val="en-GB" w:eastAsia="de-DE"/>
        </w:rPr>
        <w:t>advertisement</w:t>
      </w:r>
      <w:r w:rsidRPr="00BC3F3E">
        <w:rPr>
          <w:rFonts w:ascii="Times New Roman" w:eastAsia="Times New Roman" w:hAnsi="Times New Roman" w:cs="Times New Roman"/>
          <w:sz w:val="24"/>
          <w:szCs w:val="24"/>
          <w:lang w:val="en-GB" w:eastAsia="de-DE"/>
        </w:rPr>
        <w:t xml:space="preserve"> for a specific model</w:t>
      </w:r>
      <w:r w:rsidRPr="000A01E0">
        <w:rPr>
          <w:rFonts w:ascii="Times New Roman" w:eastAsia="Times New Roman" w:hAnsi="Times New Roman" w:cs="Times New Roman"/>
          <w:sz w:val="24"/>
          <w:szCs w:val="24"/>
          <w:lang w:val="en-GB" w:eastAsia="de-DE"/>
        </w:rPr>
        <w:t xml:space="preserve"> of </w:t>
      </w:r>
      <w:r w:rsidR="00BC3F3E">
        <w:rPr>
          <w:rFonts w:ascii="Times New Roman" w:eastAsia="Times New Roman" w:hAnsi="Times New Roman" w:cs="Times New Roman"/>
          <w:sz w:val="24"/>
          <w:szCs w:val="24"/>
          <w:lang w:val="en-GB" w:eastAsia="de-DE"/>
        </w:rPr>
        <w:t>light source</w:t>
      </w:r>
      <w:r w:rsidR="006500C8">
        <w:rPr>
          <w:rFonts w:ascii="Times New Roman" w:eastAsia="Times New Roman" w:hAnsi="Times New Roman" w:cs="Times New Roman"/>
          <w:sz w:val="24"/>
          <w:szCs w:val="24"/>
          <w:lang w:val="en-GB" w:eastAsia="de-DE"/>
        </w:rPr>
        <w:t>,</w:t>
      </w:r>
      <w:r w:rsidR="005C0DB0">
        <w:rPr>
          <w:rFonts w:ascii="Times New Roman" w:eastAsia="Times New Roman" w:hAnsi="Times New Roman" w:cs="Times New Roman"/>
          <w:sz w:val="24"/>
          <w:szCs w:val="24"/>
          <w:lang w:val="en-GB" w:eastAsia="de-DE"/>
        </w:rPr>
        <w:t xml:space="preserve"> </w:t>
      </w:r>
      <w:r w:rsidR="006500C8" w:rsidRPr="006500C8">
        <w:rPr>
          <w:rFonts w:ascii="Times New Roman" w:eastAsia="Times New Roman" w:hAnsi="Times New Roman" w:cs="Times New Roman"/>
          <w:sz w:val="24"/>
          <w:szCs w:val="24"/>
          <w:lang w:val="en-GB" w:eastAsia="de-DE"/>
        </w:rPr>
        <w:t>including on the internet</w:t>
      </w:r>
      <w:r w:rsidR="006500C8">
        <w:rPr>
          <w:rFonts w:ascii="Times New Roman" w:eastAsia="Times New Roman" w:hAnsi="Times New Roman" w:cs="Times New Roman"/>
          <w:sz w:val="24"/>
          <w:szCs w:val="24"/>
          <w:lang w:val="en-GB" w:eastAsia="de-DE"/>
        </w:rPr>
        <w:t>,</w:t>
      </w:r>
      <w:r w:rsidR="006500C8" w:rsidRPr="006500C8">
        <w:rPr>
          <w:rFonts w:ascii="Times New Roman" w:eastAsia="Times New Roman" w:hAnsi="Times New Roman" w:cs="Times New Roman"/>
          <w:sz w:val="24"/>
          <w:szCs w:val="24"/>
          <w:lang w:val="en-GB" w:eastAsia="de-DE"/>
        </w:rPr>
        <w:t xml:space="preserve"> </w:t>
      </w:r>
      <w:r w:rsidRPr="000A01E0">
        <w:rPr>
          <w:rFonts w:ascii="Times New Roman" w:eastAsia="Times New Roman" w:hAnsi="Times New Roman" w:cs="Times New Roman"/>
          <w:sz w:val="24"/>
          <w:szCs w:val="24"/>
          <w:lang w:val="en-GB" w:eastAsia="de-DE"/>
        </w:rPr>
        <w:t>contains the energy efficiency class</w:t>
      </w:r>
      <w:r w:rsidR="00164455" w:rsidRPr="00587C44">
        <w:rPr>
          <w:lang w:val="en-GB"/>
        </w:rPr>
        <w:t xml:space="preserve"> </w:t>
      </w:r>
      <w:r w:rsidR="00164455" w:rsidRPr="00164455">
        <w:rPr>
          <w:rFonts w:ascii="Times New Roman" w:eastAsia="Times New Roman" w:hAnsi="Times New Roman" w:cs="Times New Roman"/>
          <w:sz w:val="24"/>
          <w:szCs w:val="24"/>
          <w:lang w:val="en-GB" w:eastAsia="de-DE"/>
        </w:rPr>
        <w:t>and the range of efficiency classes available on the label</w:t>
      </w:r>
      <w:r w:rsidR="000173AE">
        <w:rPr>
          <w:rFonts w:ascii="Times New Roman" w:eastAsia="Times New Roman" w:hAnsi="Times New Roman" w:cs="Times New Roman"/>
          <w:sz w:val="24"/>
          <w:szCs w:val="24"/>
          <w:lang w:val="en-GB" w:eastAsia="de-DE"/>
        </w:rPr>
        <w:t xml:space="preserve"> in accordance with Annex </w:t>
      </w:r>
      <w:r w:rsidR="00AE76E2">
        <w:rPr>
          <w:rFonts w:ascii="Times New Roman" w:eastAsia="Times New Roman" w:hAnsi="Times New Roman" w:cs="Times New Roman"/>
          <w:sz w:val="24"/>
          <w:szCs w:val="24"/>
          <w:lang w:val="en-GB" w:eastAsia="de-DE"/>
        </w:rPr>
        <w:t>IX</w:t>
      </w:r>
      <w:r w:rsidRPr="000A01E0">
        <w:rPr>
          <w:rFonts w:ascii="Times New Roman" w:eastAsia="Times New Roman" w:hAnsi="Times New Roman" w:cs="Times New Roman"/>
          <w:sz w:val="24"/>
          <w:szCs w:val="24"/>
          <w:lang w:val="en-GB" w:eastAsia="de-DE"/>
        </w:rPr>
        <w:t>;</w:t>
      </w:r>
    </w:p>
    <w:p w14:paraId="55794D90" w14:textId="77777777" w:rsidR="000A01E0" w:rsidRDefault="000A01E0" w:rsidP="006500C8">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any technical promotional material concerning a specific model of </w:t>
      </w:r>
      <w:r w:rsidR="00BC3F3E">
        <w:rPr>
          <w:rFonts w:ascii="Times New Roman" w:eastAsia="Times New Roman" w:hAnsi="Times New Roman" w:cs="Times New Roman"/>
          <w:sz w:val="24"/>
          <w:szCs w:val="24"/>
          <w:lang w:val="en-GB" w:eastAsia="de-DE"/>
        </w:rPr>
        <w:t>light source</w:t>
      </w:r>
      <w:r w:rsidRPr="000A01E0">
        <w:rPr>
          <w:rFonts w:ascii="Times New Roman" w:eastAsia="Times New Roman" w:hAnsi="Times New Roman" w:cs="Times New Roman"/>
          <w:sz w:val="24"/>
          <w:szCs w:val="24"/>
          <w:lang w:val="en-GB" w:eastAsia="de-DE"/>
        </w:rPr>
        <w:t xml:space="preserve"> which describes its specific technical parameters</w:t>
      </w:r>
      <w:r w:rsidR="006500C8" w:rsidRPr="006500C8">
        <w:rPr>
          <w:rFonts w:ascii="Times New Roman" w:eastAsia="Times New Roman" w:hAnsi="Times New Roman" w:cs="Times New Roman"/>
          <w:sz w:val="24"/>
          <w:szCs w:val="24"/>
          <w:lang w:val="en-GB" w:eastAsia="de-DE"/>
        </w:rPr>
        <w:t xml:space="preserve">, including on the internet, </w:t>
      </w:r>
      <w:r w:rsidRPr="000A01E0">
        <w:rPr>
          <w:rFonts w:ascii="Times New Roman" w:eastAsia="Times New Roman" w:hAnsi="Times New Roman" w:cs="Times New Roman"/>
          <w:sz w:val="24"/>
          <w:szCs w:val="24"/>
          <w:lang w:val="en-GB" w:eastAsia="de-DE"/>
        </w:rPr>
        <w:t>includes the energy efficiency class of that model</w:t>
      </w:r>
      <w:r w:rsidR="00FA7634">
        <w:rPr>
          <w:rFonts w:ascii="Times New Roman" w:eastAsia="Times New Roman" w:hAnsi="Times New Roman" w:cs="Times New Roman"/>
          <w:sz w:val="24"/>
          <w:szCs w:val="24"/>
          <w:lang w:val="en-GB" w:eastAsia="de-DE"/>
        </w:rPr>
        <w:t xml:space="preserve"> </w:t>
      </w:r>
      <w:r w:rsidR="00FA7634" w:rsidRPr="00FA7634">
        <w:rPr>
          <w:rFonts w:ascii="Times New Roman" w:eastAsia="Times New Roman" w:hAnsi="Times New Roman" w:cs="Times New Roman"/>
          <w:sz w:val="24"/>
          <w:szCs w:val="24"/>
          <w:lang w:val="en-GB" w:eastAsia="de-DE"/>
        </w:rPr>
        <w:t xml:space="preserve">and the range of efficiency classes available on the label, in accordance with Annex </w:t>
      </w:r>
      <w:r w:rsidR="00AE76E2">
        <w:rPr>
          <w:rFonts w:ascii="Times New Roman" w:eastAsia="Times New Roman" w:hAnsi="Times New Roman" w:cs="Times New Roman"/>
          <w:sz w:val="24"/>
          <w:szCs w:val="24"/>
          <w:lang w:val="en-GB" w:eastAsia="de-DE"/>
        </w:rPr>
        <w:t>IX</w:t>
      </w:r>
      <w:r w:rsidR="00CA0487">
        <w:rPr>
          <w:rFonts w:ascii="Times New Roman" w:eastAsia="Times New Roman" w:hAnsi="Times New Roman" w:cs="Times New Roman"/>
          <w:sz w:val="24"/>
          <w:szCs w:val="24"/>
          <w:lang w:val="en-GB" w:eastAsia="de-DE"/>
        </w:rPr>
        <w:t>;</w:t>
      </w:r>
    </w:p>
    <w:p w14:paraId="29A16D99" w14:textId="77777777" w:rsidR="00766C33" w:rsidRDefault="001913AC" w:rsidP="006500C8">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printed label to rescale products is </w:t>
      </w:r>
      <w:r w:rsidR="0007379A">
        <w:rPr>
          <w:rFonts w:ascii="Times New Roman" w:eastAsia="Times New Roman" w:hAnsi="Times New Roman" w:cs="Times New Roman"/>
          <w:sz w:val="24"/>
          <w:szCs w:val="24"/>
          <w:lang w:val="en-GB" w:eastAsia="de-DE"/>
        </w:rPr>
        <w:t xml:space="preserve">a </w:t>
      </w:r>
      <w:r>
        <w:rPr>
          <w:rFonts w:ascii="Times New Roman" w:eastAsia="Times New Roman" w:hAnsi="Times New Roman" w:cs="Times New Roman"/>
          <w:sz w:val="24"/>
          <w:szCs w:val="24"/>
          <w:lang w:val="en-GB" w:eastAsia="de-DE"/>
        </w:rPr>
        <w:t xml:space="preserve">sticker, of the same size </w:t>
      </w:r>
      <w:r w:rsidR="0007379A">
        <w:rPr>
          <w:rFonts w:ascii="Times New Roman" w:eastAsia="Times New Roman" w:hAnsi="Times New Roman" w:cs="Times New Roman"/>
          <w:sz w:val="24"/>
          <w:szCs w:val="24"/>
          <w:lang w:val="en-GB" w:eastAsia="de-DE"/>
        </w:rPr>
        <w:t>as</w:t>
      </w:r>
      <w:r>
        <w:rPr>
          <w:rFonts w:ascii="Times New Roman" w:eastAsia="Times New Roman" w:hAnsi="Times New Roman" w:cs="Times New Roman"/>
          <w:sz w:val="24"/>
          <w:szCs w:val="24"/>
          <w:lang w:val="en-GB" w:eastAsia="de-DE"/>
        </w:rPr>
        <w:t xml:space="preserve"> the one which is already on the package;</w:t>
      </w:r>
      <w:r w:rsidR="00766C33">
        <w:rPr>
          <w:rFonts w:ascii="Times New Roman" w:eastAsia="Times New Roman" w:hAnsi="Times New Roman" w:cs="Times New Roman"/>
          <w:sz w:val="24"/>
          <w:szCs w:val="24"/>
          <w:lang w:val="en-GB" w:eastAsia="de-DE"/>
        </w:rPr>
        <w:t xml:space="preserve"> </w:t>
      </w:r>
    </w:p>
    <w:p w14:paraId="30F660B9" w14:textId="1E2DA6D9" w:rsidR="00CA0487" w:rsidRPr="000A01E0" w:rsidRDefault="00C73E0B" w:rsidP="00CA0487">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no </w:t>
      </w:r>
      <w:r w:rsidR="00CA0487">
        <w:rPr>
          <w:rFonts w:ascii="Times New Roman" w:eastAsia="Times New Roman" w:hAnsi="Times New Roman" w:cs="Times New Roman"/>
          <w:sz w:val="24"/>
          <w:szCs w:val="24"/>
          <w:lang w:val="en-GB" w:eastAsia="de-DE"/>
        </w:rPr>
        <w:t>p</w:t>
      </w:r>
      <w:r w:rsidR="00CA0487" w:rsidRPr="00CA0487">
        <w:rPr>
          <w:rFonts w:ascii="Times New Roman" w:eastAsia="Times New Roman" w:hAnsi="Times New Roman" w:cs="Times New Roman"/>
          <w:sz w:val="24"/>
          <w:szCs w:val="24"/>
          <w:lang w:val="en-GB" w:eastAsia="de-DE"/>
        </w:rPr>
        <w:t xml:space="preserve">roducts are placed on the market that have been designed so that a model’s performance is automatically altered in test conditions with the objective of reaching a more favourable level for any of the parameters specified in </w:t>
      </w:r>
      <w:r w:rsidR="00EB4B8C">
        <w:rPr>
          <w:rFonts w:ascii="Times New Roman" w:eastAsia="Times New Roman" w:hAnsi="Times New Roman" w:cs="Times New Roman"/>
          <w:sz w:val="24"/>
          <w:szCs w:val="24"/>
          <w:lang w:val="en-GB" w:eastAsia="de-DE"/>
        </w:rPr>
        <w:t>this</w:t>
      </w:r>
      <w:r w:rsidR="00CA0487" w:rsidRPr="00CA0487">
        <w:rPr>
          <w:rFonts w:ascii="Times New Roman" w:eastAsia="Times New Roman" w:hAnsi="Times New Roman" w:cs="Times New Roman"/>
          <w:sz w:val="24"/>
          <w:szCs w:val="24"/>
          <w:lang w:val="en-GB" w:eastAsia="de-DE"/>
        </w:rPr>
        <w:t xml:space="preserve"> delegated act or included in the documentation provided </w:t>
      </w:r>
      <w:r w:rsidR="00EB4B8C">
        <w:rPr>
          <w:rFonts w:ascii="Times New Roman" w:eastAsia="Times New Roman" w:hAnsi="Times New Roman" w:cs="Times New Roman"/>
          <w:sz w:val="24"/>
          <w:szCs w:val="24"/>
          <w:lang w:val="en-GB" w:eastAsia="de-DE"/>
        </w:rPr>
        <w:t xml:space="preserve">for </w:t>
      </w:r>
      <w:r w:rsidR="00CA0487" w:rsidRPr="00CA0487">
        <w:rPr>
          <w:rFonts w:ascii="Times New Roman" w:eastAsia="Times New Roman" w:hAnsi="Times New Roman" w:cs="Times New Roman"/>
          <w:sz w:val="24"/>
          <w:szCs w:val="24"/>
          <w:lang w:val="en-GB" w:eastAsia="de-DE"/>
        </w:rPr>
        <w:t>the product.</w:t>
      </w:r>
    </w:p>
    <w:p w14:paraId="76E96063" w14:textId="77777777" w:rsidR="00F765F5" w:rsidRPr="00705D35" w:rsidRDefault="00F765F5" w:rsidP="00705D35">
      <w:pPr>
        <w:pStyle w:val="Liststycke"/>
        <w:spacing w:before="100" w:beforeAutospacing="1" w:after="100" w:afterAutospacing="1" w:line="240" w:lineRule="auto"/>
        <w:ind w:left="1417"/>
        <w:rPr>
          <w:lang w:val="en-GB"/>
        </w:rPr>
      </w:pPr>
    </w:p>
    <w:p w14:paraId="7223A53B" w14:textId="736BB1A4" w:rsidR="00705D35" w:rsidRPr="00BB0F99" w:rsidRDefault="00705D35" w:rsidP="00705D35">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705D35">
        <w:rPr>
          <w:rFonts w:ascii="Times New Roman" w:eastAsia="Times New Roman" w:hAnsi="Times New Roman" w:cs="Times New Roman"/>
          <w:sz w:val="24"/>
          <w:szCs w:val="24"/>
          <w:lang w:val="en-GB" w:eastAsia="de-DE"/>
        </w:rPr>
        <w:t xml:space="preserve">Suppliers of containing products placed on </w:t>
      </w:r>
      <w:r w:rsidRPr="00BB0F99">
        <w:rPr>
          <w:rFonts w:ascii="Times New Roman" w:eastAsia="Times New Roman" w:hAnsi="Times New Roman" w:cs="Times New Roman"/>
          <w:sz w:val="24"/>
          <w:szCs w:val="24"/>
          <w:lang w:val="en-GB" w:eastAsia="de-DE"/>
        </w:rPr>
        <w:t xml:space="preserve">the </w:t>
      </w:r>
      <w:r w:rsidR="00D743E9" w:rsidRPr="00BB0F99">
        <w:rPr>
          <w:rFonts w:ascii="Times New Roman" w:eastAsia="Times New Roman" w:hAnsi="Times New Roman" w:cs="Times New Roman"/>
          <w:sz w:val="24"/>
          <w:szCs w:val="24"/>
          <w:lang w:val="en-GB" w:eastAsia="de-DE"/>
        </w:rPr>
        <w:t>market</w:t>
      </w:r>
      <w:r w:rsidRPr="00BB0F99">
        <w:rPr>
          <w:rFonts w:ascii="Times New Roman" w:eastAsia="Times New Roman" w:hAnsi="Times New Roman" w:cs="Times New Roman"/>
          <w:sz w:val="24"/>
          <w:szCs w:val="24"/>
          <w:lang w:val="en-GB" w:eastAsia="de-DE"/>
        </w:rPr>
        <w:t xml:space="preserve"> shall provide information on the contained light sources as specified in Annex V</w:t>
      </w:r>
      <w:r w:rsidR="00792289">
        <w:rPr>
          <w:rFonts w:ascii="Times New Roman" w:eastAsia="Times New Roman" w:hAnsi="Times New Roman" w:cs="Times New Roman"/>
          <w:sz w:val="24"/>
          <w:szCs w:val="24"/>
          <w:lang w:val="en-GB" w:eastAsia="de-DE"/>
        </w:rPr>
        <w:t xml:space="preserve"> point </w:t>
      </w:r>
      <w:r w:rsidR="00E6572D">
        <w:rPr>
          <w:rFonts w:ascii="Times New Roman" w:eastAsia="Times New Roman" w:hAnsi="Times New Roman" w:cs="Times New Roman"/>
          <w:sz w:val="24"/>
          <w:szCs w:val="24"/>
          <w:lang w:val="en-GB" w:eastAsia="de-DE"/>
        </w:rPr>
        <w:t>3.2</w:t>
      </w:r>
      <w:r w:rsidRPr="00BB0F99">
        <w:rPr>
          <w:rFonts w:ascii="Times New Roman" w:eastAsia="Times New Roman" w:hAnsi="Times New Roman" w:cs="Times New Roman"/>
          <w:sz w:val="24"/>
          <w:szCs w:val="24"/>
          <w:lang w:val="en-GB" w:eastAsia="de-DE"/>
        </w:rPr>
        <w:t>.</w:t>
      </w:r>
    </w:p>
    <w:p w14:paraId="5C86BE98" w14:textId="77777777" w:rsidR="00705D35" w:rsidRDefault="00705D35" w:rsidP="00705D35">
      <w:pPr>
        <w:pStyle w:val="Liststycke"/>
        <w:spacing w:before="100" w:beforeAutospacing="1" w:after="100" w:afterAutospacing="1" w:line="240" w:lineRule="auto"/>
        <w:rPr>
          <w:rFonts w:ascii="Times New Roman" w:eastAsia="Times New Roman" w:hAnsi="Times New Roman" w:cs="Times New Roman"/>
          <w:sz w:val="24"/>
          <w:szCs w:val="24"/>
          <w:lang w:val="en-GB" w:eastAsia="de-DE"/>
        </w:rPr>
      </w:pPr>
    </w:p>
    <w:p w14:paraId="384AB84B" w14:textId="77777777" w:rsidR="000A01E0" w:rsidRDefault="000A01E0" w:rsidP="00705D35">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The energy efficiency class shall be calculated in accordance with Annex </w:t>
      </w:r>
      <w:r w:rsidR="00C7435F">
        <w:rPr>
          <w:rFonts w:ascii="Times New Roman" w:eastAsia="Times New Roman" w:hAnsi="Times New Roman" w:cs="Times New Roman"/>
          <w:sz w:val="24"/>
          <w:szCs w:val="24"/>
          <w:lang w:val="en-GB" w:eastAsia="de-DE"/>
        </w:rPr>
        <w:t>I</w:t>
      </w:r>
      <w:r w:rsidR="00BF2A09">
        <w:rPr>
          <w:rFonts w:ascii="Times New Roman" w:eastAsia="Times New Roman" w:hAnsi="Times New Roman" w:cs="Times New Roman"/>
          <w:sz w:val="24"/>
          <w:szCs w:val="24"/>
          <w:lang w:val="en-GB" w:eastAsia="de-DE"/>
        </w:rPr>
        <w:t>V</w:t>
      </w:r>
      <w:r w:rsidRPr="000A01E0">
        <w:rPr>
          <w:rFonts w:ascii="Times New Roman" w:eastAsia="Times New Roman" w:hAnsi="Times New Roman" w:cs="Times New Roman"/>
          <w:sz w:val="24"/>
          <w:szCs w:val="24"/>
          <w:lang w:val="en-GB" w:eastAsia="de-DE"/>
        </w:rPr>
        <w:t>.</w:t>
      </w:r>
    </w:p>
    <w:p w14:paraId="258CDE61" w14:textId="77777777" w:rsidR="00705D35" w:rsidRPr="000A01E0" w:rsidRDefault="00705D35" w:rsidP="00705D35">
      <w:pPr>
        <w:pStyle w:val="Liststycke"/>
        <w:spacing w:before="100" w:beforeAutospacing="1" w:after="100" w:afterAutospacing="1" w:line="240" w:lineRule="auto"/>
        <w:rPr>
          <w:rFonts w:ascii="Times New Roman" w:eastAsia="Times New Roman" w:hAnsi="Times New Roman" w:cs="Times New Roman"/>
          <w:sz w:val="24"/>
          <w:szCs w:val="24"/>
          <w:lang w:val="en-GB" w:eastAsia="de-DE"/>
        </w:rPr>
      </w:pPr>
    </w:p>
    <w:p w14:paraId="283BED81" w14:textId="77777777" w:rsidR="00C87079" w:rsidRPr="00937BA9" w:rsidRDefault="00973981" w:rsidP="00384F27">
      <w:pPr>
        <w:pStyle w:val="Titrearticle"/>
      </w:pPr>
      <w:r>
        <w:t xml:space="preserve">Article </w:t>
      </w:r>
      <w:r w:rsidR="00C87079">
        <w:t>4</w:t>
      </w:r>
    </w:p>
    <w:p w14:paraId="1E134588" w14:textId="77777777" w:rsidR="000A01E0" w:rsidRPr="00976AA9" w:rsidRDefault="00E21760" w:rsidP="000A01E0">
      <w:pPr>
        <w:spacing w:before="100" w:beforeAutospacing="1" w:after="100" w:afterAutospacing="1"/>
        <w:jc w:val="center"/>
        <w:rPr>
          <w:rFonts w:eastAsia="Times New Roman"/>
          <w:b/>
          <w:i/>
          <w:szCs w:val="24"/>
          <w:lang w:eastAsia="de-DE"/>
        </w:rPr>
      </w:pPr>
      <w:r>
        <w:rPr>
          <w:rFonts w:eastAsia="Times New Roman"/>
          <w:b/>
          <w:i/>
          <w:szCs w:val="24"/>
          <w:lang w:eastAsia="de-DE"/>
        </w:rPr>
        <w:t>Obligations</w:t>
      </w:r>
      <w:r w:rsidRPr="00976AA9">
        <w:rPr>
          <w:rFonts w:eastAsia="Times New Roman"/>
          <w:b/>
          <w:i/>
          <w:szCs w:val="24"/>
          <w:lang w:eastAsia="de-DE"/>
        </w:rPr>
        <w:t xml:space="preserve"> </w:t>
      </w:r>
      <w:r w:rsidR="000A01E0" w:rsidRPr="00976AA9">
        <w:rPr>
          <w:rFonts w:eastAsia="Times New Roman"/>
          <w:b/>
          <w:i/>
          <w:szCs w:val="24"/>
          <w:lang w:eastAsia="de-DE"/>
        </w:rPr>
        <w:t>of dealers</w:t>
      </w:r>
    </w:p>
    <w:p w14:paraId="645F39D0" w14:textId="77777777" w:rsidR="00AE76E2" w:rsidRPr="00C7435F" w:rsidRDefault="00AE76E2" w:rsidP="00E728BB">
      <w:pPr>
        <w:pStyle w:val="Liststycke"/>
        <w:numPr>
          <w:ilvl w:val="0"/>
          <w:numId w:val="34"/>
        </w:numPr>
        <w:spacing w:before="100" w:beforeAutospacing="1" w:after="100" w:afterAutospacing="1" w:line="240" w:lineRule="auto"/>
        <w:rPr>
          <w:rFonts w:ascii="Times New Roman" w:eastAsia="Times New Roman" w:hAnsi="Times New Roman" w:cs="Times New Roman"/>
          <w:sz w:val="24"/>
          <w:szCs w:val="24"/>
          <w:lang w:val="en-GB" w:eastAsia="de-DE"/>
        </w:rPr>
      </w:pPr>
      <w:r w:rsidRPr="00C7435F">
        <w:rPr>
          <w:rFonts w:ascii="Times New Roman" w:eastAsia="Times New Roman" w:hAnsi="Times New Roman" w:cs="Times New Roman"/>
          <w:sz w:val="24"/>
          <w:szCs w:val="24"/>
          <w:lang w:val="en-GB" w:eastAsia="de-DE"/>
        </w:rPr>
        <w:t xml:space="preserve">In addition to the obligations of </w:t>
      </w:r>
      <w:r>
        <w:rPr>
          <w:rFonts w:ascii="Times New Roman" w:eastAsia="Times New Roman" w:hAnsi="Times New Roman" w:cs="Times New Roman"/>
          <w:sz w:val="24"/>
          <w:szCs w:val="24"/>
          <w:lang w:val="en-GB" w:eastAsia="de-DE"/>
        </w:rPr>
        <w:t>dealers</w:t>
      </w:r>
      <w:r w:rsidRPr="00C7435F">
        <w:rPr>
          <w:rFonts w:ascii="Times New Roman" w:eastAsia="Times New Roman" w:hAnsi="Times New Roman" w:cs="Times New Roman"/>
          <w:sz w:val="24"/>
          <w:szCs w:val="24"/>
          <w:lang w:val="en-GB" w:eastAsia="de-DE"/>
        </w:rPr>
        <w:t xml:space="preserve"> laid down in Regulation (EU) 2017/1369</w:t>
      </w:r>
      <w:r w:rsidRPr="00C7435F">
        <w:rPr>
          <w:rFonts w:eastAsia="Times New Roman"/>
          <w:szCs w:val="24"/>
          <w:lang w:val="en-GB" w:eastAsia="de-DE"/>
        </w:rPr>
        <w:t>,</w:t>
      </w:r>
      <w:r>
        <w:rPr>
          <w:rFonts w:eastAsia="Times New Roman"/>
          <w:szCs w:val="24"/>
          <w:lang w:val="en-GB" w:eastAsia="de-DE"/>
        </w:rPr>
        <w:t xml:space="preserve"> </w:t>
      </w:r>
      <w:r>
        <w:rPr>
          <w:rFonts w:ascii="Times New Roman" w:eastAsia="Times New Roman" w:hAnsi="Times New Roman" w:cs="Times New Roman"/>
          <w:sz w:val="24"/>
          <w:szCs w:val="24"/>
          <w:lang w:val="en-GB" w:eastAsia="de-DE"/>
        </w:rPr>
        <w:t>dealers</w:t>
      </w:r>
      <w:r w:rsidRPr="00C7435F">
        <w:rPr>
          <w:rFonts w:ascii="Times New Roman" w:eastAsia="Times New Roman" w:hAnsi="Times New Roman" w:cs="Times New Roman"/>
          <w:sz w:val="24"/>
          <w:szCs w:val="24"/>
          <w:lang w:val="en-GB" w:eastAsia="de-DE"/>
        </w:rPr>
        <w:t xml:space="preserve"> shall ensure that:</w:t>
      </w:r>
    </w:p>
    <w:p w14:paraId="3439BE60" w14:textId="77777777" w:rsidR="00AE76E2" w:rsidRPr="00587C44" w:rsidRDefault="00AE76E2" w:rsidP="00E728BB">
      <w:pPr>
        <w:pStyle w:val="Liststycke"/>
        <w:spacing w:before="100" w:beforeAutospacing="1" w:after="100" w:afterAutospacing="1" w:line="240" w:lineRule="auto"/>
        <w:rPr>
          <w:rFonts w:ascii="Times New Roman" w:eastAsia="Times New Roman" w:hAnsi="Times New Roman" w:cs="Times New Roman"/>
          <w:sz w:val="24"/>
          <w:szCs w:val="24"/>
          <w:lang w:val="en-GB" w:eastAsia="de-DE"/>
        </w:rPr>
      </w:pPr>
    </w:p>
    <w:p w14:paraId="26492C3D" w14:textId="1713FAAC" w:rsidR="000A01E0" w:rsidRDefault="000A01E0" w:rsidP="00E728BB">
      <w:pPr>
        <w:pStyle w:val="Liststycke"/>
        <w:numPr>
          <w:ilvl w:val="0"/>
          <w:numId w:val="24"/>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each </w:t>
      </w:r>
      <w:r w:rsidR="003D39C8">
        <w:rPr>
          <w:rFonts w:ascii="Times New Roman" w:eastAsia="Times New Roman" w:hAnsi="Times New Roman" w:cs="Times New Roman"/>
          <w:sz w:val="24"/>
          <w:szCs w:val="24"/>
          <w:lang w:val="en-GB" w:eastAsia="de-DE"/>
        </w:rPr>
        <w:t>light source</w:t>
      </w:r>
      <w:r w:rsidRPr="000A01E0">
        <w:rPr>
          <w:rFonts w:ascii="Times New Roman" w:eastAsia="Times New Roman" w:hAnsi="Times New Roman" w:cs="Times New Roman"/>
          <w:sz w:val="24"/>
          <w:szCs w:val="24"/>
          <w:lang w:val="en-GB" w:eastAsia="de-DE"/>
        </w:rPr>
        <w:t>, at the point of sale, bears the label provided by suppliers in accordance with Article 3</w:t>
      </w:r>
      <w:r w:rsidR="00E6572D">
        <w:rPr>
          <w:rFonts w:ascii="Times New Roman" w:eastAsia="Times New Roman" w:hAnsi="Times New Roman" w:cs="Times New Roman"/>
          <w:sz w:val="24"/>
          <w:szCs w:val="24"/>
          <w:lang w:val="en-GB" w:eastAsia="de-DE"/>
        </w:rPr>
        <w:t>.1</w:t>
      </w:r>
      <w:r w:rsidRPr="000A01E0">
        <w:rPr>
          <w:rFonts w:ascii="Times New Roman" w:eastAsia="Times New Roman" w:hAnsi="Times New Roman" w:cs="Times New Roman"/>
          <w:sz w:val="24"/>
          <w:szCs w:val="24"/>
          <w:lang w:val="en-GB" w:eastAsia="de-DE"/>
        </w:rPr>
        <w:t xml:space="preserve">(a) displayed </w:t>
      </w:r>
      <w:r w:rsidR="003D39C8">
        <w:rPr>
          <w:rFonts w:ascii="Times New Roman" w:eastAsia="Times New Roman" w:hAnsi="Times New Roman" w:cs="Times New Roman"/>
          <w:sz w:val="24"/>
          <w:szCs w:val="24"/>
          <w:lang w:val="en-GB" w:eastAsia="de-DE"/>
        </w:rPr>
        <w:t xml:space="preserve">as indicated in </w:t>
      </w:r>
      <w:r w:rsidR="001D6F95">
        <w:rPr>
          <w:rFonts w:ascii="Times New Roman" w:eastAsia="Times New Roman" w:hAnsi="Times New Roman" w:cs="Times New Roman"/>
          <w:sz w:val="24"/>
          <w:szCs w:val="24"/>
          <w:lang w:val="en-GB" w:eastAsia="de-DE"/>
        </w:rPr>
        <w:t>Annex III</w:t>
      </w:r>
      <w:r w:rsidRPr="000A01E0">
        <w:rPr>
          <w:rFonts w:ascii="Times New Roman" w:eastAsia="Times New Roman" w:hAnsi="Times New Roman" w:cs="Times New Roman"/>
          <w:sz w:val="24"/>
          <w:szCs w:val="24"/>
          <w:lang w:val="en-GB" w:eastAsia="de-DE"/>
        </w:rPr>
        <w:t>, in such a way as to be clearly visible;</w:t>
      </w:r>
    </w:p>
    <w:p w14:paraId="6032DEF3" w14:textId="38E18CCE" w:rsidR="000A01E0" w:rsidRPr="000A01E0" w:rsidRDefault="001C06FB" w:rsidP="00E728BB">
      <w:pPr>
        <w:pStyle w:val="Liststycke"/>
        <w:numPr>
          <w:ilvl w:val="0"/>
          <w:numId w:val="24"/>
        </w:num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label and product information sheet are provided in the case of distance selling</w:t>
      </w:r>
      <w:r w:rsidR="00C73ABD">
        <w:rPr>
          <w:rFonts w:ascii="Times New Roman" w:eastAsia="Times New Roman" w:hAnsi="Times New Roman" w:cs="Times New Roman"/>
          <w:sz w:val="24"/>
          <w:szCs w:val="24"/>
          <w:lang w:val="en-GB" w:eastAsia="de-DE"/>
        </w:rPr>
        <w:t xml:space="preserve"> in accordance with Annex</w:t>
      </w:r>
      <w:r w:rsidR="00FD070F">
        <w:rPr>
          <w:rFonts w:ascii="Times New Roman" w:eastAsia="Times New Roman" w:hAnsi="Times New Roman" w:cs="Times New Roman"/>
          <w:sz w:val="24"/>
          <w:szCs w:val="24"/>
          <w:lang w:val="en-GB" w:eastAsia="de-DE"/>
        </w:rPr>
        <w:t>es</w:t>
      </w:r>
      <w:r w:rsidR="00C73ABD">
        <w:rPr>
          <w:rFonts w:ascii="Times New Roman" w:eastAsia="Times New Roman" w:hAnsi="Times New Roman" w:cs="Times New Roman"/>
          <w:sz w:val="24"/>
          <w:szCs w:val="24"/>
          <w:lang w:val="en-GB" w:eastAsia="de-DE"/>
        </w:rPr>
        <w:t xml:space="preserve"> VI</w:t>
      </w:r>
      <w:r w:rsidR="00FD070F">
        <w:rPr>
          <w:rFonts w:ascii="Times New Roman" w:eastAsia="Times New Roman" w:hAnsi="Times New Roman" w:cs="Times New Roman"/>
          <w:sz w:val="24"/>
          <w:szCs w:val="24"/>
          <w:lang w:val="en-GB" w:eastAsia="de-DE"/>
        </w:rPr>
        <w:t xml:space="preserve"> and V</w:t>
      </w:r>
      <w:r w:rsidR="00C7435F">
        <w:rPr>
          <w:rFonts w:ascii="Times New Roman" w:eastAsia="Times New Roman" w:hAnsi="Times New Roman" w:cs="Times New Roman"/>
          <w:sz w:val="24"/>
          <w:szCs w:val="24"/>
          <w:lang w:val="en-GB" w:eastAsia="de-DE"/>
        </w:rPr>
        <w:t>I</w:t>
      </w:r>
      <w:r w:rsidR="00FD070F">
        <w:rPr>
          <w:rFonts w:ascii="Times New Roman" w:eastAsia="Times New Roman" w:hAnsi="Times New Roman" w:cs="Times New Roman"/>
          <w:sz w:val="24"/>
          <w:szCs w:val="24"/>
          <w:lang w:val="en-GB" w:eastAsia="de-DE"/>
        </w:rPr>
        <w:t>I</w:t>
      </w:r>
      <w:r>
        <w:rPr>
          <w:rFonts w:ascii="Times New Roman" w:eastAsia="Times New Roman" w:hAnsi="Times New Roman" w:cs="Times New Roman"/>
          <w:sz w:val="24"/>
          <w:szCs w:val="24"/>
          <w:lang w:val="en-GB" w:eastAsia="de-DE"/>
        </w:rPr>
        <w:t>;</w:t>
      </w:r>
    </w:p>
    <w:p w14:paraId="1A9FF25C" w14:textId="77777777" w:rsidR="000A01E0" w:rsidRPr="000A01E0" w:rsidRDefault="000A01E0" w:rsidP="00E728BB">
      <w:pPr>
        <w:pStyle w:val="Liststycke"/>
        <w:numPr>
          <w:ilvl w:val="0"/>
          <w:numId w:val="24"/>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any </w:t>
      </w:r>
      <w:r w:rsidR="00FA7634">
        <w:rPr>
          <w:rFonts w:ascii="Times New Roman" w:eastAsia="Times New Roman" w:hAnsi="Times New Roman" w:cs="Times New Roman"/>
          <w:sz w:val="24"/>
          <w:szCs w:val="24"/>
          <w:lang w:val="en-GB" w:eastAsia="de-DE"/>
        </w:rPr>
        <w:t xml:space="preserve">visual </w:t>
      </w:r>
      <w:r w:rsidRPr="000A01E0">
        <w:rPr>
          <w:rFonts w:ascii="Times New Roman" w:eastAsia="Times New Roman" w:hAnsi="Times New Roman" w:cs="Times New Roman"/>
          <w:sz w:val="24"/>
          <w:szCs w:val="24"/>
          <w:lang w:val="en-GB" w:eastAsia="de-DE"/>
        </w:rPr>
        <w:t xml:space="preserve">advertisement for a specific model of </w:t>
      </w:r>
      <w:r w:rsidR="003D39C8">
        <w:rPr>
          <w:rFonts w:ascii="Times New Roman" w:eastAsia="Times New Roman" w:hAnsi="Times New Roman" w:cs="Times New Roman"/>
          <w:sz w:val="24"/>
          <w:szCs w:val="24"/>
          <w:lang w:val="en-GB" w:eastAsia="de-DE"/>
        </w:rPr>
        <w:t>light source</w:t>
      </w:r>
      <w:r w:rsidR="006500C8" w:rsidRPr="006500C8">
        <w:rPr>
          <w:rFonts w:ascii="Times New Roman" w:eastAsia="Times New Roman" w:hAnsi="Times New Roman" w:cs="Times New Roman"/>
          <w:sz w:val="24"/>
          <w:szCs w:val="24"/>
          <w:lang w:val="en-GB" w:eastAsia="de-DE"/>
        </w:rPr>
        <w:t xml:space="preserve">, including on the internet, </w:t>
      </w:r>
      <w:r w:rsidRPr="000A01E0">
        <w:rPr>
          <w:rFonts w:ascii="Times New Roman" w:eastAsia="Times New Roman" w:hAnsi="Times New Roman" w:cs="Times New Roman"/>
          <w:sz w:val="24"/>
          <w:szCs w:val="24"/>
          <w:lang w:val="en-GB" w:eastAsia="de-DE"/>
        </w:rPr>
        <w:t>contains the energy efficiency class</w:t>
      </w:r>
      <w:r w:rsidR="00FA7634" w:rsidRPr="00587C44">
        <w:rPr>
          <w:lang w:val="en-GB"/>
        </w:rPr>
        <w:t xml:space="preserve"> </w:t>
      </w:r>
      <w:r w:rsidR="00FA7634" w:rsidRPr="00FA7634">
        <w:rPr>
          <w:rFonts w:ascii="Times New Roman" w:eastAsia="Times New Roman" w:hAnsi="Times New Roman" w:cs="Times New Roman"/>
          <w:sz w:val="24"/>
          <w:szCs w:val="24"/>
          <w:lang w:val="en-GB" w:eastAsia="de-DE"/>
        </w:rPr>
        <w:t>and the range of efficiency classes available on the label</w:t>
      </w:r>
      <w:r w:rsidR="00973981">
        <w:rPr>
          <w:rFonts w:ascii="Times New Roman" w:eastAsia="Times New Roman" w:hAnsi="Times New Roman" w:cs="Times New Roman"/>
          <w:sz w:val="24"/>
          <w:szCs w:val="24"/>
          <w:lang w:val="en-GB" w:eastAsia="de-DE"/>
        </w:rPr>
        <w:t xml:space="preserve">, in accordance with Annex </w:t>
      </w:r>
      <w:r w:rsidR="00AE76E2">
        <w:rPr>
          <w:rFonts w:ascii="Times New Roman" w:eastAsia="Times New Roman" w:hAnsi="Times New Roman" w:cs="Times New Roman"/>
          <w:sz w:val="24"/>
          <w:szCs w:val="24"/>
          <w:lang w:val="en-GB" w:eastAsia="de-DE"/>
        </w:rPr>
        <w:t>I</w:t>
      </w:r>
      <w:r w:rsidR="00973981" w:rsidRPr="00C7435F">
        <w:rPr>
          <w:rFonts w:ascii="Times New Roman" w:eastAsia="Times New Roman" w:hAnsi="Times New Roman" w:cs="Times New Roman"/>
          <w:sz w:val="24"/>
          <w:szCs w:val="24"/>
          <w:lang w:val="en-GB" w:eastAsia="de-DE"/>
        </w:rPr>
        <w:t>X</w:t>
      </w:r>
      <w:r w:rsidRPr="00C7435F">
        <w:rPr>
          <w:rFonts w:ascii="Times New Roman" w:eastAsia="Times New Roman" w:hAnsi="Times New Roman" w:cs="Times New Roman"/>
          <w:sz w:val="24"/>
          <w:szCs w:val="24"/>
          <w:lang w:val="en-GB" w:eastAsia="de-DE"/>
        </w:rPr>
        <w:t>;</w:t>
      </w:r>
    </w:p>
    <w:p w14:paraId="05218459" w14:textId="77777777" w:rsidR="001913AC" w:rsidRDefault="000A01E0" w:rsidP="00E728BB">
      <w:pPr>
        <w:pStyle w:val="Liststycke"/>
        <w:numPr>
          <w:ilvl w:val="0"/>
          <w:numId w:val="24"/>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any technical promotional material concerning a specific model of </w:t>
      </w:r>
      <w:r w:rsidR="006500C8" w:rsidRPr="006500C8">
        <w:rPr>
          <w:rFonts w:ascii="Times New Roman" w:eastAsia="Times New Roman" w:hAnsi="Times New Roman" w:cs="Times New Roman"/>
          <w:sz w:val="24"/>
          <w:szCs w:val="24"/>
          <w:lang w:val="en-GB" w:eastAsia="de-DE"/>
        </w:rPr>
        <w:t>light source</w:t>
      </w:r>
      <w:r w:rsidR="006500C8">
        <w:rPr>
          <w:rFonts w:ascii="Times New Roman" w:eastAsia="Times New Roman" w:hAnsi="Times New Roman" w:cs="Times New Roman"/>
          <w:sz w:val="24"/>
          <w:szCs w:val="24"/>
          <w:lang w:val="en-GB" w:eastAsia="de-DE"/>
        </w:rPr>
        <w:t>,</w:t>
      </w:r>
      <w:r w:rsidR="006500C8" w:rsidRPr="006500C8">
        <w:rPr>
          <w:rFonts w:ascii="Times New Roman" w:eastAsia="Times New Roman" w:hAnsi="Times New Roman" w:cs="Times New Roman"/>
          <w:sz w:val="24"/>
          <w:szCs w:val="24"/>
          <w:lang w:val="en-GB" w:eastAsia="de-DE"/>
        </w:rPr>
        <w:t xml:space="preserve"> </w:t>
      </w:r>
      <w:r w:rsidRPr="000A01E0">
        <w:rPr>
          <w:rFonts w:ascii="Times New Roman" w:eastAsia="Times New Roman" w:hAnsi="Times New Roman" w:cs="Times New Roman"/>
          <w:sz w:val="24"/>
          <w:szCs w:val="24"/>
          <w:lang w:val="en-GB" w:eastAsia="de-DE"/>
        </w:rPr>
        <w:t xml:space="preserve"> </w:t>
      </w:r>
      <w:r w:rsidR="006500C8" w:rsidRPr="006500C8">
        <w:rPr>
          <w:rFonts w:ascii="Times New Roman" w:eastAsia="Times New Roman" w:hAnsi="Times New Roman" w:cs="Times New Roman"/>
          <w:sz w:val="24"/>
          <w:szCs w:val="24"/>
          <w:lang w:val="en-GB" w:eastAsia="de-DE"/>
        </w:rPr>
        <w:t xml:space="preserve"> including on the internet, </w:t>
      </w:r>
      <w:r w:rsidRPr="000A01E0">
        <w:rPr>
          <w:rFonts w:ascii="Times New Roman" w:eastAsia="Times New Roman" w:hAnsi="Times New Roman" w:cs="Times New Roman"/>
          <w:sz w:val="24"/>
          <w:szCs w:val="24"/>
          <w:lang w:val="en-GB" w:eastAsia="de-DE"/>
        </w:rPr>
        <w:t>which describes its specific technical parameters includes the energy efficiency class of that model</w:t>
      </w:r>
      <w:r w:rsidR="00FA7634">
        <w:rPr>
          <w:rFonts w:ascii="Times New Roman" w:eastAsia="Times New Roman" w:hAnsi="Times New Roman" w:cs="Times New Roman"/>
          <w:sz w:val="24"/>
          <w:szCs w:val="24"/>
          <w:lang w:val="en-GB" w:eastAsia="de-DE"/>
        </w:rPr>
        <w:t xml:space="preserve"> </w:t>
      </w:r>
      <w:r w:rsidR="00FA7634" w:rsidRPr="00FA7634">
        <w:rPr>
          <w:rFonts w:ascii="Times New Roman" w:eastAsia="Times New Roman" w:hAnsi="Times New Roman" w:cs="Times New Roman"/>
          <w:sz w:val="24"/>
          <w:szCs w:val="24"/>
          <w:lang w:val="en-GB" w:eastAsia="de-DE"/>
        </w:rPr>
        <w:t>and the range of efficiency classes available on the label</w:t>
      </w:r>
      <w:r w:rsidR="00973981">
        <w:rPr>
          <w:rFonts w:ascii="Times New Roman" w:eastAsia="Times New Roman" w:hAnsi="Times New Roman" w:cs="Times New Roman"/>
          <w:sz w:val="24"/>
          <w:szCs w:val="24"/>
          <w:lang w:val="en-GB" w:eastAsia="de-DE"/>
        </w:rPr>
        <w:t xml:space="preserve">, in accordance with Annex </w:t>
      </w:r>
      <w:r w:rsidR="00AE76E2">
        <w:rPr>
          <w:rFonts w:ascii="Times New Roman" w:eastAsia="Times New Roman" w:hAnsi="Times New Roman" w:cs="Times New Roman"/>
          <w:sz w:val="24"/>
          <w:szCs w:val="24"/>
          <w:lang w:val="en-GB" w:eastAsia="de-DE"/>
        </w:rPr>
        <w:t>I</w:t>
      </w:r>
      <w:r w:rsidR="00973981" w:rsidRPr="00C7435F">
        <w:rPr>
          <w:rFonts w:ascii="Times New Roman" w:eastAsia="Times New Roman" w:hAnsi="Times New Roman" w:cs="Times New Roman"/>
          <w:sz w:val="24"/>
          <w:szCs w:val="24"/>
          <w:lang w:val="en-GB" w:eastAsia="de-DE"/>
        </w:rPr>
        <w:t>X</w:t>
      </w:r>
      <w:r w:rsidR="001913AC">
        <w:rPr>
          <w:rFonts w:ascii="Times New Roman" w:eastAsia="Times New Roman" w:hAnsi="Times New Roman" w:cs="Times New Roman"/>
          <w:sz w:val="24"/>
          <w:szCs w:val="24"/>
          <w:lang w:val="en-GB" w:eastAsia="de-DE"/>
        </w:rPr>
        <w:t>;</w:t>
      </w:r>
    </w:p>
    <w:p w14:paraId="71DF0466" w14:textId="19C4159A" w:rsidR="00973981" w:rsidRDefault="001913AC" w:rsidP="00E728BB">
      <w:pPr>
        <w:pStyle w:val="Liststycke"/>
        <w:numPr>
          <w:ilvl w:val="0"/>
          <w:numId w:val="24"/>
        </w:num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existing labels on products on display </w:t>
      </w:r>
      <w:r w:rsidR="00257793">
        <w:rPr>
          <w:rFonts w:ascii="Times New Roman" w:eastAsia="Times New Roman" w:hAnsi="Times New Roman" w:cs="Times New Roman"/>
          <w:sz w:val="24"/>
          <w:szCs w:val="24"/>
          <w:lang w:val="en-GB" w:eastAsia="de-DE"/>
        </w:rPr>
        <w:t>at points of sale</w:t>
      </w:r>
      <w:r>
        <w:rPr>
          <w:rFonts w:ascii="Times New Roman" w:eastAsia="Times New Roman" w:hAnsi="Times New Roman" w:cs="Times New Roman"/>
          <w:sz w:val="24"/>
          <w:szCs w:val="24"/>
          <w:lang w:val="en-GB" w:eastAsia="de-DE"/>
        </w:rPr>
        <w:t xml:space="preserve"> are replaced </w:t>
      </w:r>
      <w:r w:rsidR="00257793">
        <w:rPr>
          <w:rFonts w:ascii="Times New Roman" w:eastAsia="Times New Roman" w:hAnsi="Times New Roman" w:cs="Times New Roman"/>
          <w:sz w:val="24"/>
          <w:szCs w:val="24"/>
          <w:lang w:val="en-GB" w:eastAsia="de-DE"/>
        </w:rPr>
        <w:t xml:space="preserve">by </w:t>
      </w:r>
      <w:r>
        <w:rPr>
          <w:rFonts w:ascii="Times New Roman" w:eastAsia="Times New Roman" w:hAnsi="Times New Roman" w:cs="Times New Roman"/>
          <w:sz w:val="24"/>
          <w:szCs w:val="24"/>
          <w:lang w:val="en-GB" w:eastAsia="de-DE"/>
        </w:rPr>
        <w:t xml:space="preserve">the rescaled labels that need to be </w:t>
      </w:r>
      <w:r w:rsidR="00257793">
        <w:rPr>
          <w:rFonts w:ascii="Times New Roman" w:eastAsia="Times New Roman" w:hAnsi="Times New Roman" w:cs="Times New Roman"/>
          <w:sz w:val="24"/>
          <w:szCs w:val="24"/>
          <w:lang w:val="en-GB" w:eastAsia="de-DE"/>
        </w:rPr>
        <w:t>attached to</w:t>
      </w:r>
      <w:r>
        <w:rPr>
          <w:rFonts w:ascii="Times New Roman" w:eastAsia="Times New Roman" w:hAnsi="Times New Roman" w:cs="Times New Roman"/>
          <w:sz w:val="24"/>
          <w:szCs w:val="24"/>
          <w:lang w:val="en-GB" w:eastAsia="de-DE"/>
        </w:rPr>
        <w:t xml:space="preserve"> the packages</w:t>
      </w:r>
      <w:r w:rsidR="0007379A">
        <w:rPr>
          <w:rFonts w:ascii="Times New Roman" w:eastAsia="Times New Roman" w:hAnsi="Times New Roman" w:cs="Times New Roman"/>
          <w:sz w:val="24"/>
          <w:szCs w:val="24"/>
          <w:lang w:val="en-GB" w:eastAsia="de-DE"/>
        </w:rPr>
        <w:t xml:space="preserve"> in such a way as to cover the existing label</w:t>
      </w:r>
      <w:r>
        <w:rPr>
          <w:rFonts w:ascii="Times New Roman" w:eastAsia="Times New Roman" w:hAnsi="Times New Roman" w:cs="Times New Roman"/>
          <w:sz w:val="24"/>
          <w:szCs w:val="24"/>
          <w:lang w:val="en-GB" w:eastAsia="de-DE"/>
        </w:rPr>
        <w:t>.</w:t>
      </w:r>
    </w:p>
    <w:p w14:paraId="13B8B47E" w14:textId="77777777" w:rsidR="00C87079" w:rsidRPr="00937BA9" w:rsidRDefault="00973981" w:rsidP="00384F27">
      <w:pPr>
        <w:pStyle w:val="Titrearticle"/>
      </w:pPr>
      <w:r>
        <w:rPr>
          <w:lang w:eastAsia="de-DE"/>
        </w:rPr>
        <w:t>Article</w:t>
      </w:r>
      <w:r w:rsidR="00C87079">
        <w:t xml:space="preserve"> 5</w:t>
      </w:r>
    </w:p>
    <w:p w14:paraId="2FF10DEE"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Measurement methods</w:t>
      </w:r>
    </w:p>
    <w:p w14:paraId="4DB03A3A" w14:textId="127D686D" w:rsidR="000A01E0" w:rsidRPr="00976AA9" w:rsidRDefault="000A01E0" w:rsidP="00E728BB">
      <w:pPr>
        <w:spacing w:before="100" w:beforeAutospacing="1" w:after="100" w:afterAutospacing="1"/>
        <w:rPr>
          <w:rFonts w:eastAsia="Times New Roman"/>
          <w:szCs w:val="24"/>
          <w:lang w:eastAsia="de-DE"/>
        </w:rPr>
      </w:pPr>
      <w:r w:rsidRPr="00976AA9">
        <w:rPr>
          <w:rFonts w:eastAsia="Times New Roman"/>
          <w:szCs w:val="24"/>
          <w:lang w:eastAsia="de-DE"/>
        </w:rPr>
        <w:t xml:space="preserve">The information to be provided pursuant to Articles 3 and 4 shall be obtained by reliable, accurate and reproducible measurement </w:t>
      </w:r>
      <w:r>
        <w:rPr>
          <w:rFonts w:eastAsia="Times New Roman"/>
          <w:szCs w:val="24"/>
          <w:lang w:eastAsia="de-DE"/>
        </w:rPr>
        <w:t>and calculation methods</w:t>
      </w:r>
      <w:r w:rsidRPr="00976AA9">
        <w:rPr>
          <w:rFonts w:eastAsia="Times New Roman"/>
          <w:szCs w:val="24"/>
          <w:lang w:eastAsia="de-DE"/>
        </w:rPr>
        <w:t xml:space="preserve">, which take into account the </w:t>
      </w:r>
      <w:r w:rsidRPr="00976AA9">
        <w:rPr>
          <w:rFonts w:eastAsia="Times New Roman"/>
          <w:szCs w:val="24"/>
          <w:lang w:eastAsia="de-DE"/>
        </w:rPr>
        <w:lastRenderedPageBreak/>
        <w:t xml:space="preserve">recognised state-of-the-art measurement </w:t>
      </w:r>
      <w:r>
        <w:rPr>
          <w:rFonts w:eastAsia="Times New Roman"/>
          <w:szCs w:val="24"/>
          <w:lang w:eastAsia="de-DE"/>
        </w:rPr>
        <w:t xml:space="preserve">and calculation </w:t>
      </w:r>
      <w:r w:rsidRPr="00976AA9">
        <w:rPr>
          <w:rFonts w:eastAsia="Times New Roman"/>
          <w:szCs w:val="24"/>
          <w:lang w:eastAsia="de-DE"/>
        </w:rPr>
        <w:t>methods</w:t>
      </w:r>
      <w:r>
        <w:rPr>
          <w:rFonts w:eastAsia="Times New Roman"/>
          <w:szCs w:val="24"/>
          <w:lang w:eastAsia="de-DE"/>
        </w:rPr>
        <w:t xml:space="preserve">, as set out in Annex </w:t>
      </w:r>
      <w:r w:rsidR="002C3580">
        <w:rPr>
          <w:rFonts w:eastAsia="Times New Roman"/>
          <w:szCs w:val="24"/>
          <w:lang w:eastAsia="de-DE"/>
        </w:rPr>
        <w:t xml:space="preserve">IV and in Annex </w:t>
      </w:r>
      <w:r w:rsidR="008035AC">
        <w:rPr>
          <w:rFonts w:eastAsia="Times New Roman"/>
          <w:szCs w:val="24"/>
          <w:lang w:eastAsia="de-DE"/>
        </w:rPr>
        <w:t>VIII</w:t>
      </w:r>
      <w:r w:rsidR="00D571F2">
        <w:rPr>
          <w:rFonts w:eastAsia="Times New Roman"/>
          <w:szCs w:val="24"/>
          <w:lang w:eastAsia="de-DE"/>
        </w:rPr>
        <w:t>.</w:t>
      </w:r>
    </w:p>
    <w:p w14:paraId="7CB6A9F2" w14:textId="77777777" w:rsidR="00C87079" w:rsidRPr="00937BA9" w:rsidRDefault="00973981" w:rsidP="00384F27">
      <w:pPr>
        <w:pStyle w:val="Titrearticle"/>
      </w:pPr>
      <w:r>
        <w:t xml:space="preserve">Article </w:t>
      </w:r>
      <w:r w:rsidR="00C87079">
        <w:t>6</w:t>
      </w:r>
    </w:p>
    <w:p w14:paraId="06A291D1"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Verification procedure for market surveillance purposes</w:t>
      </w:r>
    </w:p>
    <w:p w14:paraId="25C0BDCB" w14:textId="77777777" w:rsidR="000A01E0" w:rsidRPr="00976AA9" w:rsidRDefault="000A01E0" w:rsidP="00E728BB">
      <w:pPr>
        <w:spacing w:before="100" w:beforeAutospacing="1" w:after="100" w:afterAutospacing="1"/>
        <w:rPr>
          <w:rFonts w:eastAsia="Times New Roman"/>
          <w:szCs w:val="24"/>
          <w:lang w:eastAsia="de-DE"/>
        </w:rPr>
      </w:pPr>
      <w:r w:rsidRPr="00976AA9">
        <w:rPr>
          <w:rFonts w:eastAsia="Times New Roman"/>
          <w:szCs w:val="24"/>
          <w:lang w:eastAsia="de-DE"/>
        </w:rPr>
        <w:t xml:space="preserve">Member States shall apply the procedure laid down in Annex </w:t>
      </w:r>
      <w:r w:rsidR="008D05A7">
        <w:rPr>
          <w:rFonts w:eastAsia="Times New Roman"/>
          <w:szCs w:val="24"/>
          <w:lang w:eastAsia="de-DE"/>
        </w:rPr>
        <w:t>VIII</w:t>
      </w:r>
      <w:r w:rsidRPr="00976AA9">
        <w:rPr>
          <w:rFonts w:eastAsia="Times New Roman"/>
          <w:szCs w:val="24"/>
          <w:lang w:eastAsia="de-DE"/>
        </w:rPr>
        <w:t xml:space="preserve"> when assessing the conformity of the de</w:t>
      </w:r>
      <w:r w:rsidR="00D571F2">
        <w:rPr>
          <w:rFonts w:eastAsia="Times New Roman"/>
          <w:szCs w:val="24"/>
          <w:lang w:eastAsia="de-DE"/>
        </w:rPr>
        <w:t>clared energy efficiency class</w:t>
      </w:r>
      <w:r w:rsidR="00920ABD">
        <w:rPr>
          <w:rFonts w:eastAsia="Times New Roman"/>
          <w:szCs w:val="24"/>
          <w:lang w:eastAsia="de-DE"/>
        </w:rPr>
        <w:t xml:space="preserve">, the </w:t>
      </w:r>
      <w:r w:rsidR="00D571F2">
        <w:rPr>
          <w:rFonts w:eastAsia="Times New Roman"/>
          <w:szCs w:val="24"/>
          <w:lang w:eastAsia="de-DE"/>
        </w:rPr>
        <w:t>energy consumption</w:t>
      </w:r>
      <w:r w:rsidR="00920ABD">
        <w:rPr>
          <w:rFonts w:eastAsia="Times New Roman"/>
          <w:szCs w:val="24"/>
          <w:lang w:eastAsia="de-DE"/>
        </w:rPr>
        <w:t xml:space="preserve"> and </w:t>
      </w:r>
      <w:r w:rsidR="00920ABD">
        <w:t>the information entered in the product database</w:t>
      </w:r>
      <w:r w:rsidR="00D571F2">
        <w:rPr>
          <w:rFonts w:eastAsia="Times New Roman"/>
          <w:szCs w:val="24"/>
          <w:lang w:eastAsia="de-DE"/>
        </w:rPr>
        <w:t>.</w:t>
      </w:r>
    </w:p>
    <w:p w14:paraId="6E3DD76E" w14:textId="77777777" w:rsidR="00C87079" w:rsidRPr="00937BA9" w:rsidRDefault="007F5CA1" w:rsidP="00384F27">
      <w:pPr>
        <w:pStyle w:val="Titrearticle"/>
      </w:pPr>
      <w:r>
        <w:t>Article</w:t>
      </w:r>
      <w:r w:rsidR="00C87079">
        <w:t xml:space="preserve"> 7</w:t>
      </w:r>
    </w:p>
    <w:p w14:paraId="557E8A20"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Revision</w:t>
      </w:r>
    </w:p>
    <w:p w14:paraId="7285CE81" w14:textId="77777777" w:rsidR="000A01E0" w:rsidRDefault="000A01E0" w:rsidP="00E728BB">
      <w:pPr>
        <w:spacing w:before="100" w:beforeAutospacing="1" w:after="100" w:afterAutospacing="1"/>
        <w:rPr>
          <w:rFonts w:eastAsia="Times New Roman"/>
          <w:szCs w:val="24"/>
          <w:lang w:eastAsia="de-DE"/>
        </w:rPr>
      </w:pPr>
      <w:r w:rsidRPr="00976AA9">
        <w:rPr>
          <w:rFonts w:eastAsia="Times New Roman"/>
          <w:szCs w:val="24"/>
          <w:lang w:eastAsia="de-DE"/>
        </w:rPr>
        <w:t xml:space="preserve">The Commission shall review this Regulation in the light of technological progress </w:t>
      </w:r>
      <w:r>
        <w:rPr>
          <w:rFonts w:eastAsia="Times New Roman"/>
          <w:szCs w:val="24"/>
          <w:lang w:eastAsia="de-DE"/>
        </w:rPr>
        <w:t xml:space="preserve">and present the results of this review to the Consultation Forum </w:t>
      </w:r>
      <w:r w:rsidRPr="00976AA9">
        <w:rPr>
          <w:rFonts w:eastAsia="Times New Roman"/>
          <w:szCs w:val="24"/>
          <w:lang w:eastAsia="de-DE"/>
        </w:rPr>
        <w:t xml:space="preserve">no later than </w:t>
      </w:r>
      <w:r w:rsidR="00B93F26" w:rsidRPr="00800405">
        <w:rPr>
          <w:rFonts w:eastAsia="Times New Roman"/>
          <w:szCs w:val="24"/>
          <w:lang w:eastAsia="de-DE"/>
        </w:rPr>
        <w:t xml:space="preserve">five </w:t>
      </w:r>
      <w:r w:rsidRPr="00800405">
        <w:rPr>
          <w:rFonts w:eastAsia="Times New Roman"/>
          <w:szCs w:val="24"/>
          <w:lang w:eastAsia="de-DE"/>
        </w:rPr>
        <w:t>years after</w:t>
      </w:r>
      <w:r w:rsidRPr="00976AA9">
        <w:rPr>
          <w:rFonts w:eastAsia="Times New Roman"/>
          <w:szCs w:val="24"/>
          <w:lang w:eastAsia="de-DE"/>
        </w:rPr>
        <w:t xml:space="preserve"> its entry into force. </w:t>
      </w:r>
      <w:r w:rsidR="006500C8" w:rsidRPr="006500C8">
        <w:rPr>
          <w:rFonts w:eastAsia="Times New Roman"/>
          <w:szCs w:val="24"/>
          <w:lang w:eastAsia="de-DE"/>
        </w:rPr>
        <w:t xml:space="preserve">The review shall in particular assess </w:t>
      </w:r>
      <w:r w:rsidR="00E728BB">
        <w:rPr>
          <w:rFonts w:eastAsia="Times New Roman"/>
          <w:szCs w:val="24"/>
          <w:lang w:eastAsia="de-DE"/>
        </w:rPr>
        <w:t>the energy efficiency classes and</w:t>
      </w:r>
      <w:r w:rsidR="006500C8" w:rsidRPr="006500C8">
        <w:rPr>
          <w:rFonts w:eastAsia="Times New Roman"/>
          <w:szCs w:val="24"/>
          <w:lang w:eastAsia="de-DE"/>
        </w:rPr>
        <w:t xml:space="preserve"> the possibility to introduce </w:t>
      </w:r>
      <w:r w:rsidR="00E728BB">
        <w:rPr>
          <w:rFonts w:eastAsia="Times New Roman"/>
          <w:szCs w:val="24"/>
          <w:lang w:eastAsia="de-DE"/>
        </w:rPr>
        <w:t>requirements on other environmental aspects</w:t>
      </w:r>
      <w:r w:rsidR="006500C8" w:rsidRPr="006500C8">
        <w:rPr>
          <w:rFonts w:eastAsia="Times New Roman"/>
          <w:szCs w:val="24"/>
          <w:lang w:eastAsia="de-DE"/>
        </w:rPr>
        <w:t xml:space="preserve"> </w:t>
      </w:r>
      <w:r w:rsidR="00E728BB">
        <w:rPr>
          <w:rFonts w:eastAsia="Times New Roman"/>
          <w:szCs w:val="24"/>
          <w:lang w:eastAsia="de-DE"/>
        </w:rPr>
        <w:t>in coherence with the objective to promote a</w:t>
      </w:r>
      <w:r w:rsidR="006500C8" w:rsidRPr="006500C8">
        <w:rPr>
          <w:rFonts w:eastAsia="Times New Roman"/>
          <w:szCs w:val="24"/>
          <w:lang w:eastAsia="de-DE"/>
        </w:rPr>
        <w:t xml:space="preserve"> circular economy</w:t>
      </w:r>
      <w:r w:rsidR="006500C8">
        <w:rPr>
          <w:rFonts w:eastAsia="Times New Roman"/>
          <w:szCs w:val="24"/>
          <w:lang w:eastAsia="de-DE"/>
        </w:rPr>
        <w:t>.</w:t>
      </w:r>
    </w:p>
    <w:p w14:paraId="125025C0" w14:textId="77777777" w:rsidR="00AD5F25" w:rsidRPr="00AD5F25" w:rsidRDefault="00B93F26" w:rsidP="00E728BB">
      <w:pPr>
        <w:spacing w:before="100" w:beforeAutospacing="1" w:after="100" w:afterAutospacing="1"/>
        <w:rPr>
          <w:rFonts w:eastAsia="Times New Roman"/>
          <w:szCs w:val="24"/>
          <w:lang w:eastAsia="de-DE"/>
        </w:rPr>
      </w:pPr>
      <w:r>
        <w:rPr>
          <w:rFonts w:eastAsia="Times New Roman"/>
          <w:szCs w:val="24"/>
          <w:lang w:eastAsia="de-DE"/>
        </w:rPr>
        <w:t>In addition, t</w:t>
      </w:r>
      <w:r w:rsidR="00AD5F25" w:rsidRPr="00AD5F25">
        <w:rPr>
          <w:rFonts w:eastAsia="Times New Roman"/>
          <w:szCs w:val="24"/>
          <w:lang w:eastAsia="de-DE"/>
        </w:rPr>
        <w:t xml:space="preserve">he Commission </w:t>
      </w:r>
      <w:r>
        <w:rPr>
          <w:rFonts w:eastAsia="Times New Roman"/>
          <w:szCs w:val="24"/>
          <w:lang w:eastAsia="de-DE"/>
        </w:rPr>
        <w:t>shall</w:t>
      </w:r>
      <w:r w:rsidR="007F5CA1">
        <w:rPr>
          <w:rFonts w:eastAsia="Times New Roman"/>
          <w:szCs w:val="24"/>
          <w:lang w:eastAsia="de-DE"/>
        </w:rPr>
        <w:t xml:space="preserve"> </w:t>
      </w:r>
      <w:r w:rsidR="00AD5F25" w:rsidRPr="00AD5F25">
        <w:rPr>
          <w:rFonts w:eastAsia="Times New Roman"/>
          <w:szCs w:val="24"/>
          <w:lang w:eastAsia="de-DE"/>
        </w:rPr>
        <w:t>re</w:t>
      </w:r>
      <w:r w:rsidR="007F5CA1">
        <w:rPr>
          <w:rFonts w:eastAsia="Times New Roman"/>
          <w:szCs w:val="24"/>
          <w:lang w:eastAsia="de-DE"/>
        </w:rPr>
        <w:t>view</w:t>
      </w:r>
      <w:r w:rsidR="00AD5F25" w:rsidRPr="00AD5F25">
        <w:rPr>
          <w:rFonts w:eastAsia="Times New Roman"/>
          <w:szCs w:val="24"/>
          <w:lang w:eastAsia="de-DE"/>
        </w:rPr>
        <w:t xml:space="preserve"> the label </w:t>
      </w:r>
      <w:r w:rsidR="007F5CA1">
        <w:rPr>
          <w:rFonts w:eastAsia="Times New Roman"/>
          <w:szCs w:val="24"/>
          <w:lang w:eastAsia="de-DE"/>
        </w:rPr>
        <w:t xml:space="preserve">to rescale it when the requirements in Article 11 of Regulation (EU) 2017/1369 are met. </w:t>
      </w:r>
    </w:p>
    <w:p w14:paraId="27C4E608" w14:textId="77777777" w:rsidR="00C87079" w:rsidRPr="00937BA9" w:rsidRDefault="00B93F26" w:rsidP="00384F27">
      <w:pPr>
        <w:pStyle w:val="Titrearticle"/>
      </w:pPr>
      <w:r>
        <w:rPr>
          <w:lang w:eastAsia="de-DE"/>
        </w:rPr>
        <w:t>Article</w:t>
      </w:r>
      <w:r w:rsidR="00C87079">
        <w:t xml:space="preserve"> 8</w:t>
      </w:r>
    </w:p>
    <w:p w14:paraId="47B98BFC"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Repeal</w:t>
      </w:r>
    </w:p>
    <w:p w14:paraId="343C1C89" w14:textId="77777777" w:rsidR="000A01E0" w:rsidRDefault="000A01E0" w:rsidP="000A01E0">
      <w:pPr>
        <w:spacing w:before="100" w:beforeAutospacing="1" w:after="100" w:afterAutospacing="1"/>
        <w:jc w:val="left"/>
        <w:rPr>
          <w:rFonts w:eastAsia="Times New Roman"/>
          <w:szCs w:val="24"/>
          <w:lang w:eastAsia="de-DE"/>
        </w:rPr>
      </w:pPr>
      <w:r w:rsidRPr="00800405">
        <w:rPr>
          <w:rFonts w:eastAsia="Times New Roman"/>
          <w:szCs w:val="24"/>
          <w:lang w:eastAsia="de-DE"/>
        </w:rPr>
        <w:t xml:space="preserve">Regulation </w:t>
      </w:r>
      <w:r w:rsidR="00B93F26" w:rsidRPr="00800405">
        <w:rPr>
          <w:rFonts w:eastAsia="Times New Roman"/>
          <w:szCs w:val="24"/>
          <w:lang w:eastAsia="de-DE"/>
        </w:rPr>
        <w:t xml:space="preserve">(EU) No </w:t>
      </w:r>
      <w:r w:rsidR="00552636">
        <w:rPr>
          <w:rFonts w:eastAsia="Times New Roman"/>
          <w:szCs w:val="24"/>
          <w:lang w:eastAsia="de-DE"/>
        </w:rPr>
        <w:t>874/2012</w:t>
      </w:r>
      <w:r>
        <w:rPr>
          <w:rFonts w:eastAsia="Times New Roman"/>
          <w:szCs w:val="24"/>
          <w:lang w:eastAsia="de-DE"/>
        </w:rPr>
        <w:t xml:space="preserve"> is repealed as of the day </w:t>
      </w:r>
      <w:r w:rsidR="00EC70D2">
        <w:rPr>
          <w:rFonts w:eastAsia="Times New Roman"/>
          <w:szCs w:val="24"/>
          <w:lang w:eastAsia="de-DE"/>
        </w:rPr>
        <w:t>of application</w:t>
      </w:r>
      <w:r>
        <w:rPr>
          <w:rFonts w:eastAsia="Times New Roman"/>
          <w:szCs w:val="24"/>
          <w:lang w:eastAsia="de-DE"/>
        </w:rPr>
        <w:t xml:space="preserve"> of this Regulation</w:t>
      </w:r>
      <w:r w:rsidR="00EC70D2">
        <w:rPr>
          <w:rFonts w:eastAsia="Times New Roman"/>
          <w:szCs w:val="24"/>
          <w:lang w:eastAsia="de-DE"/>
        </w:rPr>
        <w:t xml:space="preserve"> as specified in Article 9.2</w:t>
      </w:r>
      <w:r w:rsidR="00FD070F">
        <w:rPr>
          <w:rFonts w:eastAsia="Times New Roman"/>
          <w:szCs w:val="24"/>
          <w:lang w:eastAsia="de-DE"/>
        </w:rPr>
        <w:t>.</w:t>
      </w:r>
    </w:p>
    <w:p w14:paraId="011F9362" w14:textId="77777777" w:rsidR="000A01E0" w:rsidRDefault="000A01E0" w:rsidP="00F13CD4">
      <w:pPr>
        <w:spacing w:before="100" w:beforeAutospacing="1" w:after="100" w:afterAutospacing="1"/>
        <w:jc w:val="left"/>
        <w:rPr>
          <w:rFonts w:eastAsia="Times New Roman"/>
          <w:szCs w:val="24"/>
          <w:lang w:eastAsia="de-DE"/>
        </w:rPr>
      </w:pPr>
    </w:p>
    <w:p w14:paraId="3365C163" w14:textId="77777777" w:rsidR="00C87079" w:rsidRPr="00937BA9" w:rsidRDefault="00A967F4" w:rsidP="00384F27">
      <w:pPr>
        <w:pStyle w:val="Titrearticle"/>
      </w:pPr>
      <w:r>
        <w:t>Article</w:t>
      </w:r>
      <w:r w:rsidR="00C87079">
        <w:t xml:space="preserve"> </w:t>
      </w:r>
      <w:r>
        <w:t>9</w:t>
      </w:r>
    </w:p>
    <w:p w14:paraId="61B8C1F0"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Entry into force and application</w:t>
      </w:r>
    </w:p>
    <w:p w14:paraId="07F50AC4" w14:textId="77777777" w:rsidR="000A01E0" w:rsidRPr="00976AA9" w:rsidRDefault="000A01E0" w:rsidP="000A01E0">
      <w:pPr>
        <w:spacing w:before="100" w:beforeAutospacing="1" w:after="100" w:afterAutospacing="1"/>
        <w:jc w:val="left"/>
        <w:rPr>
          <w:rFonts w:eastAsia="Times New Roman"/>
          <w:szCs w:val="24"/>
          <w:lang w:eastAsia="de-DE"/>
        </w:rPr>
      </w:pPr>
      <w:r w:rsidRPr="00976AA9">
        <w:rPr>
          <w:rFonts w:eastAsia="Times New Roman"/>
          <w:szCs w:val="24"/>
          <w:lang w:eastAsia="de-DE"/>
        </w:rPr>
        <w:t>1.   This Regulation shall enter into force on the 20th day following its publication in the Official Journal of the European Union.</w:t>
      </w:r>
    </w:p>
    <w:p w14:paraId="5EAAB2A7" w14:textId="77777777" w:rsidR="00BD21C5" w:rsidRDefault="000A01E0" w:rsidP="000A01E0">
      <w:pPr>
        <w:spacing w:before="100" w:beforeAutospacing="1" w:after="100" w:afterAutospacing="1"/>
        <w:jc w:val="left"/>
        <w:rPr>
          <w:rFonts w:eastAsia="Times New Roman"/>
          <w:szCs w:val="24"/>
          <w:lang w:eastAsia="de-DE"/>
        </w:rPr>
      </w:pPr>
      <w:r w:rsidRPr="00976AA9">
        <w:rPr>
          <w:rFonts w:eastAsia="Times New Roman"/>
          <w:szCs w:val="24"/>
          <w:lang w:eastAsia="de-DE"/>
        </w:rPr>
        <w:t xml:space="preserve">2.   It shall apply from </w:t>
      </w:r>
      <w:r w:rsidR="00A967F4" w:rsidRPr="00800405">
        <w:rPr>
          <w:rFonts w:eastAsia="Times New Roman"/>
          <w:color w:val="FF0000"/>
          <w:szCs w:val="24"/>
          <w:lang w:eastAsia="de-DE"/>
        </w:rPr>
        <w:t>XXXX</w:t>
      </w:r>
      <w:r w:rsidRPr="00800405">
        <w:rPr>
          <w:rFonts w:eastAsia="Times New Roman"/>
          <w:szCs w:val="24"/>
          <w:lang w:eastAsia="de-DE"/>
        </w:rPr>
        <w:t>.</w:t>
      </w:r>
    </w:p>
    <w:p w14:paraId="5594AC60" w14:textId="77777777" w:rsidR="00FD070F" w:rsidRDefault="00C7435F" w:rsidP="000A01E0">
      <w:pPr>
        <w:spacing w:before="100" w:beforeAutospacing="1" w:after="100" w:afterAutospacing="1"/>
        <w:jc w:val="left"/>
        <w:rPr>
          <w:rFonts w:eastAsia="Times New Roman"/>
          <w:szCs w:val="24"/>
          <w:lang w:eastAsia="de-DE"/>
        </w:rPr>
      </w:pPr>
      <w:r>
        <w:rPr>
          <w:rFonts w:eastAsia="Times New Roman"/>
          <w:szCs w:val="24"/>
          <w:lang w:eastAsia="de-DE"/>
        </w:rPr>
        <w:t xml:space="preserve">3. </w:t>
      </w:r>
      <w:r w:rsidR="00FD070F" w:rsidRPr="00FD070F">
        <w:rPr>
          <w:rFonts w:eastAsia="Times New Roman"/>
          <w:szCs w:val="24"/>
          <w:lang w:eastAsia="de-DE"/>
        </w:rPr>
        <w:t>The obligation</w:t>
      </w:r>
      <w:r w:rsidR="00800405">
        <w:rPr>
          <w:rFonts w:eastAsia="Times New Roman"/>
          <w:szCs w:val="24"/>
          <w:lang w:eastAsia="de-DE"/>
        </w:rPr>
        <w:t>s</w:t>
      </w:r>
      <w:r w:rsidR="00FD070F" w:rsidRPr="00FD070F">
        <w:rPr>
          <w:rFonts w:eastAsia="Times New Roman"/>
          <w:szCs w:val="24"/>
          <w:lang w:eastAsia="de-DE"/>
        </w:rPr>
        <w:t xml:space="preserve"> in Article 3(1)(a) and (b) shall apply 4 months before </w:t>
      </w:r>
      <w:r w:rsidR="00FD070F">
        <w:rPr>
          <w:rFonts w:eastAsia="Times New Roman"/>
          <w:szCs w:val="24"/>
          <w:lang w:eastAsia="de-DE"/>
        </w:rPr>
        <w:t>XXXX</w:t>
      </w:r>
      <w:r w:rsidR="00FD070F" w:rsidRPr="00FD070F">
        <w:rPr>
          <w:rFonts w:eastAsia="Times New Roman"/>
          <w:szCs w:val="24"/>
          <w:lang w:eastAsia="de-DE"/>
        </w:rPr>
        <w:t>.</w:t>
      </w:r>
    </w:p>
    <w:p w14:paraId="43A5B471" w14:textId="77777777" w:rsidR="0007379A" w:rsidRDefault="0007379A" w:rsidP="000A01E0">
      <w:pPr>
        <w:spacing w:before="100" w:beforeAutospacing="1" w:after="100" w:afterAutospacing="1"/>
        <w:jc w:val="left"/>
        <w:rPr>
          <w:rFonts w:eastAsia="Times New Roman"/>
          <w:szCs w:val="24"/>
          <w:lang w:eastAsia="de-DE"/>
        </w:rPr>
      </w:pPr>
      <w:r>
        <w:rPr>
          <w:rFonts w:eastAsia="Times New Roman"/>
          <w:szCs w:val="24"/>
          <w:lang w:eastAsia="de-DE"/>
        </w:rPr>
        <w:t xml:space="preserve">4. The obligation in Article 4(1)(e) shall apply </w:t>
      </w:r>
      <w:r w:rsidR="00E60D89">
        <w:rPr>
          <w:rFonts w:eastAsia="Times New Roman"/>
          <w:szCs w:val="24"/>
          <w:lang w:eastAsia="de-DE"/>
        </w:rPr>
        <w:t>30</w:t>
      </w:r>
      <w:r>
        <w:rPr>
          <w:rFonts w:eastAsia="Times New Roman"/>
          <w:szCs w:val="24"/>
          <w:lang w:eastAsia="de-DE"/>
        </w:rPr>
        <w:t xml:space="preserve"> days after the</w:t>
      </w:r>
      <w:r w:rsidR="004C5279">
        <w:rPr>
          <w:rFonts w:eastAsia="Times New Roman"/>
          <w:szCs w:val="24"/>
          <w:lang w:eastAsia="de-DE"/>
        </w:rPr>
        <w:t xml:space="preserve"> date of entry into force.</w:t>
      </w:r>
    </w:p>
    <w:p w14:paraId="47083D86" w14:textId="77777777" w:rsidR="000A01E0" w:rsidRPr="00976AA9" w:rsidRDefault="000A01E0" w:rsidP="000A01E0">
      <w:pPr>
        <w:spacing w:before="100" w:beforeAutospacing="1" w:after="100" w:afterAutospacing="1"/>
        <w:jc w:val="left"/>
        <w:rPr>
          <w:rFonts w:eastAsia="Times New Roman"/>
          <w:szCs w:val="24"/>
          <w:lang w:eastAsia="de-DE"/>
        </w:rPr>
      </w:pPr>
      <w:r w:rsidRPr="00976AA9">
        <w:rPr>
          <w:rFonts w:eastAsia="Times New Roman"/>
          <w:szCs w:val="24"/>
          <w:lang w:eastAsia="de-DE"/>
        </w:rPr>
        <w:t>This Regulation shall be binding in its entirety and directly applicable in all Member States.</w:t>
      </w:r>
    </w:p>
    <w:p w14:paraId="222D1BCB" w14:textId="3CE9D9FD" w:rsidR="002D3967" w:rsidRPr="000A01E0" w:rsidRDefault="00EA0134" w:rsidP="00EA0134">
      <w:pPr>
        <w:pStyle w:val="Fait"/>
        <w:rPr>
          <w:lang w:eastAsia="de-DE"/>
        </w:rPr>
      </w:pPr>
      <w:r w:rsidRPr="00EA0134">
        <w:lastRenderedPageBreak/>
        <w:t>Done at Brussels,</w:t>
      </w:r>
    </w:p>
    <w:p w14:paraId="378FF39E" w14:textId="77777777" w:rsidR="002D3967" w:rsidRDefault="002D3967" w:rsidP="002D3967">
      <w:pPr>
        <w:pStyle w:val="Institutionquisigne"/>
      </w:pPr>
      <w:r w:rsidRPr="002D3967">
        <w:tab/>
        <w:t>For the Commission</w:t>
      </w:r>
    </w:p>
    <w:p w14:paraId="2881C912" w14:textId="77777777" w:rsidR="002D3967" w:rsidRPr="002D3967" w:rsidRDefault="00264A81" w:rsidP="00264A81">
      <w:pPr>
        <w:pStyle w:val="Personnequisigne"/>
        <w:ind w:left="4252"/>
      </w:pPr>
      <w:r w:rsidRPr="00264A81">
        <w:rPr>
          <w:i w:val="0"/>
        </w:rPr>
        <w:t>Jean-Claude JUNCKER</w:t>
      </w:r>
      <w:r w:rsidRPr="00264A81">
        <w:rPr>
          <w:i w:val="0"/>
        </w:rPr>
        <w:br/>
      </w:r>
      <w:r>
        <w:t>The President</w:t>
      </w:r>
    </w:p>
    <w:sectPr w:rsidR="002D3967" w:rsidRPr="002D3967" w:rsidSect="00976A4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1C95" w14:textId="77777777" w:rsidR="009C4815" w:rsidRDefault="009C4815" w:rsidP="002D3967">
      <w:pPr>
        <w:spacing w:before="0" w:after="0"/>
      </w:pPr>
      <w:r>
        <w:separator/>
      </w:r>
    </w:p>
  </w:endnote>
  <w:endnote w:type="continuationSeparator" w:id="0">
    <w:p w14:paraId="3D3E1082" w14:textId="77777777" w:rsidR="009C4815" w:rsidRDefault="009C4815" w:rsidP="002D39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DB2A" w14:textId="77777777" w:rsidR="00976A49" w:rsidRPr="00976A49" w:rsidRDefault="00976A49" w:rsidP="00976A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E5E8" w14:textId="0BBDA502" w:rsidR="009669E6" w:rsidRPr="00976A49" w:rsidRDefault="00976A49" w:rsidP="00976A49">
    <w:pPr>
      <w:pStyle w:val="Sidfot"/>
      <w:rPr>
        <w:rFonts w:ascii="Arial" w:hAnsi="Arial" w:cs="Arial"/>
        <w:b/>
        <w:sz w:val="48"/>
      </w:rPr>
    </w:pPr>
    <w:r w:rsidRPr="00976A49">
      <w:rPr>
        <w:rFonts w:ascii="Arial" w:hAnsi="Arial" w:cs="Arial"/>
        <w:b/>
        <w:sz w:val="48"/>
      </w:rPr>
      <w:t>EN</w:t>
    </w:r>
    <w:r w:rsidRPr="00976A49">
      <w:rPr>
        <w:rFonts w:ascii="Arial" w:hAnsi="Arial" w:cs="Arial"/>
        <w:b/>
        <w:sz w:val="48"/>
      </w:rPr>
      <w:tab/>
    </w:r>
    <w:r w:rsidRPr="00976A49">
      <w:rPr>
        <w:rFonts w:ascii="Arial" w:hAnsi="Arial" w:cs="Arial"/>
        <w:b/>
        <w:sz w:val="48"/>
      </w:rPr>
      <w:tab/>
    </w:r>
    <w:r w:rsidRPr="00976A49">
      <w:tab/>
    </w:r>
    <w:r w:rsidRPr="00976A4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5D25" w14:textId="77777777" w:rsidR="00976A49" w:rsidRPr="00976A49" w:rsidRDefault="00976A49" w:rsidP="00976A4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B044" w14:textId="29CED287" w:rsidR="00976A49" w:rsidRPr="00976A49" w:rsidRDefault="00976A49" w:rsidP="00976A49">
    <w:pPr>
      <w:pStyle w:val="Sidfot"/>
      <w:rPr>
        <w:rFonts w:ascii="Arial" w:hAnsi="Arial" w:cs="Arial"/>
        <w:b/>
        <w:sz w:val="48"/>
      </w:rPr>
    </w:pPr>
    <w:r w:rsidRPr="00976A49">
      <w:rPr>
        <w:rFonts w:ascii="Arial" w:hAnsi="Arial" w:cs="Arial"/>
        <w:b/>
        <w:sz w:val="48"/>
      </w:rPr>
      <w:t>EN</w:t>
    </w:r>
    <w:r w:rsidRPr="00976A49">
      <w:rPr>
        <w:rFonts w:ascii="Arial" w:hAnsi="Arial" w:cs="Arial"/>
        <w:b/>
        <w:sz w:val="48"/>
      </w:rPr>
      <w:tab/>
    </w:r>
    <w:r>
      <w:fldChar w:fldCharType="begin"/>
    </w:r>
    <w:r>
      <w:instrText xml:space="preserve"> PAGE  \* MERGEFORMAT </w:instrText>
    </w:r>
    <w:r>
      <w:fldChar w:fldCharType="separate"/>
    </w:r>
    <w:r w:rsidR="004B4DB3">
      <w:rPr>
        <w:noProof/>
      </w:rPr>
      <w:t>1</w:t>
    </w:r>
    <w:r>
      <w:fldChar w:fldCharType="end"/>
    </w:r>
    <w:r>
      <w:tab/>
    </w:r>
    <w:r w:rsidRPr="00976A49">
      <w:tab/>
    </w:r>
    <w:r w:rsidRPr="00976A49">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C2C4" w14:textId="77777777" w:rsidR="00976A49" w:rsidRPr="00976A49" w:rsidRDefault="00976A49" w:rsidP="00976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FBA0" w14:textId="77777777" w:rsidR="009C4815" w:rsidRDefault="009C4815" w:rsidP="002D3967">
      <w:pPr>
        <w:spacing w:before="0" w:after="0"/>
      </w:pPr>
      <w:r>
        <w:separator/>
      </w:r>
    </w:p>
  </w:footnote>
  <w:footnote w:type="continuationSeparator" w:id="0">
    <w:p w14:paraId="52208A10" w14:textId="77777777" w:rsidR="009C4815" w:rsidRDefault="009C4815" w:rsidP="002D3967">
      <w:pPr>
        <w:spacing w:before="0" w:after="0"/>
      </w:pPr>
      <w:r>
        <w:continuationSeparator/>
      </w:r>
    </w:p>
  </w:footnote>
  <w:footnote w:id="1">
    <w:p w14:paraId="143E1B9C" w14:textId="77777777" w:rsidR="00F52801" w:rsidRPr="006C5DD4" w:rsidRDefault="00F52801" w:rsidP="00F52801">
      <w:pPr>
        <w:pStyle w:val="Fotnotstext"/>
        <w:ind w:left="0" w:firstLine="0"/>
        <w:jc w:val="left"/>
        <w:rPr>
          <w:sz w:val="18"/>
          <w:szCs w:val="18"/>
          <w:lang w:val="pl-PL"/>
        </w:rPr>
      </w:pPr>
      <w:r w:rsidRPr="009839A4">
        <w:rPr>
          <w:rStyle w:val="Fotnotsreferens"/>
          <w:sz w:val="18"/>
          <w:szCs w:val="18"/>
        </w:rPr>
        <w:footnoteRef/>
      </w:r>
      <w:r w:rsidRPr="006C5DD4">
        <w:rPr>
          <w:sz w:val="18"/>
          <w:szCs w:val="18"/>
          <w:lang w:val="pl-PL"/>
        </w:rPr>
        <w:t xml:space="preserve"> </w:t>
      </w:r>
      <w:r w:rsidR="004C5534" w:rsidRPr="006C5DD4">
        <w:rPr>
          <w:sz w:val="18"/>
          <w:szCs w:val="18"/>
          <w:lang w:val="pl-PL"/>
        </w:rPr>
        <w:tab/>
      </w:r>
      <w:r w:rsidRPr="006C5DD4">
        <w:rPr>
          <w:sz w:val="18"/>
          <w:szCs w:val="18"/>
          <w:lang w:val="pl-PL"/>
        </w:rPr>
        <w:t xml:space="preserve">OJ L 198, 28.7.2017, p. 1–23. </w:t>
      </w:r>
    </w:p>
  </w:footnote>
  <w:footnote w:id="2">
    <w:p w14:paraId="2DB5E818" w14:textId="77777777" w:rsidR="00CF5DAC" w:rsidRPr="006C5DD4" w:rsidRDefault="00CF5DAC" w:rsidP="00CF5DAC">
      <w:pPr>
        <w:pStyle w:val="Fotnotstext"/>
        <w:ind w:left="0" w:firstLine="0"/>
        <w:jc w:val="left"/>
        <w:rPr>
          <w:sz w:val="18"/>
          <w:szCs w:val="18"/>
          <w:lang w:val="pl-PL"/>
        </w:rPr>
      </w:pPr>
      <w:r w:rsidRPr="009839A4">
        <w:rPr>
          <w:rStyle w:val="Fotnotsreferens"/>
          <w:sz w:val="18"/>
          <w:szCs w:val="18"/>
        </w:rPr>
        <w:footnoteRef/>
      </w:r>
      <w:r w:rsidRPr="006C5DD4">
        <w:rPr>
          <w:sz w:val="18"/>
          <w:szCs w:val="18"/>
          <w:lang w:val="pl-PL"/>
        </w:rPr>
        <w:t xml:space="preserve"> </w:t>
      </w:r>
      <w:r w:rsidR="004C5534" w:rsidRPr="006C5DD4">
        <w:rPr>
          <w:sz w:val="18"/>
          <w:szCs w:val="18"/>
          <w:lang w:val="pl-PL"/>
        </w:rPr>
        <w:tab/>
      </w:r>
      <w:r w:rsidRPr="006C5DD4">
        <w:rPr>
          <w:sz w:val="18"/>
          <w:szCs w:val="18"/>
          <w:lang w:val="pl-PL"/>
        </w:rPr>
        <w:t xml:space="preserve">OJ L 258, 26.9.2012, p. 3 </w:t>
      </w:r>
    </w:p>
  </w:footnote>
  <w:footnote w:id="3">
    <w:p w14:paraId="3695B1F1" w14:textId="77777777" w:rsidR="00CF5DAC" w:rsidRPr="006C5DD4" w:rsidRDefault="00CF5DAC" w:rsidP="00CF5DAC">
      <w:pPr>
        <w:pStyle w:val="Fotnotstext"/>
        <w:ind w:left="0" w:firstLine="0"/>
        <w:jc w:val="left"/>
        <w:rPr>
          <w:sz w:val="18"/>
          <w:szCs w:val="18"/>
          <w:lang w:val="pl-PL"/>
        </w:rPr>
      </w:pPr>
      <w:r w:rsidRPr="009839A4">
        <w:rPr>
          <w:rStyle w:val="Fotnotsreferens"/>
          <w:sz w:val="18"/>
          <w:szCs w:val="18"/>
        </w:rPr>
        <w:footnoteRef/>
      </w:r>
      <w:r w:rsidRPr="006C5DD4">
        <w:rPr>
          <w:sz w:val="18"/>
          <w:szCs w:val="18"/>
          <w:lang w:val="pl-PL"/>
        </w:rPr>
        <w:t xml:space="preserve"> </w:t>
      </w:r>
      <w:r w:rsidR="004C5534" w:rsidRPr="006C5DD4">
        <w:rPr>
          <w:sz w:val="18"/>
          <w:szCs w:val="18"/>
          <w:lang w:val="pl-PL"/>
        </w:rPr>
        <w:tab/>
      </w:r>
      <w:r w:rsidRPr="006C5DD4">
        <w:rPr>
          <w:iCs/>
          <w:sz w:val="18"/>
          <w:szCs w:val="18"/>
          <w:lang w:val="pl-PL"/>
        </w:rPr>
        <w:t>OJ L 147, 17.5.2014, p. 1–28</w:t>
      </w:r>
    </w:p>
  </w:footnote>
  <w:footnote w:id="4">
    <w:p w14:paraId="27D8407F" w14:textId="77777777" w:rsidR="00CF5DAC" w:rsidRPr="006C5DD4" w:rsidRDefault="00CF5DAC" w:rsidP="00CF5DAC">
      <w:pPr>
        <w:pStyle w:val="Fotnotstext"/>
        <w:ind w:left="0" w:firstLine="0"/>
        <w:jc w:val="left"/>
        <w:rPr>
          <w:lang w:val="pl-PL"/>
        </w:rPr>
      </w:pPr>
      <w:r w:rsidRPr="009839A4">
        <w:rPr>
          <w:rStyle w:val="Fotnotsreferens"/>
          <w:sz w:val="18"/>
          <w:szCs w:val="18"/>
        </w:rPr>
        <w:footnoteRef/>
      </w:r>
      <w:r w:rsidRPr="006C5DD4">
        <w:rPr>
          <w:sz w:val="18"/>
          <w:szCs w:val="18"/>
          <w:lang w:val="pl-PL"/>
        </w:rPr>
        <w:t xml:space="preserve"> </w:t>
      </w:r>
      <w:r w:rsidR="004C5534" w:rsidRPr="006C5DD4">
        <w:rPr>
          <w:sz w:val="18"/>
          <w:szCs w:val="18"/>
          <w:lang w:val="pl-PL"/>
        </w:rPr>
        <w:tab/>
      </w:r>
      <w:r w:rsidRPr="006C5DD4">
        <w:rPr>
          <w:lang w:val="pl-PL"/>
        </w:rPr>
        <w:t>http://ec.europa.eu/clima/policies/international/negotiations/future/index_en.htm</w:t>
      </w:r>
    </w:p>
  </w:footnote>
  <w:footnote w:id="5">
    <w:p w14:paraId="2E2F08BA" w14:textId="77777777" w:rsidR="00CF5DAC" w:rsidRPr="006C5DD4" w:rsidRDefault="00CF5DAC" w:rsidP="00CF5DAC">
      <w:pPr>
        <w:pStyle w:val="Fotnotstext"/>
        <w:ind w:left="0" w:firstLine="0"/>
        <w:jc w:val="left"/>
        <w:rPr>
          <w:lang w:val="pt-PT"/>
        </w:rPr>
      </w:pPr>
      <w:r w:rsidRPr="009839A4">
        <w:rPr>
          <w:rStyle w:val="Fotnotsreferens"/>
          <w:sz w:val="18"/>
          <w:szCs w:val="18"/>
        </w:rPr>
        <w:footnoteRef/>
      </w:r>
      <w:r w:rsidRPr="009839A4">
        <w:rPr>
          <w:sz w:val="18"/>
          <w:szCs w:val="18"/>
        </w:rPr>
        <w:t xml:space="preserve"> </w:t>
      </w:r>
      <w:r w:rsidR="004C5534">
        <w:rPr>
          <w:sz w:val="18"/>
          <w:szCs w:val="18"/>
        </w:rPr>
        <w:tab/>
      </w:r>
      <w:r w:rsidRPr="004C5534">
        <w:t xml:space="preserve">Closing the loop - An EU action plan for the Circular Economy". </w:t>
      </w:r>
      <w:r w:rsidRPr="006C5DD4">
        <w:rPr>
          <w:lang w:val="pt-PT"/>
        </w:rPr>
        <w:t>COM(2015) 614 final, Brussels, 2.12.2015</w:t>
      </w:r>
    </w:p>
  </w:footnote>
  <w:footnote w:id="6">
    <w:p w14:paraId="5D6E9113" w14:textId="77777777" w:rsidR="00CF5DAC" w:rsidRPr="006C5DD4" w:rsidRDefault="00CF5DAC" w:rsidP="00CF5DAC">
      <w:pPr>
        <w:pStyle w:val="Fotnotstext"/>
        <w:ind w:left="0" w:firstLine="0"/>
        <w:jc w:val="left"/>
        <w:rPr>
          <w:lang w:val="pt-PT"/>
        </w:rPr>
      </w:pPr>
      <w:r w:rsidRPr="009839A4">
        <w:rPr>
          <w:rStyle w:val="Fotnotsreferens"/>
          <w:sz w:val="18"/>
          <w:szCs w:val="18"/>
        </w:rPr>
        <w:footnoteRef/>
      </w:r>
      <w:r w:rsidRPr="006C5DD4">
        <w:rPr>
          <w:sz w:val="18"/>
          <w:szCs w:val="18"/>
          <w:lang w:val="pt-PT"/>
        </w:rPr>
        <w:t xml:space="preserve"> </w:t>
      </w:r>
      <w:r w:rsidR="004C5534" w:rsidRPr="006C5DD4">
        <w:rPr>
          <w:sz w:val="18"/>
          <w:szCs w:val="18"/>
          <w:lang w:val="pt-PT"/>
        </w:rPr>
        <w:tab/>
      </w:r>
      <w:r w:rsidRPr="006C5DD4">
        <w:rPr>
          <w:lang w:val="pt-PT"/>
        </w:rPr>
        <w:t>http://ec.europa.eu/smart-regulation/better_regulation/key_docs_en.htm#_br</w:t>
      </w:r>
    </w:p>
  </w:footnote>
  <w:footnote w:id="7">
    <w:p w14:paraId="75C06702" w14:textId="77777777" w:rsidR="00CF5DAC" w:rsidRPr="006C5DD4" w:rsidRDefault="00CF5DAC" w:rsidP="00CF5DAC">
      <w:pPr>
        <w:pStyle w:val="Fotnotstext"/>
        <w:ind w:left="0" w:firstLine="0"/>
        <w:jc w:val="left"/>
        <w:rPr>
          <w:lang w:val="pt-PT"/>
        </w:rPr>
      </w:pPr>
      <w:r w:rsidRPr="009839A4">
        <w:rPr>
          <w:rStyle w:val="Fotnotsreferens"/>
          <w:sz w:val="18"/>
          <w:szCs w:val="18"/>
        </w:rPr>
        <w:footnoteRef/>
      </w:r>
      <w:r w:rsidRPr="006C5DD4">
        <w:rPr>
          <w:sz w:val="18"/>
          <w:szCs w:val="18"/>
          <w:lang w:val="pt-PT"/>
        </w:rPr>
        <w:t xml:space="preserve"> </w:t>
      </w:r>
      <w:r w:rsidR="004C5534" w:rsidRPr="006C5DD4">
        <w:rPr>
          <w:sz w:val="18"/>
          <w:szCs w:val="18"/>
          <w:lang w:val="pt-PT"/>
        </w:rPr>
        <w:tab/>
      </w:r>
      <w:r w:rsidRPr="006C5DD4">
        <w:rPr>
          <w:lang w:val="pt-PT"/>
        </w:rPr>
        <w:t>http://www.europarl.europa.eu/committees/en/emis/home.html</w:t>
      </w:r>
    </w:p>
  </w:footnote>
  <w:footnote w:id="8">
    <w:p w14:paraId="713CA126" w14:textId="77777777" w:rsidR="00CF5DAC" w:rsidRPr="006C5DD4" w:rsidRDefault="00CF5DAC" w:rsidP="00CF5DAC">
      <w:pPr>
        <w:pStyle w:val="Fotnotstext"/>
        <w:ind w:left="0" w:firstLine="0"/>
        <w:jc w:val="left"/>
        <w:rPr>
          <w:lang w:val="pt-PT"/>
        </w:rPr>
      </w:pPr>
      <w:r w:rsidRPr="009839A4">
        <w:rPr>
          <w:rStyle w:val="Fotnotsreferens"/>
          <w:sz w:val="18"/>
          <w:szCs w:val="18"/>
        </w:rPr>
        <w:footnoteRef/>
      </w:r>
      <w:r w:rsidRPr="006C5DD4">
        <w:rPr>
          <w:sz w:val="18"/>
          <w:szCs w:val="18"/>
          <w:lang w:val="pt-PT"/>
        </w:rPr>
        <w:t xml:space="preserve"> </w:t>
      </w:r>
      <w:r w:rsidR="004C5534" w:rsidRPr="006C5DD4">
        <w:rPr>
          <w:sz w:val="18"/>
          <w:szCs w:val="18"/>
          <w:lang w:val="pt-PT"/>
        </w:rPr>
        <w:tab/>
      </w:r>
      <w:r w:rsidRPr="006C5DD4">
        <w:rPr>
          <w:lang w:val="pt-PT"/>
        </w:rPr>
        <w:t>'Omnibus' Review Study on Cold Appliances, Washing Machines, Dishwashers, Washer-Driers, Lighting, Set-top Boxes and Pumps, consortium of VHK, VITO, Viegand Maagøe, Wuppertal Institut für Klima, Umwelt, Energie for the European Commission, DG ENER-C3, Brussels/Delft, April 2014.</w:t>
      </w:r>
    </w:p>
  </w:footnote>
  <w:footnote w:id="9">
    <w:p w14:paraId="3DFF1E86" w14:textId="77777777" w:rsidR="00CF5DAC" w:rsidRPr="004C5534" w:rsidRDefault="00CF5DAC" w:rsidP="00CF5DAC">
      <w:pPr>
        <w:pStyle w:val="Fotnotstext"/>
        <w:ind w:left="0" w:firstLine="0"/>
      </w:pPr>
      <w:r w:rsidRPr="009839A4">
        <w:rPr>
          <w:rStyle w:val="Fotnotsreferens"/>
          <w:sz w:val="18"/>
          <w:szCs w:val="18"/>
        </w:rPr>
        <w:footnoteRef/>
      </w:r>
      <w:r w:rsidRPr="009839A4">
        <w:rPr>
          <w:sz w:val="18"/>
          <w:szCs w:val="18"/>
        </w:rPr>
        <w:t xml:space="preserve"> </w:t>
      </w:r>
      <w:r w:rsidR="004C5534">
        <w:rPr>
          <w:sz w:val="18"/>
          <w:szCs w:val="18"/>
        </w:rPr>
        <w:tab/>
      </w:r>
      <w:r w:rsidR="00155E6D" w:rsidRPr="004C5534">
        <w:t>Preparatory Study on Light Sources for Ecodesign and/or Energy Labelling Requirements (‘Lot 8/9/19’), Task reports 0-7, VHK for the European Commission, October 2015. http://ecodesign-lightsources.eu/documents</w:t>
      </w:r>
      <w:r w:rsidRPr="004C5534">
        <w:t xml:space="preserve">. </w:t>
      </w:r>
    </w:p>
  </w:footnote>
  <w:footnote w:id="10">
    <w:p w14:paraId="7F42CDEC" w14:textId="77777777" w:rsidR="004B6765" w:rsidRPr="00E728BB" w:rsidRDefault="004B6765" w:rsidP="004B6765">
      <w:pPr>
        <w:pStyle w:val="FootNotetext"/>
      </w:pPr>
      <w:r w:rsidRPr="00847012">
        <w:rPr>
          <w:rStyle w:val="Fotnotsreferens"/>
        </w:rPr>
        <w:footnoteRef/>
      </w:r>
      <w:r w:rsidRPr="00E728BB">
        <w:t xml:space="preserve"> </w:t>
      </w:r>
      <w:r w:rsidRPr="00E728BB">
        <w:tab/>
      </w:r>
      <w:r w:rsidR="004C5534">
        <w:tab/>
      </w:r>
      <w:r w:rsidRPr="004C5534">
        <w:rPr>
          <w:rFonts w:ascii="Times New Roman" w:eastAsiaTheme="minorHAnsi" w:hAnsi="Times New Roman"/>
          <w:color w:val="auto"/>
          <w:sz w:val="20"/>
          <w:szCs w:val="20"/>
          <w:lang w:eastAsia="en-US"/>
        </w:rPr>
        <w:t>COM(2016) 773 final, Brussels, November 2016</w:t>
      </w:r>
      <w:r w:rsidRPr="00E728BB">
        <w:t>.</w:t>
      </w:r>
    </w:p>
  </w:footnote>
  <w:footnote w:id="11">
    <w:p w14:paraId="40E2CF5F" w14:textId="77777777" w:rsidR="0047246B" w:rsidRDefault="0047246B" w:rsidP="0047246B">
      <w:pPr>
        <w:pStyle w:val="Fotnotstext"/>
      </w:pPr>
      <w:r>
        <w:rPr>
          <w:rStyle w:val="Fotnotsreferens"/>
        </w:rPr>
        <w:footnoteRef/>
      </w:r>
      <w:r>
        <w:tab/>
        <w:t>MEErP is the methodology that the European Commission applies to make studies for ecodesign of energy-related products.</w:t>
      </w:r>
    </w:p>
  </w:footnote>
  <w:footnote w:id="12">
    <w:p w14:paraId="583A3412" w14:textId="77777777" w:rsidR="00CE54E5" w:rsidRPr="006C5DD4" w:rsidRDefault="00CE54E5" w:rsidP="00CE54E5">
      <w:pPr>
        <w:pStyle w:val="FootNotetext"/>
        <w:rPr>
          <w:rFonts w:ascii="Times New Roman" w:eastAsiaTheme="minorHAnsi" w:hAnsi="Times New Roman"/>
          <w:color w:val="auto"/>
          <w:sz w:val="20"/>
          <w:szCs w:val="20"/>
          <w:lang w:val="pl-PL" w:eastAsia="en-US"/>
        </w:rPr>
      </w:pPr>
      <w:r>
        <w:rPr>
          <w:rStyle w:val="Fotnotsreferens"/>
        </w:rPr>
        <w:footnoteRef/>
      </w:r>
      <w:r w:rsidRPr="00CE54E5">
        <w:rPr>
          <w:lang w:val="pl-PL"/>
        </w:rPr>
        <w:t xml:space="preserve"> </w:t>
      </w:r>
      <w:r w:rsidRPr="00CE54E5">
        <w:rPr>
          <w:lang w:val="pl-PL"/>
        </w:rPr>
        <w:tab/>
      </w:r>
      <w:r w:rsidR="004C5534">
        <w:rPr>
          <w:lang w:val="pl-PL"/>
        </w:rPr>
        <w:t xml:space="preserve">          </w:t>
      </w:r>
      <w:r w:rsidRPr="006C5DD4">
        <w:rPr>
          <w:rFonts w:ascii="Times New Roman" w:eastAsiaTheme="minorHAnsi" w:hAnsi="Times New Roman"/>
          <w:color w:val="auto"/>
          <w:sz w:val="20"/>
          <w:szCs w:val="20"/>
          <w:lang w:val="pl-PL" w:eastAsia="en-US"/>
        </w:rPr>
        <w:t>OJ L 346, 20.12.2016, p.51.</w:t>
      </w:r>
    </w:p>
  </w:footnote>
  <w:footnote w:id="13">
    <w:p w14:paraId="4BEC7818" w14:textId="77777777" w:rsidR="000A01E0" w:rsidRPr="00587C44" w:rsidRDefault="000A01E0" w:rsidP="000A01E0">
      <w:pPr>
        <w:pStyle w:val="Fotnotstext"/>
        <w:rPr>
          <w:lang w:val="pl-PL"/>
        </w:rPr>
      </w:pPr>
      <w:r>
        <w:rPr>
          <w:rStyle w:val="Fotnotsreferens"/>
        </w:rPr>
        <w:footnoteRef/>
      </w:r>
      <w:r w:rsidRPr="00587C44">
        <w:rPr>
          <w:lang w:val="pl-PL"/>
        </w:rPr>
        <w:t xml:space="preserve"> </w:t>
      </w:r>
      <w:r w:rsidRPr="00587C44">
        <w:rPr>
          <w:lang w:val="pl-PL"/>
        </w:rPr>
        <w:tab/>
        <w:t>OJ L 198, 28.07.2017, p. 1.</w:t>
      </w:r>
    </w:p>
  </w:footnote>
  <w:footnote w:id="14">
    <w:p w14:paraId="49C81D97" w14:textId="77777777" w:rsidR="003B150A" w:rsidRPr="003B150A" w:rsidRDefault="003B150A">
      <w:pPr>
        <w:pStyle w:val="Fotnotstext"/>
        <w:rPr>
          <w:lang w:val="pl-PL"/>
        </w:rPr>
      </w:pPr>
      <w:r>
        <w:rPr>
          <w:rStyle w:val="Fotnotsreferens"/>
        </w:rPr>
        <w:footnoteRef/>
      </w:r>
      <w:r w:rsidRPr="003B150A">
        <w:rPr>
          <w:lang w:val="pl-PL"/>
        </w:rPr>
        <w:t xml:space="preserve"> </w:t>
      </w:r>
      <w:r>
        <w:rPr>
          <w:lang w:val="pl-PL"/>
        </w:rPr>
        <w:tab/>
      </w:r>
      <w:r w:rsidRPr="006C5DD4">
        <w:rPr>
          <w:lang w:val="pl-PL"/>
        </w:rPr>
        <w:t>OJ L 314, 2010, p. 47</w:t>
      </w:r>
    </w:p>
  </w:footnote>
  <w:footnote w:id="15">
    <w:p w14:paraId="1D2400C6" w14:textId="77777777" w:rsidR="004838DB" w:rsidRDefault="004838DB">
      <w:pPr>
        <w:pStyle w:val="Fotnotstext"/>
      </w:pPr>
      <w:r>
        <w:rPr>
          <w:rStyle w:val="Fotnotsreferens"/>
        </w:rPr>
        <w:footnoteRef/>
      </w:r>
      <w:r>
        <w:t xml:space="preserve"> </w:t>
      </w:r>
      <w:r w:rsidR="006C5DD4">
        <w:t xml:space="preserve">          </w:t>
      </w:r>
      <w:r>
        <w:t xml:space="preserve">OJ L 147, 17.5.2014, p.1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E30E" w14:textId="77777777" w:rsidR="00976A49" w:rsidRPr="00976A49" w:rsidRDefault="00976A49" w:rsidP="00976A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4308"/>
      <w:docPartObj>
        <w:docPartGallery w:val="Custom Watermarks"/>
        <w:docPartUnique/>
      </w:docPartObj>
    </w:sdtPr>
    <w:sdtEndPr/>
    <w:sdtContent>
      <w:sdt>
        <w:sdtPr>
          <w:id w:val="1639906031"/>
          <w:lock w:val="contentLocked"/>
          <w:group/>
        </w:sdtPr>
        <w:sdtEndPr/>
        <w:sdtContent>
          <w:p w14:paraId="622F089F" w14:textId="3A353B0E" w:rsidR="00976A49" w:rsidRPr="00976A49" w:rsidRDefault="004B4DB3" w:rsidP="00976A49">
            <w:pPr>
              <w:pStyle w:val="Sidhuvud"/>
            </w:pPr>
            <w:r>
              <w:rPr>
                <w:noProof/>
                <w:lang w:val="en-US"/>
              </w:rPr>
              <mc:AlternateContent>
                <mc:Choice Requires="wps">
                  <w:drawing>
                    <wp:anchor distT="0" distB="0" distL="114300" distR="114300" simplePos="0" relativeHeight="251659264" behindDoc="0" locked="0" layoutInCell="1" allowOverlap="1" wp14:anchorId="105B6942" wp14:editId="1B237466">
                      <wp:simplePos x="0" y="0"/>
                      <wp:positionH relativeFrom="margin">
                        <wp:align>center</wp:align>
                      </wp:positionH>
                      <wp:positionV relativeFrom="margin">
                        <wp:align>center</wp:align>
                      </wp:positionV>
                      <wp:extent cx="5111750" cy="2232025"/>
                      <wp:effectExtent l="47625" t="1485900" r="0" b="1482725"/>
                      <wp:wrapNone/>
                      <wp:docPr id="1" name="Draft_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BA0563" w14:textId="77777777" w:rsidR="004B4DB3" w:rsidRDefault="004B4DB3" w:rsidP="004B4DB3">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5B6942"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" filled="f" stroked="f">
                      <v:stroke joinstyle="round"/>
                      <o:lock v:ext="edit" aspectratio="t" shapetype="t"/>
                      <v:textbox style="mso-fit-shape-to-text:t">
                        <w:txbxContent>
                          <w:p w14:paraId="35BA0563" w14:textId="77777777" w:rsidR="004B4DB3" w:rsidRDefault="004B4DB3" w:rsidP="004B4DB3">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v:textbox>
                      <w10:wrap anchorx="margin" anchory="margin"/>
                    </v:shape>
                  </w:pict>
                </mc:Fallback>
              </mc:AlternateConten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BBBD" w14:textId="77777777" w:rsidR="00976A49" w:rsidRPr="00976A49" w:rsidRDefault="00976A49" w:rsidP="00976A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4CE50BA"/>
    <w:lvl w:ilvl="0">
      <w:start w:val="1"/>
      <w:numFmt w:val="decimal"/>
      <w:pStyle w:val="Numreradlista4"/>
      <w:lvlText w:val="%1."/>
      <w:lvlJc w:val="left"/>
      <w:pPr>
        <w:tabs>
          <w:tab w:val="num" w:pos="1209"/>
        </w:tabs>
        <w:ind w:left="1209" w:hanging="360"/>
      </w:pPr>
    </w:lvl>
  </w:abstractNum>
  <w:abstractNum w:abstractNumId="1" w15:restartNumberingAfterBreak="0">
    <w:nsid w:val="FFFFFF81"/>
    <w:multiLevelType w:val="singleLevel"/>
    <w:tmpl w:val="7F42928A"/>
    <w:lvl w:ilvl="0">
      <w:start w:val="1"/>
      <w:numFmt w:val="bullet"/>
      <w:pStyle w:val="Punk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BD0D558"/>
    <w:lvl w:ilvl="0">
      <w:start w:val="1"/>
      <w:numFmt w:val="bullet"/>
      <w:pStyle w:val="Punk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E80E3C"/>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8121872"/>
    <w:lvl w:ilvl="0">
      <w:start w:val="1"/>
      <w:numFmt w:val="bullet"/>
      <w:pStyle w:val="Punktlista"/>
      <w:lvlText w:val=""/>
      <w:lvlJc w:val="left"/>
      <w:pPr>
        <w:tabs>
          <w:tab w:val="num" w:pos="360"/>
        </w:tabs>
        <w:ind w:left="360" w:hanging="360"/>
      </w:pPr>
      <w:rPr>
        <w:rFonts w:ascii="Symbol" w:hAnsi="Symbol" w:hint="default"/>
      </w:rPr>
    </w:lvl>
  </w:abstractNum>
  <w:abstractNum w:abstractNumId="5" w15:restartNumberingAfterBreak="0">
    <w:nsid w:val="05E72D20"/>
    <w:multiLevelType w:val="hybridMultilevel"/>
    <w:tmpl w:val="E5E07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AF3990"/>
    <w:multiLevelType w:val="hybridMultilevel"/>
    <w:tmpl w:val="A3DE12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227F5"/>
    <w:multiLevelType w:val="hybridMultilevel"/>
    <w:tmpl w:val="243EC348"/>
    <w:lvl w:ilvl="0" w:tplc="D2A45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17CDC"/>
    <w:multiLevelType w:val="hybridMultilevel"/>
    <w:tmpl w:val="8D5EBF5E"/>
    <w:lvl w:ilvl="0" w:tplc="D2A45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BA7759"/>
    <w:multiLevelType w:val="multilevel"/>
    <w:tmpl w:val="52E206CE"/>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6E73C9C"/>
    <w:multiLevelType w:val="hybridMultilevel"/>
    <w:tmpl w:val="004E07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071294"/>
    <w:multiLevelType w:val="hybridMultilevel"/>
    <w:tmpl w:val="E5E07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2332B4"/>
    <w:multiLevelType w:val="hybridMultilevel"/>
    <w:tmpl w:val="04661D88"/>
    <w:lvl w:ilvl="0" w:tplc="11485F3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28" w15:restartNumberingAfterBreak="0">
    <w:nsid w:val="740833ED"/>
    <w:multiLevelType w:val="hybridMultilevel"/>
    <w:tmpl w:val="A150F0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E95D7F"/>
    <w:multiLevelType w:val="multilevel"/>
    <w:tmpl w:val="465C9C3C"/>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15:restartNumberingAfterBreak="0">
    <w:nsid w:val="7D9B7840"/>
    <w:multiLevelType w:val="hybridMultilevel"/>
    <w:tmpl w:val="E5E07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4"/>
  </w:num>
  <w:num w:numId="3">
    <w:abstractNumId w:val="26"/>
  </w:num>
  <w:num w:numId="4">
    <w:abstractNumId w:val="13"/>
  </w:num>
  <w:num w:numId="5">
    <w:abstractNumId w:val="15"/>
  </w:num>
  <w:num w:numId="6">
    <w:abstractNumId w:val="10"/>
  </w:num>
  <w:num w:numId="7">
    <w:abstractNumId w:val="25"/>
  </w:num>
  <w:num w:numId="8">
    <w:abstractNumId w:val="9"/>
  </w:num>
  <w:num w:numId="9">
    <w:abstractNumId w:val="16"/>
  </w:num>
  <w:num w:numId="10">
    <w:abstractNumId w:val="21"/>
  </w:num>
  <w:num w:numId="11">
    <w:abstractNumId w:val="22"/>
  </w:num>
  <w:num w:numId="12">
    <w:abstractNumId w:val="12"/>
  </w:num>
  <w:num w:numId="13">
    <w:abstractNumId w:val="20"/>
  </w:num>
  <w:num w:numId="14">
    <w:abstractNumId w:val="31"/>
  </w:num>
  <w:num w:numId="15">
    <w:abstractNumId w:val="27"/>
  </w:num>
  <w:num w:numId="16">
    <w:abstractNumId w:val="4"/>
  </w:num>
  <w:num w:numId="17">
    <w:abstractNumId w:val="3"/>
  </w:num>
  <w:num w:numId="18">
    <w:abstractNumId w:val="2"/>
  </w:num>
  <w:num w:numId="19">
    <w:abstractNumId w:val="1"/>
  </w:num>
  <w:num w:numId="20">
    <w:abstractNumId w:val="28"/>
  </w:num>
  <w:num w:numId="21">
    <w:abstractNumId w:val="17"/>
  </w:num>
  <w:num w:numId="22">
    <w:abstractNumId w:val="8"/>
  </w:num>
  <w:num w:numId="23">
    <w:abstractNumId w:val="18"/>
  </w:num>
  <w:num w:numId="24">
    <w:abstractNumId w:val="7"/>
  </w:num>
  <w:num w:numId="25">
    <w:abstractNumId w:val="6"/>
  </w:num>
  <w:num w:numId="26">
    <w:abstractNumId w:val="32"/>
  </w:num>
  <w:num w:numId="27">
    <w:abstractNumId w:val="31"/>
  </w:num>
  <w:num w:numId="28">
    <w:abstractNumId w:val="3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0"/>
  </w:num>
  <w:num w:numId="32">
    <w:abstractNumId w:val="30"/>
  </w:num>
  <w:num w:numId="33">
    <w:abstractNumId w:val="19"/>
  </w:num>
  <w:num w:numId="34">
    <w:abstractNumId w:val="5"/>
  </w:num>
  <w:num w:numId="35">
    <w:abstractNumId w:val="31"/>
    <w:lvlOverride w:ilvl="0">
      <w:startOverride w:val="1"/>
    </w:lvlOverride>
  </w:num>
  <w:num w:numId="36">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Footnote Text;Footnote Text;"/>
    <w:docVar w:name="DQCStatus" w:val="Red"/>
    <w:docVar w:name="LW_COVERPAGE_EXISTS" w:val="True"/>
    <w:docVar w:name="LW_COVERPAGE_GUID" w:val="B64C58BA-CEE6-4797-B358-523FA9B35ADB"/>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upplementing Regulation (EU) 2017/1369 of the European Parliament and of the Council with regard to energy labelling of light sources_x000b_repealing_x000b_Regulation (EU) No 874/2012 with regard to energy labelling of electrical lamps and luminaires"/>
    <w:docVar w:name="LW_TYPE.DOC.CP" w:val="COMMISSION DELEGATED REGULATION (EU) \u8230?/..."/>
  </w:docVars>
  <w:rsids>
    <w:rsidRoot w:val="002D3967"/>
    <w:rsid w:val="00001334"/>
    <w:rsid w:val="000053FB"/>
    <w:rsid w:val="00012194"/>
    <w:rsid w:val="000173AE"/>
    <w:rsid w:val="00017AA6"/>
    <w:rsid w:val="00030751"/>
    <w:rsid w:val="0005028E"/>
    <w:rsid w:val="0007379A"/>
    <w:rsid w:val="00091EA2"/>
    <w:rsid w:val="0009574F"/>
    <w:rsid w:val="000A01E0"/>
    <w:rsid w:val="000A6BA1"/>
    <w:rsid w:val="000D317E"/>
    <w:rsid w:val="000D3B73"/>
    <w:rsid w:val="000D5437"/>
    <w:rsid w:val="000E14E7"/>
    <w:rsid w:val="001010CE"/>
    <w:rsid w:val="00111AE7"/>
    <w:rsid w:val="001133C7"/>
    <w:rsid w:val="001174A4"/>
    <w:rsid w:val="001230AF"/>
    <w:rsid w:val="0013046D"/>
    <w:rsid w:val="0014105A"/>
    <w:rsid w:val="00142D44"/>
    <w:rsid w:val="00153F1B"/>
    <w:rsid w:val="00155E6D"/>
    <w:rsid w:val="00164455"/>
    <w:rsid w:val="00171635"/>
    <w:rsid w:val="00187D8D"/>
    <w:rsid w:val="001913AC"/>
    <w:rsid w:val="001945EB"/>
    <w:rsid w:val="001968B2"/>
    <w:rsid w:val="00197041"/>
    <w:rsid w:val="001C06FB"/>
    <w:rsid w:val="001C5A8C"/>
    <w:rsid w:val="001D6F95"/>
    <w:rsid w:val="001E5BC4"/>
    <w:rsid w:val="001F0CDF"/>
    <w:rsid w:val="00257793"/>
    <w:rsid w:val="00264A81"/>
    <w:rsid w:val="002A56F0"/>
    <w:rsid w:val="002B3F82"/>
    <w:rsid w:val="002C3580"/>
    <w:rsid w:val="002D3967"/>
    <w:rsid w:val="002F6207"/>
    <w:rsid w:val="00341263"/>
    <w:rsid w:val="0034445E"/>
    <w:rsid w:val="00384F27"/>
    <w:rsid w:val="003A5718"/>
    <w:rsid w:val="003B150A"/>
    <w:rsid w:val="003C09FC"/>
    <w:rsid w:val="003C33DE"/>
    <w:rsid w:val="003D39C8"/>
    <w:rsid w:val="003F76D9"/>
    <w:rsid w:val="004030C0"/>
    <w:rsid w:val="00415CE5"/>
    <w:rsid w:val="00452668"/>
    <w:rsid w:val="00460C9F"/>
    <w:rsid w:val="00461235"/>
    <w:rsid w:val="0047246B"/>
    <w:rsid w:val="004838DB"/>
    <w:rsid w:val="004B2C4E"/>
    <w:rsid w:val="004B4DB3"/>
    <w:rsid w:val="004B6765"/>
    <w:rsid w:val="004C5279"/>
    <w:rsid w:val="004C5534"/>
    <w:rsid w:val="005015BD"/>
    <w:rsid w:val="00501C58"/>
    <w:rsid w:val="00502327"/>
    <w:rsid w:val="0054595C"/>
    <w:rsid w:val="00551A44"/>
    <w:rsid w:val="00552636"/>
    <w:rsid w:val="005546B0"/>
    <w:rsid w:val="00581FB9"/>
    <w:rsid w:val="00587C44"/>
    <w:rsid w:val="00590831"/>
    <w:rsid w:val="005C0DB0"/>
    <w:rsid w:val="005C29AB"/>
    <w:rsid w:val="005F09C2"/>
    <w:rsid w:val="005F69DC"/>
    <w:rsid w:val="006133BF"/>
    <w:rsid w:val="00642A55"/>
    <w:rsid w:val="006500C8"/>
    <w:rsid w:val="00651363"/>
    <w:rsid w:val="006577AF"/>
    <w:rsid w:val="006636E9"/>
    <w:rsid w:val="00672F71"/>
    <w:rsid w:val="00673264"/>
    <w:rsid w:val="00681820"/>
    <w:rsid w:val="0069183C"/>
    <w:rsid w:val="006C5DD4"/>
    <w:rsid w:val="00703C29"/>
    <w:rsid w:val="00705D35"/>
    <w:rsid w:val="00710959"/>
    <w:rsid w:val="00711A39"/>
    <w:rsid w:val="00715D61"/>
    <w:rsid w:val="00751070"/>
    <w:rsid w:val="00766C33"/>
    <w:rsid w:val="00792289"/>
    <w:rsid w:val="007A4DD5"/>
    <w:rsid w:val="007C1CD7"/>
    <w:rsid w:val="007D53B6"/>
    <w:rsid w:val="007D7D87"/>
    <w:rsid w:val="007F5CA1"/>
    <w:rsid w:val="007F7FA9"/>
    <w:rsid w:val="00800405"/>
    <w:rsid w:val="008035AC"/>
    <w:rsid w:val="00820527"/>
    <w:rsid w:val="0083322E"/>
    <w:rsid w:val="0084571A"/>
    <w:rsid w:val="00863977"/>
    <w:rsid w:val="0087397E"/>
    <w:rsid w:val="008C2449"/>
    <w:rsid w:val="008D05A7"/>
    <w:rsid w:val="008D7752"/>
    <w:rsid w:val="008F1140"/>
    <w:rsid w:val="0090308B"/>
    <w:rsid w:val="00920ABD"/>
    <w:rsid w:val="00927FC4"/>
    <w:rsid w:val="00933AFC"/>
    <w:rsid w:val="009369DA"/>
    <w:rsid w:val="009669E6"/>
    <w:rsid w:val="00973981"/>
    <w:rsid w:val="00976A49"/>
    <w:rsid w:val="00997888"/>
    <w:rsid w:val="009A5BA7"/>
    <w:rsid w:val="009C4815"/>
    <w:rsid w:val="009E4DC9"/>
    <w:rsid w:val="00A35088"/>
    <w:rsid w:val="00A64FD4"/>
    <w:rsid w:val="00A967F4"/>
    <w:rsid w:val="00A96E92"/>
    <w:rsid w:val="00AB3DBB"/>
    <w:rsid w:val="00AB50C2"/>
    <w:rsid w:val="00AD5F25"/>
    <w:rsid w:val="00AE76E2"/>
    <w:rsid w:val="00B04DCA"/>
    <w:rsid w:val="00B44CFD"/>
    <w:rsid w:val="00B52023"/>
    <w:rsid w:val="00B53C13"/>
    <w:rsid w:val="00B82510"/>
    <w:rsid w:val="00B93F26"/>
    <w:rsid w:val="00BB0F99"/>
    <w:rsid w:val="00BC2ECD"/>
    <w:rsid w:val="00BC3F3E"/>
    <w:rsid w:val="00BD21C5"/>
    <w:rsid w:val="00BD2A1A"/>
    <w:rsid w:val="00BF2A09"/>
    <w:rsid w:val="00C07C05"/>
    <w:rsid w:val="00C120E1"/>
    <w:rsid w:val="00C459F1"/>
    <w:rsid w:val="00C51010"/>
    <w:rsid w:val="00C7037B"/>
    <w:rsid w:val="00C73ABD"/>
    <w:rsid w:val="00C73E0B"/>
    <w:rsid w:val="00C7435F"/>
    <w:rsid w:val="00C809B6"/>
    <w:rsid w:val="00C8537B"/>
    <w:rsid w:val="00C87079"/>
    <w:rsid w:val="00C92ABE"/>
    <w:rsid w:val="00C9510C"/>
    <w:rsid w:val="00CA0487"/>
    <w:rsid w:val="00CB6C8A"/>
    <w:rsid w:val="00CE54E5"/>
    <w:rsid w:val="00CF5DAC"/>
    <w:rsid w:val="00D07483"/>
    <w:rsid w:val="00D11354"/>
    <w:rsid w:val="00D571F2"/>
    <w:rsid w:val="00D576B4"/>
    <w:rsid w:val="00D743E9"/>
    <w:rsid w:val="00D90C6E"/>
    <w:rsid w:val="00DA6C98"/>
    <w:rsid w:val="00DB6368"/>
    <w:rsid w:val="00DC1F6C"/>
    <w:rsid w:val="00DC2257"/>
    <w:rsid w:val="00DF02E6"/>
    <w:rsid w:val="00DF683C"/>
    <w:rsid w:val="00E12C1D"/>
    <w:rsid w:val="00E17F7E"/>
    <w:rsid w:val="00E21760"/>
    <w:rsid w:val="00E21F3E"/>
    <w:rsid w:val="00E52260"/>
    <w:rsid w:val="00E60D89"/>
    <w:rsid w:val="00E61081"/>
    <w:rsid w:val="00E6572D"/>
    <w:rsid w:val="00E728BB"/>
    <w:rsid w:val="00E74984"/>
    <w:rsid w:val="00E94390"/>
    <w:rsid w:val="00EA0134"/>
    <w:rsid w:val="00EB4B8C"/>
    <w:rsid w:val="00EC70D2"/>
    <w:rsid w:val="00ED10E7"/>
    <w:rsid w:val="00F13CD4"/>
    <w:rsid w:val="00F14DA2"/>
    <w:rsid w:val="00F4726A"/>
    <w:rsid w:val="00F51422"/>
    <w:rsid w:val="00F52801"/>
    <w:rsid w:val="00F530BA"/>
    <w:rsid w:val="00F541AA"/>
    <w:rsid w:val="00F57EB9"/>
    <w:rsid w:val="00F765F5"/>
    <w:rsid w:val="00F87183"/>
    <w:rsid w:val="00F91BA0"/>
    <w:rsid w:val="00FA7634"/>
    <w:rsid w:val="00FC7CEA"/>
    <w:rsid w:val="00FD070F"/>
    <w:rsid w:val="00FD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E770"/>
  <w15:docId w15:val="{6DA0C2B0-F8C9-436D-9BB6-D55F537C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D53B6"/>
    <w:pPr>
      <w:keepNext/>
      <w:numPr>
        <w:numId w:val="7"/>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D53B6"/>
    <w:pPr>
      <w:keepNext/>
      <w:numPr>
        <w:ilvl w:val="1"/>
        <w:numId w:val="7"/>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D53B6"/>
    <w:pPr>
      <w:keepNext/>
      <w:numPr>
        <w:ilvl w:val="2"/>
        <w:numId w:val="7"/>
      </w:numPr>
      <w:outlineLvl w:val="2"/>
    </w:pPr>
    <w:rPr>
      <w:rFonts w:eastAsiaTheme="majorEastAsia"/>
      <w:bCs/>
      <w:i/>
    </w:rPr>
  </w:style>
  <w:style w:type="paragraph" w:styleId="Rubrik4">
    <w:name w:val="heading 4"/>
    <w:basedOn w:val="Normal"/>
    <w:next w:val="Text1"/>
    <w:link w:val="Rubrik4Char"/>
    <w:uiPriority w:val="9"/>
    <w:semiHidden/>
    <w:unhideWhenUsed/>
    <w:qFormat/>
    <w:rsid w:val="007D53B6"/>
    <w:pPr>
      <w:keepNext/>
      <w:numPr>
        <w:ilvl w:val="3"/>
        <w:numId w:val="7"/>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76A49"/>
    <w:pPr>
      <w:tabs>
        <w:tab w:val="center" w:pos="4535"/>
        <w:tab w:val="right" w:pos="9071"/>
      </w:tabs>
      <w:spacing w:before="0"/>
    </w:pPr>
  </w:style>
  <w:style w:type="character" w:customStyle="1" w:styleId="SidhuvudChar">
    <w:name w:val="Sidhuvud Char"/>
    <w:basedOn w:val="Standardstycketeckensnitt"/>
    <w:link w:val="Sidhuvud"/>
    <w:uiPriority w:val="99"/>
    <w:rsid w:val="00976A49"/>
    <w:rPr>
      <w:rFonts w:ascii="Times New Roman" w:hAnsi="Times New Roman" w:cs="Times New Roman"/>
      <w:sz w:val="24"/>
      <w:lang w:val="en-GB"/>
    </w:rPr>
  </w:style>
  <w:style w:type="paragraph" w:styleId="Sidfot">
    <w:name w:val="footer"/>
    <w:basedOn w:val="Normal"/>
    <w:link w:val="SidfotChar"/>
    <w:uiPriority w:val="99"/>
    <w:unhideWhenUsed/>
    <w:rsid w:val="00976A49"/>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976A49"/>
    <w:rPr>
      <w:rFonts w:ascii="Times New Roman" w:hAnsi="Times New Roman" w:cs="Times New Roman"/>
      <w:sz w:val="24"/>
      <w:lang w:val="en-GB"/>
    </w:rPr>
  </w:style>
  <w:style w:type="paragraph" w:styleId="Fotnotstext">
    <w:name w:val="footnote text"/>
    <w:aliases w:val="Footnote text,Footnote Text Char Char,Footnote Text Char Char Char Char,Footnote Text1,Footnote Text Char Char Char,Footnote Text1 Char Char Char Char Char Char Char Char,Footnote Text1 Char Char Char,Footnote,Fußnote,E Fußn,IFZ f,o"/>
    <w:basedOn w:val="Normal"/>
    <w:link w:val="FotnotstextChar"/>
    <w:uiPriority w:val="99"/>
    <w:unhideWhenUsed/>
    <w:qFormat/>
    <w:rsid w:val="007D53B6"/>
    <w:pPr>
      <w:spacing w:before="0" w:after="0"/>
      <w:ind w:left="720" w:hanging="720"/>
    </w:pPr>
    <w:rPr>
      <w:sz w:val="20"/>
      <w:szCs w:val="20"/>
    </w:rPr>
  </w:style>
  <w:style w:type="character" w:customStyle="1" w:styleId="FotnotstextChar">
    <w:name w:val="Fotnotstext Char"/>
    <w:aliases w:val="Footnote text Char,Footnote Text Char Char Char1,Footnote Text Char Char Char Char Char,Footnote Text1 Char,Footnote Text Char Char Char Char1,Footnote Text1 Char Char Char Char Char Char Char Char Char,Footnote Char,Fußnote Char,o Char"/>
    <w:basedOn w:val="Standardstycketeckensnitt"/>
    <w:link w:val="Fotnotstext"/>
    <w:uiPriority w:val="99"/>
    <w:rsid w:val="007D53B6"/>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Rubrik2Char">
    <w:name w:val="Rubrik 2 Char"/>
    <w:basedOn w:val="Standardstycketeckensnitt"/>
    <w:link w:val="Rubrik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Rubrik3Char">
    <w:name w:val="Rubrik 3 Char"/>
    <w:basedOn w:val="Standardstycketeckensnitt"/>
    <w:link w:val="Rubrik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Rubrik4Char">
    <w:name w:val="Rubrik 4 Char"/>
    <w:basedOn w:val="Standardstycketeckensnitt"/>
    <w:link w:val="Rubrik4"/>
    <w:uiPriority w:val="9"/>
    <w:semiHidden/>
    <w:rsid w:val="007D53B6"/>
    <w:rPr>
      <w:rFonts w:ascii="Times New Roman" w:eastAsiaTheme="majorEastAsia" w:hAnsi="Times New Roman" w:cs="Times New Roman"/>
      <w:bCs/>
      <w:iCs/>
      <w:sz w:val="24"/>
      <w:shd w:val="clear" w:color="auto" w:fill="auto"/>
      <w:lang w:val="en-GB"/>
    </w:rPr>
  </w:style>
  <w:style w:type="paragraph" w:styleId="Innehllsfrteckningsrubrik">
    <w:name w:val="TOC Heading"/>
    <w:basedOn w:val="Normal"/>
    <w:next w:val="Normal"/>
    <w:uiPriority w:val="39"/>
    <w:semiHidden/>
    <w:unhideWhenUsed/>
    <w:qFormat/>
    <w:rsid w:val="007D53B6"/>
    <w:pPr>
      <w:spacing w:after="240"/>
      <w:jc w:val="center"/>
    </w:pPr>
    <w:rPr>
      <w:b/>
      <w:sz w:val="28"/>
    </w:rPr>
  </w:style>
  <w:style w:type="paragraph" w:styleId="Innehll1">
    <w:name w:val="toc 1"/>
    <w:basedOn w:val="Normal"/>
    <w:next w:val="Normal"/>
    <w:uiPriority w:val="39"/>
    <w:semiHidden/>
    <w:unhideWhenUsed/>
    <w:rsid w:val="007D53B6"/>
    <w:pPr>
      <w:tabs>
        <w:tab w:val="right" w:leader="dot" w:pos="9071"/>
      </w:tabs>
      <w:spacing w:before="60"/>
      <w:ind w:left="850" w:hanging="850"/>
      <w:jc w:val="left"/>
    </w:pPr>
  </w:style>
  <w:style w:type="paragraph" w:styleId="Innehll2">
    <w:name w:val="toc 2"/>
    <w:basedOn w:val="Normal"/>
    <w:next w:val="Normal"/>
    <w:uiPriority w:val="39"/>
    <w:semiHidden/>
    <w:unhideWhenUsed/>
    <w:rsid w:val="007D53B6"/>
    <w:pPr>
      <w:tabs>
        <w:tab w:val="right" w:leader="dot" w:pos="9071"/>
      </w:tabs>
      <w:spacing w:before="60"/>
      <w:ind w:left="850" w:hanging="850"/>
      <w:jc w:val="left"/>
    </w:pPr>
  </w:style>
  <w:style w:type="paragraph" w:styleId="Innehll3">
    <w:name w:val="toc 3"/>
    <w:basedOn w:val="Normal"/>
    <w:next w:val="Normal"/>
    <w:uiPriority w:val="39"/>
    <w:semiHidden/>
    <w:unhideWhenUsed/>
    <w:rsid w:val="007D53B6"/>
    <w:pPr>
      <w:tabs>
        <w:tab w:val="right" w:leader="dot" w:pos="9071"/>
      </w:tabs>
      <w:spacing w:before="60"/>
      <w:ind w:left="850" w:hanging="850"/>
      <w:jc w:val="left"/>
    </w:pPr>
  </w:style>
  <w:style w:type="paragraph" w:styleId="Innehll4">
    <w:name w:val="toc 4"/>
    <w:basedOn w:val="Normal"/>
    <w:next w:val="Normal"/>
    <w:uiPriority w:val="39"/>
    <w:semiHidden/>
    <w:unhideWhenUsed/>
    <w:rsid w:val="007D53B6"/>
    <w:pPr>
      <w:tabs>
        <w:tab w:val="right" w:leader="dot" w:pos="9071"/>
      </w:tabs>
      <w:spacing w:before="60"/>
      <w:ind w:left="850" w:hanging="850"/>
      <w:jc w:val="left"/>
    </w:pPr>
  </w:style>
  <w:style w:type="paragraph" w:styleId="Innehll5">
    <w:name w:val="toc 5"/>
    <w:basedOn w:val="Normal"/>
    <w:next w:val="Normal"/>
    <w:uiPriority w:val="39"/>
    <w:semiHidden/>
    <w:unhideWhenUsed/>
    <w:rsid w:val="007D53B6"/>
    <w:pPr>
      <w:tabs>
        <w:tab w:val="right" w:leader="dot" w:pos="9071"/>
      </w:tabs>
      <w:spacing w:before="300"/>
      <w:jc w:val="left"/>
    </w:pPr>
  </w:style>
  <w:style w:type="paragraph" w:styleId="Innehll6">
    <w:name w:val="toc 6"/>
    <w:basedOn w:val="Normal"/>
    <w:next w:val="Normal"/>
    <w:uiPriority w:val="39"/>
    <w:semiHidden/>
    <w:unhideWhenUsed/>
    <w:rsid w:val="007D53B6"/>
    <w:pPr>
      <w:tabs>
        <w:tab w:val="right" w:leader="dot" w:pos="9071"/>
      </w:tabs>
      <w:spacing w:before="240"/>
      <w:jc w:val="left"/>
    </w:pPr>
  </w:style>
  <w:style w:type="paragraph" w:styleId="Innehll7">
    <w:name w:val="toc 7"/>
    <w:basedOn w:val="Normal"/>
    <w:next w:val="Normal"/>
    <w:uiPriority w:val="39"/>
    <w:semiHidden/>
    <w:unhideWhenUsed/>
    <w:rsid w:val="007D53B6"/>
    <w:pPr>
      <w:tabs>
        <w:tab w:val="right" w:leader="dot" w:pos="9071"/>
      </w:tabs>
      <w:spacing w:before="180"/>
      <w:jc w:val="left"/>
    </w:pPr>
  </w:style>
  <w:style w:type="paragraph" w:styleId="Innehll8">
    <w:name w:val="toc 8"/>
    <w:basedOn w:val="Normal"/>
    <w:next w:val="Normal"/>
    <w:uiPriority w:val="39"/>
    <w:semiHidden/>
    <w:unhideWhenUsed/>
    <w:rsid w:val="007D53B6"/>
    <w:pPr>
      <w:tabs>
        <w:tab w:val="right" w:leader="dot" w:pos="9071"/>
      </w:tabs>
      <w:jc w:val="left"/>
    </w:pPr>
  </w:style>
  <w:style w:type="paragraph" w:styleId="Innehll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76A49"/>
    <w:pPr>
      <w:tabs>
        <w:tab w:val="center" w:pos="7285"/>
        <w:tab w:val="right" w:pos="14003"/>
      </w:tabs>
      <w:spacing w:before="0"/>
    </w:pPr>
  </w:style>
  <w:style w:type="paragraph" w:customStyle="1" w:styleId="FooterLandscape">
    <w:name w:val="FooterLandscape"/>
    <w:basedOn w:val="Normal"/>
    <w:rsid w:val="00976A49"/>
    <w:pPr>
      <w:tabs>
        <w:tab w:val="center" w:pos="7285"/>
        <w:tab w:val="center" w:pos="10913"/>
        <w:tab w:val="right" w:pos="15137"/>
      </w:tabs>
      <w:spacing w:before="360" w:after="0"/>
      <w:ind w:left="-567" w:right="-567"/>
      <w:jc w:val="left"/>
    </w:pPr>
  </w:style>
  <w:style w:type="character" w:styleId="Fotnotsreferens">
    <w:name w:val="footnote reference"/>
    <w:aliases w:val="Source Reference,SUPERS,number,Footnote reference number,Footnote symbol,note TESI,-E Fußnotenzeichen,Times 10 Point,Exposant 3 Point,Ref,de nota al pie,EN Footnote Reference,no...,Footnote number,Footnote Reference Superscript,4_G,FR"/>
    <w:basedOn w:val="Standardstycketeckensnitt"/>
    <w:uiPriority w:val="99"/>
    <w:unhideWhenUsed/>
    <w:qFormat/>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Rubrik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Standardstycketeckensnitt"/>
    <w:rsid w:val="007D53B6"/>
    <w:rPr>
      <w:color w:val="0000FF"/>
      <w:shd w:val="clear" w:color="auto" w:fill="auto"/>
    </w:rPr>
  </w:style>
  <w:style w:type="character" w:customStyle="1" w:styleId="Marker1">
    <w:name w:val="Marker1"/>
    <w:basedOn w:val="Standardstycketeckensnitt"/>
    <w:rsid w:val="007D53B6"/>
    <w:rPr>
      <w:color w:val="008000"/>
      <w:shd w:val="clear" w:color="auto" w:fill="auto"/>
    </w:rPr>
  </w:style>
  <w:style w:type="character" w:customStyle="1" w:styleId="Marker2">
    <w:name w:val="Marker2"/>
    <w:basedOn w:val="Standardstycketeckensnit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EA0134"/>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Standardstycketeckensnitt"/>
    <w:rsid w:val="007D53B6"/>
    <w:rPr>
      <w:b/>
      <w:u w:val="single"/>
      <w:shd w:val="clear" w:color="auto" w:fill="auto"/>
    </w:rPr>
  </w:style>
  <w:style w:type="character" w:customStyle="1" w:styleId="Deleted">
    <w:name w:val="Deleted"/>
    <w:basedOn w:val="Standardstycketeckensnit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EA0134"/>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Punktlista">
    <w:name w:val="List Bullet"/>
    <w:basedOn w:val="Normal"/>
    <w:uiPriority w:val="99"/>
    <w:semiHidden/>
    <w:unhideWhenUsed/>
    <w:rsid w:val="00012194"/>
    <w:pPr>
      <w:numPr>
        <w:numId w:val="16"/>
      </w:numPr>
      <w:contextualSpacing/>
    </w:pPr>
  </w:style>
  <w:style w:type="paragraph" w:styleId="Punktlista2">
    <w:name w:val="List Bullet 2"/>
    <w:basedOn w:val="Normal"/>
    <w:uiPriority w:val="99"/>
    <w:semiHidden/>
    <w:unhideWhenUsed/>
    <w:rsid w:val="00012194"/>
    <w:pPr>
      <w:numPr>
        <w:numId w:val="17"/>
      </w:numPr>
      <w:contextualSpacing/>
    </w:pPr>
  </w:style>
  <w:style w:type="paragraph" w:styleId="Punktlista3">
    <w:name w:val="List Bullet 3"/>
    <w:basedOn w:val="Normal"/>
    <w:uiPriority w:val="99"/>
    <w:semiHidden/>
    <w:unhideWhenUsed/>
    <w:rsid w:val="00012194"/>
    <w:pPr>
      <w:numPr>
        <w:numId w:val="18"/>
      </w:numPr>
      <w:contextualSpacing/>
    </w:pPr>
  </w:style>
  <w:style w:type="paragraph" w:styleId="Punktlista4">
    <w:name w:val="List Bullet 4"/>
    <w:basedOn w:val="Normal"/>
    <w:uiPriority w:val="99"/>
    <w:semiHidden/>
    <w:unhideWhenUsed/>
    <w:rsid w:val="00012194"/>
    <w:pPr>
      <w:numPr>
        <w:numId w:val="19"/>
      </w:numPr>
      <w:contextualSpacing/>
    </w:pPr>
  </w:style>
  <w:style w:type="paragraph" w:styleId="Kommentarer">
    <w:name w:val="annotation text"/>
    <w:basedOn w:val="Normal"/>
    <w:link w:val="KommentarerChar"/>
    <w:uiPriority w:val="99"/>
    <w:rsid w:val="000A01E0"/>
    <w:pPr>
      <w:spacing w:before="0" w:after="180"/>
    </w:pPr>
    <w:rPr>
      <w:rFonts w:ascii="Arial" w:hAnsi="Arial" w:cstheme="minorBidi"/>
      <w:sz w:val="20"/>
      <w:szCs w:val="20"/>
      <w:lang w:val="de-DE"/>
    </w:rPr>
  </w:style>
  <w:style w:type="character" w:customStyle="1" w:styleId="KommentarerChar">
    <w:name w:val="Kommentarer Char"/>
    <w:basedOn w:val="Standardstycketeckensnitt"/>
    <w:link w:val="Kommentarer"/>
    <w:uiPriority w:val="99"/>
    <w:rsid w:val="000A01E0"/>
    <w:rPr>
      <w:rFonts w:ascii="Arial" w:hAnsi="Arial"/>
      <w:sz w:val="20"/>
      <w:szCs w:val="20"/>
      <w:lang w:val="de-DE"/>
    </w:rPr>
  </w:style>
  <w:style w:type="character" w:styleId="Kommentarsreferens">
    <w:name w:val="annotation reference"/>
    <w:basedOn w:val="Standardstycketeckensnitt"/>
    <w:uiPriority w:val="99"/>
    <w:rsid w:val="000A01E0"/>
    <w:rPr>
      <w:sz w:val="16"/>
      <w:szCs w:val="16"/>
    </w:rPr>
  </w:style>
  <w:style w:type="paragraph" w:styleId="Liststycke">
    <w:name w:val="List Paragraph"/>
    <w:basedOn w:val="Normal"/>
    <w:link w:val="ListstyckeChar"/>
    <w:uiPriority w:val="34"/>
    <w:qFormat/>
    <w:rsid w:val="000A01E0"/>
    <w:pPr>
      <w:spacing w:before="0" w:after="180" w:line="280" w:lineRule="atLeast"/>
      <w:ind w:left="720"/>
      <w:contextualSpacing/>
    </w:pPr>
    <w:rPr>
      <w:rFonts w:ascii="Arial" w:hAnsi="Arial" w:cstheme="minorBidi"/>
      <w:sz w:val="22"/>
      <w:lang w:val="de-DE"/>
    </w:rPr>
  </w:style>
  <w:style w:type="character" w:customStyle="1" w:styleId="ListstyckeChar">
    <w:name w:val="Liststycke Char"/>
    <w:basedOn w:val="Standardstycketeckensnitt"/>
    <w:link w:val="Liststycke"/>
    <w:uiPriority w:val="1"/>
    <w:locked/>
    <w:rsid w:val="000A01E0"/>
    <w:rPr>
      <w:rFonts w:ascii="Arial" w:hAnsi="Arial"/>
      <w:lang w:val="de-DE"/>
    </w:rPr>
  </w:style>
  <w:style w:type="paragraph" w:styleId="Ballongtext">
    <w:name w:val="Balloon Text"/>
    <w:basedOn w:val="Normal"/>
    <w:link w:val="BallongtextChar"/>
    <w:uiPriority w:val="99"/>
    <w:semiHidden/>
    <w:unhideWhenUsed/>
    <w:rsid w:val="000A01E0"/>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01E0"/>
    <w:rPr>
      <w:rFonts w:ascii="Tahoma" w:hAnsi="Tahoma" w:cs="Tahoma"/>
      <w:sz w:val="16"/>
      <w:szCs w:val="16"/>
      <w:lang w:val="en-GB"/>
    </w:rPr>
  </w:style>
  <w:style w:type="paragraph" w:styleId="Kommentarsmne">
    <w:name w:val="annotation subject"/>
    <w:basedOn w:val="Kommentarer"/>
    <w:next w:val="Kommentarer"/>
    <w:link w:val="KommentarsmneChar"/>
    <w:uiPriority w:val="99"/>
    <w:semiHidden/>
    <w:unhideWhenUsed/>
    <w:rsid w:val="00B93F26"/>
    <w:pPr>
      <w:spacing w:before="120" w:after="120"/>
    </w:pPr>
    <w:rPr>
      <w:rFonts w:ascii="Times New Roman" w:hAnsi="Times New Roman" w:cs="Times New Roman"/>
      <w:b/>
      <w:bCs/>
      <w:lang w:val="en-GB"/>
    </w:rPr>
  </w:style>
  <w:style w:type="character" w:customStyle="1" w:styleId="KommentarsmneChar">
    <w:name w:val="Kommentarsämne Char"/>
    <w:basedOn w:val="KommentarerChar"/>
    <w:link w:val="Kommentarsmne"/>
    <w:uiPriority w:val="99"/>
    <w:semiHidden/>
    <w:rsid w:val="00B93F26"/>
    <w:rPr>
      <w:rFonts w:ascii="Times New Roman" w:hAnsi="Times New Roman" w:cs="Times New Roman"/>
      <w:b/>
      <w:bCs/>
      <w:sz w:val="20"/>
      <w:szCs w:val="20"/>
      <w:lang w:val="en-GB"/>
    </w:rPr>
  </w:style>
  <w:style w:type="paragraph" w:styleId="Revision">
    <w:name w:val="Revision"/>
    <w:hidden/>
    <w:uiPriority w:val="99"/>
    <w:semiHidden/>
    <w:rsid w:val="00681820"/>
    <w:pPr>
      <w:spacing w:after="0" w:line="240" w:lineRule="auto"/>
    </w:pPr>
    <w:rPr>
      <w:rFonts w:ascii="Times New Roman" w:hAnsi="Times New Roman" w:cs="Times New Roman"/>
      <w:sz w:val="24"/>
      <w:lang w:val="en-GB"/>
    </w:rPr>
  </w:style>
  <w:style w:type="paragraph" w:styleId="Numreradlista4">
    <w:name w:val="List Number 4"/>
    <w:basedOn w:val="Normal"/>
    <w:uiPriority w:val="99"/>
    <w:semiHidden/>
    <w:unhideWhenUsed/>
    <w:rsid w:val="00F765F5"/>
    <w:pPr>
      <w:numPr>
        <w:numId w:val="31"/>
      </w:numPr>
      <w:contextualSpacing/>
    </w:pPr>
  </w:style>
  <w:style w:type="paragraph" w:styleId="Lista">
    <w:name w:val="List"/>
    <w:basedOn w:val="Normal"/>
    <w:uiPriority w:val="99"/>
    <w:semiHidden/>
    <w:unhideWhenUsed/>
    <w:rsid w:val="00705D35"/>
    <w:pPr>
      <w:ind w:left="283" w:hanging="283"/>
      <w:contextualSpacing/>
    </w:pPr>
  </w:style>
  <w:style w:type="character" w:styleId="Hyperlnk">
    <w:name w:val="Hyperlink"/>
    <w:uiPriority w:val="99"/>
    <w:rsid w:val="00CF5DAC"/>
    <w:rPr>
      <w:color w:val="0000FF"/>
      <w:u w:val="single"/>
      <w:shd w:val="clear" w:color="auto" w:fill="auto"/>
    </w:rPr>
  </w:style>
  <w:style w:type="paragraph" w:customStyle="1" w:styleId="FootNotetext">
    <w:name w:val="Foot Note text"/>
    <w:basedOn w:val="Fotnotstext"/>
    <w:link w:val="FootNotetextChar"/>
    <w:qFormat/>
    <w:rsid w:val="009E4DC9"/>
    <w:pPr>
      <w:autoSpaceDE w:val="0"/>
      <w:autoSpaceDN w:val="0"/>
      <w:adjustRightInd w:val="0"/>
      <w:ind w:left="284" w:hanging="295"/>
      <w:jc w:val="left"/>
    </w:pPr>
    <w:rPr>
      <w:rFonts w:ascii="Calibri" w:eastAsia="Times New Roman" w:hAnsi="Calibri"/>
      <w:color w:val="000000"/>
      <w:sz w:val="18"/>
      <w:szCs w:val="18"/>
      <w:lang w:eastAsia="en-GB"/>
    </w:rPr>
  </w:style>
  <w:style w:type="character" w:customStyle="1" w:styleId="FootNotetextChar">
    <w:name w:val="Foot Note text Char"/>
    <w:basedOn w:val="Standardstycketeckensnitt"/>
    <w:link w:val="FootNotetext"/>
    <w:rsid w:val="009E4DC9"/>
    <w:rPr>
      <w:rFonts w:ascii="Calibri" w:eastAsia="Times New Roman" w:hAnsi="Calibri" w:cs="Times New Roman"/>
      <w:color w:val="000000"/>
      <w:sz w:val="18"/>
      <w:szCs w:val="18"/>
      <w:lang w:val="en-GB" w:eastAsia="en-GB"/>
    </w:rPr>
  </w:style>
  <w:style w:type="paragraph" w:customStyle="1" w:styleId="Declassification">
    <w:name w:val="Declassification"/>
    <w:basedOn w:val="Normal"/>
    <w:next w:val="Normal"/>
    <w:rsid w:val="00EA0134"/>
    <w:pPr>
      <w:spacing w:before="0" w:after="0"/>
    </w:pPr>
  </w:style>
  <w:style w:type="paragraph" w:customStyle="1" w:styleId="HeaderSensitivity">
    <w:name w:val="Header Sensitivity"/>
    <w:basedOn w:val="Normal"/>
    <w:rsid w:val="00976A4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76A4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EA013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Normalwebb">
    <w:name w:val="Normal (Web)"/>
    <w:basedOn w:val="Normal"/>
    <w:uiPriority w:val="99"/>
    <w:semiHidden/>
    <w:unhideWhenUsed/>
    <w:rsid w:val="004B4DB3"/>
    <w:pPr>
      <w:spacing w:before="100" w:beforeAutospacing="1" w:after="100" w:afterAutospacing="1"/>
      <w:jc w:val="left"/>
    </w:pPr>
    <w:rPr>
      <w:rFonts w:eastAsiaTheme="minorEastAsia"/>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69926">
      <w:bodyDiv w:val="1"/>
      <w:marLeft w:val="0"/>
      <w:marRight w:val="0"/>
      <w:marTop w:val="0"/>
      <w:marBottom w:val="0"/>
      <w:divBdr>
        <w:top w:val="none" w:sz="0" w:space="0" w:color="auto"/>
        <w:left w:val="none" w:sz="0" w:space="0" w:color="auto"/>
        <w:bottom w:val="none" w:sz="0" w:space="0" w:color="auto"/>
        <w:right w:val="none" w:sz="0" w:space="0" w:color="auto"/>
      </w:divBdr>
      <w:divsChild>
        <w:div w:id="1660645528">
          <w:marLeft w:val="0"/>
          <w:marRight w:val="0"/>
          <w:marTop w:val="0"/>
          <w:marBottom w:val="0"/>
          <w:divBdr>
            <w:top w:val="none" w:sz="0" w:space="0" w:color="auto"/>
            <w:left w:val="none" w:sz="0" w:space="0" w:color="auto"/>
            <w:bottom w:val="none" w:sz="0" w:space="0" w:color="auto"/>
            <w:right w:val="none" w:sz="0" w:space="0" w:color="auto"/>
          </w:divBdr>
          <w:divsChild>
            <w:div w:id="410124891">
              <w:marLeft w:val="0"/>
              <w:marRight w:val="0"/>
              <w:marTop w:val="0"/>
              <w:marBottom w:val="0"/>
              <w:divBdr>
                <w:top w:val="none" w:sz="0" w:space="0" w:color="auto"/>
                <w:left w:val="none" w:sz="0" w:space="0" w:color="auto"/>
                <w:bottom w:val="none" w:sz="0" w:space="0" w:color="auto"/>
                <w:right w:val="none" w:sz="0" w:space="0" w:color="auto"/>
              </w:divBdr>
              <w:divsChild>
                <w:div w:id="284629084">
                  <w:marLeft w:val="0"/>
                  <w:marRight w:val="0"/>
                  <w:marTop w:val="0"/>
                  <w:marBottom w:val="0"/>
                  <w:divBdr>
                    <w:top w:val="none" w:sz="0" w:space="0" w:color="auto"/>
                    <w:left w:val="none" w:sz="0" w:space="0" w:color="auto"/>
                    <w:bottom w:val="none" w:sz="0" w:space="0" w:color="auto"/>
                    <w:right w:val="none" w:sz="0" w:space="0" w:color="auto"/>
                  </w:divBdr>
                  <w:divsChild>
                    <w:div w:id="1197812299">
                      <w:marLeft w:val="1"/>
                      <w:marRight w:val="1"/>
                      <w:marTop w:val="0"/>
                      <w:marBottom w:val="0"/>
                      <w:divBdr>
                        <w:top w:val="none" w:sz="0" w:space="0" w:color="auto"/>
                        <w:left w:val="none" w:sz="0" w:space="0" w:color="auto"/>
                        <w:bottom w:val="none" w:sz="0" w:space="0" w:color="auto"/>
                        <w:right w:val="none" w:sz="0" w:space="0" w:color="auto"/>
                      </w:divBdr>
                      <w:divsChild>
                        <w:div w:id="303244506">
                          <w:marLeft w:val="0"/>
                          <w:marRight w:val="0"/>
                          <w:marTop w:val="0"/>
                          <w:marBottom w:val="0"/>
                          <w:divBdr>
                            <w:top w:val="none" w:sz="0" w:space="0" w:color="auto"/>
                            <w:left w:val="none" w:sz="0" w:space="0" w:color="auto"/>
                            <w:bottom w:val="none" w:sz="0" w:space="0" w:color="auto"/>
                            <w:right w:val="none" w:sz="0" w:space="0" w:color="auto"/>
                          </w:divBdr>
                          <w:divsChild>
                            <w:div w:id="1717853424">
                              <w:marLeft w:val="0"/>
                              <w:marRight w:val="0"/>
                              <w:marTop w:val="0"/>
                              <w:marBottom w:val="360"/>
                              <w:divBdr>
                                <w:top w:val="none" w:sz="0" w:space="0" w:color="auto"/>
                                <w:left w:val="none" w:sz="0" w:space="0" w:color="auto"/>
                                <w:bottom w:val="none" w:sz="0" w:space="0" w:color="auto"/>
                                <w:right w:val="none" w:sz="0" w:space="0" w:color="auto"/>
                              </w:divBdr>
                              <w:divsChild>
                                <w:div w:id="1254826486">
                                  <w:marLeft w:val="0"/>
                                  <w:marRight w:val="0"/>
                                  <w:marTop w:val="0"/>
                                  <w:marBottom w:val="0"/>
                                  <w:divBdr>
                                    <w:top w:val="none" w:sz="0" w:space="0" w:color="auto"/>
                                    <w:left w:val="none" w:sz="0" w:space="0" w:color="auto"/>
                                    <w:bottom w:val="none" w:sz="0" w:space="0" w:color="auto"/>
                                    <w:right w:val="none" w:sz="0" w:space="0" w:color="auto"/>
                                  </w:divBdr>
                                  <w:divsChild>
                                    <w:div w:id="1651665496">
                                      <w:marLeft w:val="0"/>
                                      <w:marRight w:val="0"/>
                                      <w:marTop w:val="0"/>
                                      <w:marBottom w:val="0"/>
                                      <w:divBdr>
                                        <w:top w:val="none" w:sz="0" w:space="0" w:color="auto"/>
                                        <w:left w:val="none" w:sz="0" w:space="0" w:color="auto"/>
                                        <w:bottom w:val="none" w:sz="0" w:space="0" w:color="auto"/>
                                        <w:right w:val="none" w:sz="0" w:space="0" w:color="auto"/>
                                      </w:divBdr>
                                      <w:divsChild>
                                        <w:div w:id="1009605571">
                                          <w:marLeft w:val="0"/>
                                          <w:marRight w:val="0"/>
                                          <w:marTop w:val="0"/>
                                          <w:marBottom w:val="0"/>
                                          <w:divBdr>
                                            <w:top w:val="none" w:sz="0" w:space="0" w:color="auto"/>
                                            <w:left w:val="none" w:sz="0" w:space="0" w:color="auto"/>
                                            <w:bottom w:val="none" w:sz="0" w:space="0" w:color="auto"/>
                                            <w:right w:val="none" w:sz="0" w:space="0" w:color="auto"/>
                                          </w:divBdr>
                                          <w:divsChild>
                                            <w:div w:id="823157435">
                                              <w:marLeft w:val="0"/>
                                              <w:marRight w:val="0"/>
                                              <w:marTop w:val="0"/>
                                              <w:marBottom w:val="0"/>
                                              <w:divBdr>
                                                <w:top w:val="none" w:sz="0" w:space="0" w:color="auto"/>
                                                <w:left w:val="none" w:sz="0" w:space="0" w:color="auto"/>
                                                <w:bottom w:val="none" w:sz="0" w:space="0" w:color="auto"/>
                                                <w:right w:val="none" w:sz="0" w:space="0" w:color="auto"/>
                                              </w:divBdr>
                                              <w:divsChild>
                                                <w:div w:id="2002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D70E-1745-4269-A0CE-C84DA769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12</Pages>
  <Words>4251</Words>
  <Characters>22533</Characters>
  <Application>Microsoft Office Word</Application>
  <DocSecurity>0</DocSecurity>
  <Lines>187</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cp:lastPrinted>2017-09-13T13:53:00Z</cp:lastPrinted>
  <dcterms:created xsi:type="dcterms:W3CDTF">2017-11-15T12:36:00Z</dcterms:created>
  <dcterms:modified xsi:type="dcterms:W3CDTF">2017-11-15T12:36:00Z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SJ-003</vt:lpwstr>
  </property>
  <property fmtid="{D5CDD505-2E9C-101B-9397-08002B2CF9AE}" pid="9" name="DQCStatus">
    <vt:lpwstr>Red (DQC version 03)</vt:lpwstr>
  </property>
  <property fmtid="{D5CDD505-2E9C-101B-9397-08002B2CF9AE}" pid="10" name="Level of sensitivity">
    <vt:lpwstr>Standard treatment</vt:lpwstr>
  </property>
</Properties>
</file>