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2A803" w14:textId="3D3D7592" w:rsidR="00A641A6" w:rsidRPr="008863C6" w:rsidRDefault="00B672F6" w:rsidP="00A641A6">
      <w:pPr>
        <w:pStyle w:val="Titel"/>
      </w:pPr>
      <w:sdt>
        <w:sdtPr>
          <w:alias w:val="Titel"/>
          <w:tag w:val=""/>
          <w:id w:val="-1084835601"/>
          <w:placeholder>
            <w:docPart w:val="9267CD7132D041C5901032EBE495216A"/>
          </w:placeholder>
          <w:dataBinding w:prefixMappings="xmlns:ns0='http://purl.org/dc/elements/1.1/' xmlns:ns1='http://schemas.openxmlformats.org/package/2006/metadata/core-properties' " w:xpath="/ns1:coreProperties[1]/ns0:title[1]" w:storeItemID="{6C3C8BC8-F283-45AE-878A-BAB7291924A1}"/>
          <w:text/>
        </w:sdtPr>
        <w:sdtEndPr/>
        <w:sdtContent>
          <w:r w:rsidR="00E16105" w:rsidRPr="008863C6">
            <w:t>Kortsiktsprognos – våren 2020</w:t>
          </w:r>
        </w:sdtContent>
      </w:sdt>
    </w:p>
    <w:sdt>
      <w:sdtPr>
        <w:alias w:val="[Klicka här och ange underrubrik]"/>
        <w:id w:val="1360009292"/>
        <w:placeholder>
          <w:docPart w:val="E7CE1B0BC0444FDEA1F0A07C3021A4FC"/>
        </w:placeholder>
        <w:text/>
      </w:sdtPr>
      <w:sdtEndPr/>
      <w:sdtContent>
        <w:p w14:paraId="569447E4" w14:textId="71AE6354" w:rsidR="00A641A6" w:rsidRPr="008863C6" w:rsidRDefault="006C01FC" w:rsidP="00A641A6">
          <w:pPr>
            <w:pStyle w:val="Undertitel"/>
            <w:rPr>
              <w:rFonts w:asciiTheme="minorHAnsi" w:hAnsiTheme="minorHAnsi"/>
              <w:spacing w:val="0"/>
            </w:rPr>
          </w:pPr>
          <w:r w:rsidRPr="008863C6">
            <w:t>Sammanfattning av Energimyndighetens kortsiktsprognos över energianvändningen och energitillförseln</w:t>
          </w:r>
          <w:r>
            <w:t xml:space="preserve"> för perioden </w:t>
          </w:r>
          <w:proofErr w:type="gramStart"/>
          <w:r>
            <w:t>201</w:t>
          </w:r>
          <w:r w:rsidR="0000470B">
            <w:t>9</w:t>
          </w:r>
          <w:r>
            <w:t>-2022</w:t>
          </w:r>
          <w:proofErr w:type="gramEnd"/>
        </w:p>
      </w:sdtContent>
    </w:sdt>
    <w:p w14:paraId="1196D6A3" w14:textId="77777777" w:rsidR="001F185F" w:rsidRPr="008863C6" w:rsidRDefault="001F185F" w:rsidP="00223DE8">
      <w:pPr>
        <w:pStyle w:val="Brdtext"/>
      </w:pPr>
    </w:p>
    <w:p w14:paraId="62B4F8C4" w14:textId="77777777" w:rsidR="001F185F" w:rsidRPr="008863C6" w:rsidRDefault="001F185F" w:rsidP="00D56B4D">
      <w:pPr>
        <w:pStyle w:val="Tryckinfo"/>
      </w:pPr>
    </w:p>
    <w:p w14:paraId="3C3D5CA2" w14:textId="1EA2D15B" w:rsidR="004619A0" w:rsidRPr="008863C6" w:rsidRDefault="003B1419" w:rsidP="004619A0">
      <w:pPr>
        <w:pStyle w:val="Rubrik1"/>
      </w:pPr>
      <w:r w:rsidRPr="008863C6">
        <w:lastRenderedPageBreak/>
        <w:t>Inledning</w:t>
      </w:r>
    </w:p>
    <w:p w14:paraId="00E46899" w14:textId="6F737ADD" w:rsidR="003B1419" w:rsidRPr="008863C6" w:rsidRDefault="003B1419" w:rsidP="003B1419">
      <w:pPr>
        <w:pStyle w:val="Rubrik2"/>
      </w:pPr>
      <w:r w:rsidRPr="008863C6">
        <w:t>Inledning</w:t>
      </w:r>
    </w:p>
    <w:p w14:paraId="558D75A5" w14:textId="0868007C" w:rsidR="003B1419" w:rsidRPr="008863C6" w:rsidRDefault="003B1419" w:rsidP="003B1419">
      <w:pPr>
        <w:pStyle w:val="Brdtext"/>
      </w:pPr>
      <w:r w:rsidRPr="008863C6">
        <w:t>Denna kortsiktsprognos avser samma basår (201</w:t>
      </w:r>
      <w:r w:rsidR="00F154E1" w:rsidRPr="008863C6">
        <w:t>8</w:t>
      </w:r>
      <w:r w:rsidRPr="008863C6">
        <w:t>) och prognosår (201</w:t>
      </w:r>
      <w:r w:rsidR="00F154E1" w:rsidRPr="008863C6">
        <w:t>9</w:t>
      </w:r>
      <w:r w:rsidRPr="008863C6">
        <w:t>–202</w:t>
      </w:r>
      <w:r w:rsidR="00F154E1" w:rsidRPr="008863C6">
        <w:t>2</w:t>
      </w:r>
      <w:r w:rsidRPr="008863C6">
        <w:t>) som den kortsiktsprognos</w:t>
      </w:r>
      <w:r w:rsidRPr="008863C6">
        <w:rPr>
          <w:rStyle w:val="Fotnotsreferens"/>
        </w:rPr>
        <w:footnoteReference w:id="2"/>
      </w:r>
      <w:r w:rsidRPr="008863C6">
        <w:t xml:space="preserve"> som publicerades </w:t>
      </w:r>
      <w:r w:rsidR="00F154E1" w:rsidRPr="008863C6">
        <w:t>sommaren 2019</w:t>
      </w:r>
      <w:r w:rsidRPr="008863C6">
        <w:t xml:space="preserve">. </w:t>
      </w:r>
      <w:r w:rsidR="002A4127">
        <w:t>En skillnad i denna prognos</w:t>
      </w:r>
      <w:r w:rsidRPr="008863C6">
        <w:t xml:space="preserve"> är att </w:t>
      </w:r>
      <w:r w:rsidR="00F154E1" w:rsidRPr="008863C6">
        <w:t>en annan källa har använts till statistiken</w:t>
      </w:r>
      <w:r w:rsidR="00D60B33">
        <w:t xml:space="preserve"> </w:t>
      </w:r>
      <w:r w:rsidR="002A4127">
        <w:t>för basåret</w:t>
      </w:r>
      <w:r w:rsidR="00D60B33">
        <w:t>.</w:t>
      </w:r>
      <w:r w:rsidR="00F154E1" w:rsidRPr="008863C6">
        <w:t xml:space="preserve"> Dessutom har</w:t>
      </w:r>
      <w:r w:rsidRPr="008863C6">
        <w:t xml:space="preserve"> vissa förutsättningar </w:t>
      </w:r>
      <w:r w:rsidR="003267FB">
        <w:t xml:space="preserve">så </w:t>
      </w:r>
      <w:r w:rsidRPr="008863C6">
        <w:t>som energipriser</w:t>
      </w:r>
      <w:r w:rsidR="00F154E1" w:rsidRPr="008863C6">
        <w:t xml:space="preserve">, </w:t>
      </w:r>
      <w:r w:rsidRPr="008863C6">
        <w:t>ekonomisk utveckling</w:t>
      </w:r>
      <w:r w:rsidR="00F154E1" w:rsidRPr="008863C6">
        <w:t xml:space="preserve"> och planerad vindkraftutbyggnad</w:t>
      </w:r>
      <w:r w:rsidRPr="008863C6">
        <w:t xml:space="preserve"> också förändrats något. Denna sammanfattning ger en kort överblick av prognosresultaten för varje sektor</w:t>
      </w:r>
      <w:r w:rsidR="00F154E1" w:rsidRPr="008863C6">
        <w:t xml:space="preserve"> (se kapitel </w:t>
      </w:r>
      <w:r w:rsidR="00F154E1" w:rsidRPr="008863C6">
        <w:fldChar w:fldCharType="begin"/>
      </w:r>
      <w:r w:rsidR="00F154E1" w:rsidRPr="008863C6">
        <w:instrText xml:space="preserve"> REF _Ref32925079 \r \h </w:instrText>
      </w:r>
      <w:r w:rsidR="00F154E1" w:rsidRPr="008863C6">
        <w:fldChar w:fldCharType="separate"/>
      </w:r>
      <w:r w:rsidR="00F154E1" w:rsidRPr="008863C6">
        <w:t>2</w:t>
      </w:r>
      <w:r w:rsidR="00F154E1" w:rsidRPr="008863C6">
        <w:fldChar w:fldCharType="end"/>
      </w:r>
      <w:r w:rsidR="00F154E1" w:rsidRPr="008863C6">
        <w:t>)</w:t>
      </w:r>
      <w:r w:rsidRPr="008863C6">
        <w:t xml:space="preserve"> samt</w:t>
      </w:r>
      <w:r w:rsidR="00F154E1" w:rsidRPr="008863C6">
        <w:t xml:space="preserve"> </w:t>
      </w:r>
      <w:r w:rsidRPr="008863C6">
        <w:t>vad som förändrats inom respektive sektor jämfört med den förra prognosen</w:t>
      </w:r>
      <w:r w:rsidR="00F154E1" w:rsidRPr="008863C6">
        <w:t xml:space="preserve"> (se kapitel </w:t>
      </w:r>
      <w:r w:rsidR="00F154E1" w:rsidRPr="008863C6">
        <w:fldChar w:fldCharType="begin"/>
      </w:r>
      <w:r w:rsidR="00F154E1" w:rsidRPr="008863C6">
        <w:instrText xml:space="preserve"> REF _Ref32925115 \r \h </w:instrText>
      </w:r>
      <w:r w:rsidR="00F154E1" w:rsidRPr="008863C6">
        <w:fldChar w:fldCharType="separate"/>
      </w:r>
      <w:r w:rsidR="00F154E1" w:rsidRPr="008863C6">
        <w:t>3</w:t>
      </w:r>
      <w:r w:rsidR="00F154E1" w:rsidRPr="008863C6">
        <w:fldChar w:fldCharType="end"/>
      </w:r>
      <w:r w:rsidR="00F154E1" w:rsidRPr="008863C6">
        <w:t>)</w:t>
      </w:r>
      <w:r w:rsidRPr="008863C6">
        <w:t xml:space="preserve">. Sammanfattningen ska ses som ett komplement till den mer utförliga </w:t>
      </w:r>
      <w:r w:rsidR="00F154E1" w:rsidRPr="008863C6">
        <w:t>rapporten</w:t>
      </w:r>
      <w:r w:rsidRPr="008863C6">
        <w:t xml:space="preserve"> som </w:t>
      </w:r>
      <w:r w:rsidR="00F154E1" w:rsidRPr="008863C6">
        <w:t>ges</w:t>
      </w:r>
      <w:r w:rsidRPr="008863C6">
        <w:t xml:space="preserve"> ut i </w:t>
      </w:r>
      <w:r w:rsidR="00F154E1" w:rsidRPr="008863C6">
        <w:t>samband med sommarprognosen</w:t>
      </w:r>
      <w:r w:rsidRPr="008863C6">
        <w:t>.</w:t>
      </w:r>
    </w:p>
    <w:p w14:paraId="5650F3B1" w14:textId="78224B58" w:rsidR="00F154E1" w:rsidRPr="008863C6" w:rsidRDefault="00F154E1" w:rsidP="003B1419">
      <w:pPr>
        <w:pStyle w:val="Brdtext"/>
      </w:pPr>
      <w:r w:rsidRPr="008863C6">
        <w:t xml:space="preserve">Kortsiktsprognosen används för att </w:t>
      </w:r>
      <w:r w:rsidR="00BC7730" w:rsidRPr="008863C6">
        <w:t>prognostisera</w:t>
      </w:r>
      <w:r w:rsidR="00701EDE" w:rsidRPr="008863C6">
        <w:t xml:space="preserve"> total</w:t>
      </w:r>
      <w:r w:rsidR="00BC7730" w:rsidRPr="008863C6">
        <w:t xml:space="preserve"> energianvändning och tillförsel på årsbasis</w:t>
      </w:r>
      <w:r w:rsidR="006F6225" w:rsidRPr="008863C6">
        <w:t xml:space="preserve">. Den hanterar alltså </w:t>
      </w:r>
      <w:r w:rsidR="00701EDE" w:rsidRPr="008863C6">
        <w:t xml:space="preserve">exempelvis </w:t>
      </w:r>
      <w:r w:rsidR="006F6225" w:rsidRPr="008863C6">
        <w:t xml:space="preserve">inte </w:t>
      </w:r>
      <w:r w:rsidR="00701EDE" w:rsidRPr="008863C6">
        <w:t>när eller var el används och produceras. Prognosen</w:t>
      </w:r>
      <w:r w:rsidR="006F6225" w:rsidRPr="008863C6">
        <w:t xml:space="preserve"> är således inte ett verktyg för att bedöma elbrist</w:t>
      </w:r>
      <w:r w:rsidR="00E056A1">
        <w:t xml:space="preserve"> på kortare sikt</w:t>
      </w:r>
      <w:r w:rsidR="006F6225" w:rsidRPr="008863C6">
        <w:t xml:space="preserve"> eller begränsningar i överföringskapacitet.  </w:t>
      </w:r>
    </w:p>
    <w:p w14:paraId="285A6608" w14:textId="3B4718C4" w:rsidR="00370E11" w:rsidRPr="008863C6" w:rsidRDefault="0094141D" w:rsidP="00370E11">
      <w:pPr>
        <w:pStyle w:val="Rubrik2"/>
      </w:pPr>
      <w:r w:rsidRPr="008863C6">
        <w:t>Om statistiken</w:t>
      </w:r>
    </w:p>
    <w:p w14:paraId="2F091AAC" w14:textId="059F02D4" w:rsidR="00370E11" w:rsidRPr="008863C6" w:rsidRDefault="00370E11" w:rsidP="00370E11">
      <w:pPr>
        <w:pStyle w:val="Brdtext"/>
      </w:pPr>
      <w:r w:rsidRPr="008863C6">
        <w:t>Statistiken som används</w:t>
      </w:r>
      <w:r w:rsidR="00D848A2">
        <w:t xml:space="preserve"> som underlag</w:t>
      </w:r>
      <w:r w:rsidRPr="008863C6">
        <w:t xml:space="preserve"> till Energimyndighetens kortsiktsprognos är </w:t>
      </w:r>
      <w:r w:rsidR="0094141D" w:rsidRPr="008863C6">
        <w:t>årlig</w:t>
      </w:r>
      <w:r w:rsidRPr="008863C6">
        <w:t xml:space="preserve"> energibalans</w:t>
      </w:r>
      <w:r w:rsidR="00D13E19">
        <w:t>,</w:t>
      </w:r>
      <w:r w:rsidRPr="008863C6">
        <w:t xml:space="preserve"> månatlig elstatistik</w:t>
      </w:r>
      <w:r w:rsidR="00D848A2">
        <w:t xml:space="preserve"> </w:t>
      </w:r>
      <w:proofErr w:type="gramStart"/>
      <w:r w:rsidR="00D848A2">
        <w:t>samt  kvartalsvis</w:t>
      </w:r>
      <w:proofErr w:type="gramEnd"/>
      <w:r w:rsidR="00D848A2">
        <w:t xml:space="preserve"> energibalans</w:t>
      </w:r>
      <w:r w:rsidRPr="008863C6">
        <w:t xml:space="preserve">. </w:t>
      </w:r>
      <w:r w:rsidR="0094141D" w:rsidRPr="008863C6">
        <w:t xml:space="preserve">Tidigare kortsiktsprognoser har </w:t>
      </w:r>
      <w:r w:rsidR="00D13E19">
        <w:t xml:space="preserve">basåret </w:t>
      </w:r>
      <w:r w:rsidR="0094141D" w:rsidRPr="008863C6">
        <w:t>basera</w:t>
      </w:r>
      <w:r w:rsidR="00D13E19">
        <w:t>ts</w:t>
      </w:r>
      <w:r w:rsidR="0094141D" w:rsidRPr="008863C6">
        <w:t xml:space="preserve"> på kvartalsvisa energibalanser, men till denna prognos har vi bytt datakälla</w:t>
      </w:r>
      <w:r w:rsidR="00D13E19">
        <w:t xml:space="preserve"> för basåret</w:t>
      </w:r>
      <w:r w:rsidR="0094141D" w:rsidRPr="008863C6">
        <w:t xml:space="preserve"> till </w:t>
      </w:r>
      <w:r w:rsidR="007763AB">
        <w:t xml:space="preserve">den </w:t>
      </w:r>
      <w:r w:rsidR="0094141D" w:rsidRPr="008863C6">
        <w:t>årlig</w:t>
      </w:r>
      <w:r w:rsidR="007763AB">
        <w:t>a</w:t>
      </w:r>
      <w:r w:rsidR="0094141D" w:rsidRPr="008863C6">
        <w:t xml:space="preserve"> energibalansen.</w:t>
      </w:r>
      <w:r w:rsidR="00942998">
        <w:t xml:space="preserve"> En förbättring</w:t>
      </w:r>
      <w:r w:rsidR="00E27CE8">
        <w:t xml:space="preserve"> av årliga balansen har gjorts under 2018, och en</w:t>
      </w:r>
      <w:r w:rsidR="00942998">
        <w:t xml:space="preserve"> </w:t>
      </w:r>
      <w:r w:rsidR="00E27CE8">
        <w:t>ö</w:t>
      </w:r>
      <w:r w:rsidR="003F2300">
        <w:t>vergång till de årliga energibalanserna i prognoserna innebär att prognoserna bättre redovisar hur energisystemet faktiskt ser ut. Exempelvis allokeras nu större mängder drivmedel (inklusive biodrivmedel) till arbetsmaskiner</w:t>
      </w:r>
      <w:r w:rsidR="00E27CE8">
        <w:rPr>
          <w:rStyle w:val="Fotnotsreferens"/>
        </w:rPr>
        <w:footnoteReference w:id="3"/>
      </w:r>
      <w:r w:rsidR="00942998">
        <w:t>, vilket</w:t>
      </w:r>
      <w:r w:rsidR="003F2300">
        <w:t xml:space="preserve"> tidigare redovisats under transportsektorns energianvändning.</w:t>
      </w:r>
      <w:r w:rsidR="00E96D45" w:rsidRPr="008863C6">
        <w:t xml:space="preserve"> En konsekvens av ändrad datakälla är dock att det kan förekomma vissa nivåändringar för basåret jämfört med tidigare prognoser (läs mer i kapitel 3).</w:t>
      </w:r>
      <w:r w:rsidR="00BC40E9" w:rsidRPr="008863C6">
        <w:t xml:space="preserve"> </w:t>
      </w:r>
      <w:r w:rsidR="0094141D" w:rsidRPr="008863C6">
        <w:t xml:space="preserve"> </w:t>
      </w:r>
    </w:p>
    <w:p w14:paraId="633213C7" w14:textId="52C73811" w:rsidR="00B41E50" w:rsidRPr="008863C6" w:rsidRDefault="00370E11" w:rsidP="00B41E50">
      <w:pPr>
        <w:pStyle w:val="Brdtext"/>
      </w:pPr>
      <w:r w:rsidRPr="008863C6">
        <w:t>Den årliga statistiken, som publiceras i Energimyndighetens årliga energibalanser, tas fram med viss fördröjning vilket</w:t>
      </w:r>
      <w:r w:rsidR="00E96D45" w:rsidRPr="008863C6">
        <w:t xml:space="preserve"> är en orsak till att den inte tidigare har använts</w:t>
      </w:r>
      <w:r w:rsidRPr="008863C6">
        <w:t xml:space="preserve"> i arbetet med kortsiktsprognoser</w:t>
      </w:r>
      <w:r w:rsidR="00E96D45" w:rsidRPr="008863C6">
        <w:t>na. Till denna prognos</w:t>
      </w:r>
      <w:r w:rsidR="00E27CE8">
        <w:t xml:space="preserve"> och med hänsyn till det senaste årets förbättringsarbete av den årliga statistiken</w:t>
      </w:r>
      <w:r w:rsidR="00E96D45" w:rsidRPr="008863C6">
        <w:t xml:space="preserve"> har vi bedömt att fördelarna med att använda</w:t>
      </w:r>
      <w:r w:rsidR="007763AB">
        <w:t xml:space="preserve"> denna</w:t>
      </w:r>
      <w:r w:rsidR="00E96D45" w:rsidRPr="008863C6">
        <w:t xml:space="preserve"> datakälla</w:t>
      </w:r>
      <w:r w:rsidR="00E27CE8">
        <w:t xml:space="preserve"> </w:t>
      </w:r>
      <w:r w:rsidR="00E96D45" w:rsidRPr="008863C6">
        <w:t>överväger</w:t>
      </w:r>
      <w:r w:rsidR="007763AB">
        <w:t xml:space="preserve"> nackdelarna</w:t>
      </w:r>
      <w:r w:rsidRPr="008863C6">
        <w:t>.</w:t>
      </w:r>
    </w:p>
    <w:p w14:paraId="1D001CB7" w14:textId="77777777" w:rsidR="00370E11" w:rsidRPr="008863C6" w:rsidRDefault="00370E11" w:rsidP="003B1419">
      <w:pPr>
        <w:pStyle w:val="Brdtext"/>
        <w:rPr>
          <w:color w:val="FF0000"/>
        </w:rPr>
      </w:pPr>
    </w:p>
    <w:p w14:paraId="1014F3DD" w14:textId="5A357BD6" w:rsidR="004619A0" w:rsidRPr="008863C6" w:rsidRDefault="004619A0" w:rsidP="004619A0">
      <w:pPr>
        <w:pStyle w:val="Rubrik1"/>
      </w:pPr>
      <w:bookmarkStart w:id="0" w:name="_Ref32925079"/>
      <w:r w:rsidRPr="008863C6">
        <w:lastRenderedPageBreak/>
        <w:t>Resultat</w:t>
      </w:r>
      <w:bookmarkEnd w:id="0"/>
    </w:p>
    <w:p w14:paraId="732D6F2B" w14:textId="77777777" w:rsidR="003B1419" w:rsidRPr="00E36D4A" w:rsidRDefault="003B1419" w:rsidP="003B1419">
      <w:pPr>
        <w:pStyle w:val="Rubrik2"/>
      </w:pPr>
      <w:r w:rsidRPr="00E36D4A">
        <w:t>Prognos för total energianvändning och energitillförsel</w:t>
      </w:r>
    </w:p>
    <w:p w14:paraId="41888A83" w14:textId="0EA6FDC3" w:rsidR="00124DD6" w:rsidRDefault="003B1419" w:rsidP="003104BB">
      <w:pPr>
        <w:pStyle w:val="Brdtext"/>
      </w:pPr>
      <w:r w:rsidRPr="004072FB">
        <w:t xml:space="preserve">Den totala energianvändningen och tillförseln prognostiseras att </w:t>
      </w:r>
      <w:r w:rsidR="004072FB" w:rsidRPr="004072FB">
        <w:t>minska</w:t>
      </w:r>
      <w:r w:rsidRPr="004072FB">
        <w:t xml:space="preserve"> från </w:t>
      </w:r>
      <w:r w:rsidR="004072FB" w:rsidRPr="004072FB">
        <w:t>5</w:t>
      </w:r>
      <w:r w:rsidR="007008DB">
        <w:t>5</w:t>
      </w:r>
      <w:r w:rsidR="004072FB" w:rsidRPr="004072FB">
        <w:t>6</w:t>
      </w:r>
      <w:r w:rsidRPr="004072FB">
        <w:t xml:space="preserve"> TWh 201</w:t>
      </w:r>
      <w:r w:rsidR="004072FB" w:rsidRPr="004072FB">
        <w:t>8</w:t>
      </w:r>
      <w:r w:rsidRPr="004072FB">
        <w:t xml:space="preserve"> till </w:t>
      </w:r>
      <w:r w:rsidR="004072FB" w:rsidRPr="004072FB">
        <w:t>5</w:t>
      </w:r>
      <w:r w:rsidR="00F51256">
        <w:t>51</w:t>
      </w:r>
      <w:r w:rsidRPr="004072FB">
        <w:t xml:space="preserve"> TWh 201</w:t>
      </w:r>
      <w:r w:rsidR="004072FB" w:rsidRPr="004072FB">
        <w:t>9</w:t>
      </w:r>
      <w:r w:rsidRPr="004072FB">
        <w:t>. Från 201</w:t>
      </w:r>
      <w:r w:rsidR="004072FB" w:rsidRPr="004072FB">
        <w:t>9</w:t>
      </w:r>
      <w:r w:rsidRPr="004072FB">
        <w:t xml:space="preserve"> till 202</w:t>
      </w:r>
      <w:r w:rsidR="004072FB" w:rsidRPr="004072FB">
        <w:t>2</w:t>
      </w:r>
      <w:r w:rsidRPr="004072FB">
        <w:t xml:space="preserve"> prognostiseras en minskning till 5</w:t>
      </w:r>
      <w:r w:rsidR="007008DB">
        <w:t>2</w:t>
      </w:r>
      <w:r w:rsidR="00F51256">
        <w:t>6</w:t>
      </w:r>
      <w:r w:rsidRPr="004072FB">
        <w:t xml:space="preserve"> TWh. </w:t>
      </w:r>
      <w:r w:rsidR="00124DD6">
        <w:t xml:space="preserve">En anledning till minskningen är nedläggningen av två kärnkraftsreaktorer. </w:t>
      </w:r>
      <w:r w:rsidR="00124DD6" w:rsidRPr="00E36D4A">
        <w:t>Trende</w:t>
      </w:r>
      <w:r w:rsidR="00124DD6">
        <w:t xml:space="preserve">n för den totala </w:t>
      </w:r>
      <w:proofErr w:type="spellStart"/>
      <w:r w:rsidR="00124DD6">
        <w:t>energianvändnigen</w:t>
      </w:r>
      <w:proofErr w:type="spellEnd"/>
      <w:r w:rsidR="00124DD6" w:rsidRPr="00E36D4A">
        <w:t xml:space="preserve"> är ungefär de</w:t>
      </w:r>
      <w:r w:rsidR="00124DD6">
        <w:t>n</w:t>
      </w:r>
      <w:r w:rsidR="00124DD6" w:rsidRPr="00E36D4A">
        <w:t>samma</w:t>
      </w:r>
      <w:r w:rsidR="00124DD6">
        <w:t xml:space="preserve"> som förra prognosen</w:t>
      </w:r>
      <w:r w:rsidR="00124DD6" w:rsidRPr="00E36D4A">
        <w:t xml:space="preserve">, även om det sker en </w:t>
      </w:r>
      <w:r w:rsidR="00124DD6">
        <w:t xml:space="preserve">något </w:t>
      </w:r>
      <w:r w:rsidR="00124DD6" w:rsidRPr="00E36D4A">
        <w:t>större minskning mellan 2018 och 20</w:t>
      </w:r>
      <w:r w:rsidR="00124DD6">
        <w:t>21</w:t>
      </w:r>
      <w:r w:rsidR="00124DD6" w:rsidRPr="00E36D4A">
        <w:t xml:space="preserve"> i vinterns prognos jämfört med sommarens.</w:t>
      </w:r>
    </w:p>
    <w:p w14:paraId="1D59F325" w14:textId="714D1A43" w:rsidR="003B1419" w:rsidRPr="000369F2" w:rsidRDefault="003B1419" w:rsidP="000369F2">
      <w:pPr>
        <w:pStyle w:val="Rubrik2"/>
      </w:pPr>
      <w:r w:rsidRPr="000369F2">
        <w:rPr>
          <w:rStyle w:val="Rubrik2Char"/>
          <w:b/>
        </w:rPr>
        <w:t>El och fjärrvärme</w:t>
      </w:r>
    </w:p>
    <w:p w14:paraId="1084C429" w14:textId="77777777" w:rsidR="00390F3E" w:rsidRPr="008863C6" w:rsidRDefault="00390F3E" w:rsidP="00390F3E">
      <w:pPr>
        <w:pStyle w:val="Rubrik3"/>
      </w:pPr>
      <w:r w:rsidRPr="008863C6">
        <w:t>En ökad elproduktion och elanvändning till 2022</w:t>
      </w:r>
    </w:p>
    <w:p w14:paraId="506601CE" w14:textId="27BA2265" w:rsidR="00390F3E" w:rsidRPr="008863C6" w:rsidRDefault="00390F3E" w:rsidP="00390F3E">
      <w:pPr>
        <w:pStyle w:val="Brdtext"/>
      </w:pPr>
      <w:r w:rsidRPr="008863C6">
        <w:t xml:space="preserve">Under prognosperioden ökar elproduktionen från 160 TWh år 2018 till 171 TWh 2022. </w:t>
      </w:r>
      <w:r w:rsidR="009F6D04" w:rsidRPr="008863C6">
        <w:t>I denna prognos är elproduktionen 2019–2021 något lägre än i förra prognosen medan prognosen för 2022 är marginellt högre.</w:t>
      </w:r>
      <w:r w:rsidR="009F6D04">
        <w:t xml:space="preserve"> </w:t>
      </w:r>
      <w:r w:rsidRPr="008863C6">
        <w:t>Elproduktionen 2019 baseras</w:t>
      </w:r>
      <w:r w:rsidR="001D7636" w:rsidRPr="008863C6">
        <w:t xml:space="preserve"> delvis</w:t>
      </w:r>
      <w:r w:rsidRPr="008863C6">
        <w:t xml:space="preserve"> på preliminär statistik över det faktiska utfallet. Under 2019 var den faktiska kärnkraftsproduktionen högre än vad som är normalt, medan vattenkraftsproduktionen var lägre än normalt. För resterade år (2020–2022) prognostiseras vattenkraften bli 6</w:t>
      </w:r>
      <w:r w:rsidR="007C3DAB">
        <w:t>7</w:t>
      </w:r>
      <w:r w:rsidRPr="008863C6">
        <w:t xml:space="preserve"> TWh per år vilket motsvarar genomsnittsproduktionen för de senaste 20 åren (2000–2019). </w:t>
      </w:r>
    </w:p>
    <w:p w14:paraId="74601C6A" w14:textId="4242EF6F" w:rsidR="00390F3E" w:rsidRPr="008863C6" w:rsidRDefault="00390F3E" w:rsidP="00390F3E">
      <w:pPr>
        <w:pStyle w:val="Brdtext"/>
      </w:pPr>
      <w:r w:rsidRPr="008863C6">
        <w:t xml:space="preserve">2019 var ett normalblåsigt år (vindindex=102) och vindkraftsproduktionen uppgick till </w:t>
      </w:r>
      <w:r w:rsidR="00E615D4">
        <w:t>nästan 20</w:t>
      </w:r>
      <w:r w:rsidRPr="008863C6">
        <w:t xml:space="preserve"> TWh enligt den preliminära månadsstatistiken</w:t>
      </w:r>
      <w:r w:rsidRPr="008863C6">
        <w:rPr>
          <w:rStyle w:val="Fotnotsreferens"/>
        </w:rPr>
        <w:footnoteReference w:id="4"/>
      </w:r>
      <w:r w:rsidRPr="008863C6">
        <w:t xml:space="preserve">. Enligt Svensk </w:t>
      </w:r>
      <w:r w:rsidR="008863C6">
        <w:t>V</w:t>
      </w:r>
      <w:r w:rsidRPr="008863C6">
        <w:t>indenergis statistik installerades nästan 1600 MW vindkraft</w:t>
      </w:r>
      <w:r w:rsidR="00D239CE">
        <w:t>sverk</w:t>
      </w:r>
      <w:r w:rsidRPr="008863C6">
        <w:t xml:space="preserve"> under 2019 varav merparten, c</w:t>
      </w:r>
      <w:r w:rsidR="00D239CE">
        <w:t>irk</w:t>
      </w:r>
      <w:r w:rsidRPr="008863C6">
        <w:t>a 1300 MW</w:t>
      </w:r>
      <w:r w:rsidR="00D239CE">
        <w:t xml:space="preserve"> installerades</w:t>
      </w:r>
      <w:r w:rsidRPr="008863C6">
        <w:t xml:space="preserve"> under kvartal tre och fyra. Detta baktunga investeringsmönster förklarar i hög grad varför elproduktionen </w:t>
      </w:r>
      <w:r w:rsidR="009B0C07">
        <w:t xml:space="preserve">från vindkraft </w:t>
      </w:r>
      <w:r w:rsidRPr="008863C6">
        <w:t>år 2019 är lägre än vad som antogs i förra prognosen.</w:t>
      </w:r>
      <w:r w:rsidR="009F6D04">
        <w:t xml:space="preserve"> </w:t>
      </w:r>
      <w:r w:rsidR="009F6D04" w:rsidRPr="008863C6">
        <w:t xml:space="preserve">För åren 2020–2022 ligger </w:t>
      </w:r>
      <w:r w:rsidR="009F6D04">
        <w:t xml:space="preserve">vindkraft </w:t>
      </w:r>
      <w:r w:rsidR="009F6D04" w:rsidRPr="008863C6">
        <w:t>prognosen i linje med den tidigare prognosen</w:t>
      </w:r>
      <w:r w:rsidR="009F6D04">
        <w:t>,</w:t>
      </w:r>
      <w:r w:rsidR="009F6D04" w:rsidRPr="008863C6">
        <w:t xml:space="preserve"> förutom för det sista året där vindkraftsproduktionen bedöms uppgå till 38 TWh vilket är 1 TWh högre än i föregående prognos.</w:t>
      </w:r>
    </w:p>
    <w:p w14:paraId="6DACDF18" w14:textId="21913AD5" w:rsidR="009F6D04" w:rsidRPr="008863C6" w:rsidRDefault="00390F3E" w:rsidP="00390F3E">
      <w:pPr>
        <w:pStyle w:val="Brdtext"/>
      </w:pPr>
      <w:bookmarkStart w:id="1" w:name="_Hlk507502564"/>
      <w:r w:rsidRPr="008863C6">
        <w:t>Elproduktionen från kärnkraft är högre 2019 jämfört med förra prognosen. Detta beror på att den faktiska tillgängligheten, och därmed produktionen, har varit högre än normalt under året. För 2020–2022 väntas elproduktionen ligga på samma nivå som</w:t>
      </w:r>
      <w:r w:rsidR="009E6C51">
        <w:t xml:space="preserve"> i</w:t>
      </w:r>
      <w:r w:rsidRPr="008863C6">
        <w:t xml:space="preserve"> tidigare prognos</w:t>
      </w:r>
      <w:r w:rsidR="009E6C51">
        <w:t>.</w:t>
      </w:r>
      <w:r w:rsidRPr="008863C6">
        <w:t xml:space="preserve"> </w:t>
      </w:r>
    </w:p>
    <w:p w14:paraId="4F68023A" w14:textId="30E21460" w:rsidR="00390F3E" w:rsidRPr="008863C6" w:rsidRDefault="00390F3E" w:rsidP="009F6D04">
      <w:pPr>
        <w:spacing w:after="160" w:line="280" w:lineRule="atLeast"/>
      </w:pPr>
      <w:r w:rsidRPr="008863C6">
        <w:t xml:space="preserve">Solkraften producerade </w:t>
      </w:r>
      <w:r w:rsidR="00302A5A">
        <w:t>knappt</w:t>
      </w:r>
      <w:r w:rsidR="00302A5A" w:rsidRPr="008863C6">
        <w:t xml:space="preserve"> </w:t>
      </w:r>
      <w:r w:rsidR="00302A5A">
        <w:t>400</w:t>
      </w:r>
      <w:r w:rsidR="00302A5A" w:rsidRPr="008863C6">
        <w:t xml:space="preserve"> </w:t>
      </w:r>
      <w:r w:rsidRPr="008863C6">
        <w:t xml:space="preserve">GWh under 2018. Siffran baseras på Energimyndighetens statistik över installerade effekten av solcellanläggningar och en antagen genomsnittlig normalårsproduktion. Mellan 2019 och 2022 prognostiseras en ökning i installerad effekt som innebär att produktionen väntas uppgå till 1 700 GWh 2022. Det är en ökning med 400 GWh jämfört </w:t>
      </w:r>
      <w:r w:rsidRPr="008863C6">
        <w:lastRenderedPageBreak/>
        <w:t>med förra prognosen. Ökningen beror på mer tillgänglig</w:t>
      </w:r>
      <w:r w:rsidR="008863C6">
        <w:t>a</w:t>
      </w:r>
      <w:r w:rsidRPr="008863C6">
        <w:t xml:space="preserve"> data, förbättrad</w:t>
      </w:r>
      <w:r w:rsidR="008863C6">
        <w:t>e</w:t>
      </w:r>
      <w:r w:rsidRPr="008863C6">
        <w:t xml:space="preserve"> analysmetoder samt en ännu högre utbyggnad</w:t>
      </w:r>
      <w:r w:rsidR="008863C6">
        <w:t>stakt</w:t>
      </w:r>
      <w:r w:rsidRPr="008863C6">
        <w:t xml:space="preserve"> än förväntat.</w:t>
      </w:r>
    </w:p>
    <w:bookmarkEnd w:id="1"/>
    <w:p w14:paraId="5C356E07" w14:textId="56109C78" w:rsidR="00057573" w:rsidRDefault="00390F3E" w:rsidP="00390F3E">
      <w:pPr>
        <w:pStyle w:val="Brdtext"/>
      </w:pPr>
      <w:r w:rsidRPr="008863C6">
        <w:t xml:space="preserve">Elanvändningen </w:t>
      </w:r>
      <w:r w:rsidR="0036189A">
        <w:t>minskar</w:t>
      </w:r>
      <w:r w:rsidR="0036189A" w:rsidRPr="008863C6">
        <w:t xml:space="preserve"> </w:t>
      </w:r>
      <w:r w:rsidR="0036189A">
        <w:t xml:space="preserve">något fram till </w:t>
      </w:r>
      <w:r w:rsidRPr="008863C6">
        <w:t xml:space="preserve">år 2022 i denna prognos, vilket är en marginell nedjustering av förra prognosen. </w:t>
      </w:r>
      <w:r w:rsidR="00984ABD">
        <w:t>Det är framförallt industrin som minskar sin elanvändning.</w:t>
      </w:r>
    </w:p>
    <w:p w14:paraId="642A534B" w14:textId="6C3468F6" w:rsidR="00390F3E" w:rsidRPr="008863C6" w:rsidRDefault="00390F3E" w:rsidP="00390F3E">
      <w:pPr>
        <w:pStyle w:val="Brdtext"/>
      </w:pPr>
      <w:r w:rsidRPr="008863C6">
        <w:t xml:space="preserve">Samtidigt väntas elproduktionen öka, speciellt inom vindkraft, vilket leder till en ökad nettoexport. Nettoexporten 2019 uppgick till 26 </w:t>
      </w:r>
      <w:r w:rsidR="008863C6" w:rsidRPr="008863C6">
        <w:t>TWh</w:t>
      </w:r>
      <w:r w:rsidRPr="008863C6">
        <w:t xml:space="preserve"> enligt den preliminära elstatistiken vilket kan jämföras med 2018 då den uppgick till 17 TWh. Nettoexporten ökar under det sista p</w:t>
      </w:r>
      <w:r w:rsidR="00405139" w:rsidRPr="008863C6">
        <w:t>r</w:t>
      </w:r>
      <w:r w:rsidRPr="008863C6">
        <w:t xml:space="preserve">ognosåret vilket i huvudsak är drivet av en kraftig ökning av vindkraftsproduktionen samtidigt som </w:t>
      </w:r>
      <w:r w:rsidR="00057573">
        <w:t>efterfrågan minskar något</w:t>
      </w:r>
      <w:r w:rsidRPr="008863C6">
        <w:t xml:space="preserve">. </w:t>
      </w:r>
    </w:p>
    <w:p w14:paraId="46CA577C" w14:textId="77777777" w:rsidR="00390F3E" w:rsidRPr="008863C6" w:rsidRDefault="00390F3E" w:rsidP="00390F3E">
      <w:pPr>
        <w:pStyle w:val="Rubrik3"/>
      </w:pPr>
      <w:r w:rsidRPr="008863C6">
        <w:t>Fjärrvärmebehovet bedöms öka till 2022</w:t>
      </w:r>
    </w:p>
    <w:p w14:paraId="5B8B17D2" w14:textId="290CAE67" w:rsidR="00390F3E" w:rsidRPr="008863C6" w:rsidRDefault="00390F3E" w:rsidP="00390F3E">
      <w:pPr>
        <w:pStyle w:val="Brdtext"/>
        <w:rPr>
          <w:color w:val="FF0000"/>
        </w:rPr>
      </w:pPr>
      <w:r w:rsidRPr="008863C6">
        <w:t>Under prognosperioden bedöms fjärrvärmeanvändningen öka från 61</w:t>
      </w:r>
      <w:r w:rsidR="00592002">
        <w:t xml:space="preserve"> TWh</w:t>
      </w:r>
      <w:r w:rsidRPr="008863C6">
        <w:t xml:space="preserve"> år 2018 till 62 TWh 2022, vilket främst beror på ett ökat värmebehov i bostadssektorn. Fjärrvärmebehovet för 2019 är </w:t>
      </w:r>
      <w:r w:rsidR="007C3DAB">
        <w:t>knappt 2</w:t>
      </w:r>
      <w:r w:rsidRPr="008863C6">
        <w:t xml:space="preserve"> TWh lägre jämfört med vad som angavs i förra prognosen. Detta beror i huvudsak på </w:t>
      </w:r>
      <w:r w:rsidR="009A79DD">
        <w:t>en metodförändring av hur prognoserna tas fram för bostäder och service. Metodförändringen beskriv i kapitel 3.</w:t>
      </w:r>
    </w:p>
    <w:p w14:paraId="021DC316" w14:textId="639BF120" w:rsidR="00390F3E" w:rsidRPr="0077330C" w:rsidRDefault="00390F3E" w:rsidP="00390F3E">
      <w:pPr>
        <w:pStyle w:val="Brdtext"/>
      </w:pPr>
      <w:r w:rsidRPr="008863C6">
        <w:t xml:space="preserve">Produktionen av fjärrvärme sker framförallt med biobränslen och avfall och det är främst dessa bränslen som antas öka för att möta det ökade värmebehovet. </w:t>
      </w:r>
      <w:r w:rsidR="00416EA6">
        <w:t xml:space="preserve">Till denna prognos har vi inte haft möjlighet att göra någon omfattande </w:t>
      </w:r>
      <w:r w:rsidR="0077330C">
        <w:t>bedömning</w:t>
      </w:r>
      <w:r w:rsidR="00416EA6">
        <w:t xml:space="preserve"> av hur </w:t>
      </w:r>
      <w:r w:rsidR="0077330C">
        <w:t xml:space="preserve">den nya </w:t>
      </w:r>
      <w:r w:rsidR="00416EA6">
        <w:t>skatten</w:t>
      </w:r>
      <w:r w:rsidR="0077330C">
        <w:t xml:space="preserve"> på avfall</w:t>
      </w:r>
      <w:r w:rsidR="00416EA6">
        <w:t xml:space="preserve"> påverkar avfallsförbränningen men har i prognosen </w:t>
      </w:r>
      <w:r w:rsidR="00203ED0">
        <w:t>bedömt att</w:t>
      </w:r>
      <w:r w:rsidR="00416EA6">
        <w:t xml:space="preserve"> det inte i någon större utsträckning kommer påverka hur befintliga anläggningar körs. </w:t>
      </w:r>
      <w:r w:rsidRPr="008863C6">
        <w:t>Användningen av fossila bränslen i form av naturgas och kol bedöms minska kraftigt från och med 2020 p</w:t>
      </w:r>
      <w:r w:rsidR="009F6D04">
        <w:t>å grund av</w:t>
      </w:r>
      <w:r w:rsidRPr="008863C6">
        <w:t xml:space="preserve"> höjningarna av energi- och koldioxidskatterna som skedde under 2019</w:t>
      </w:r>
      <w:r w:rsidR="00580121">
        <w:t>.</w:t>
      </w:r>
      <w:r w:rsidRPr="008863C6">
        <w:t xml:space="preserve"> </w:t>
      </w:r>
    </w:p>
    <w:p w14:paraId="4490A497" w14:textId="77777777" w:rsidR="003B1419" w:rsidRPr="008863C6" w:rsidRDefault="003B1419" w:rsidP="003B1419">
      <w:pPr>
        <w:pStyle w:val="Rubrik2"/>
      </w:pPr>
      <w:r w:rsidRPr="008863C6">
        <w:t xml:space="preserve">Bostäder och service </w:t>
      </w:r>
      <w:proofErr w:type="gramStart"/>
      <w:r w:rsidRPr="008863C6">
        <w:t>m.m.</w:t>
      </w:r>
      <w:proofErr w:type="gramEnd"/>
    </w:p>
    <w:p w14:paraId="7C0717AF" w14:textId="1AFDA8FB" w:rsidR="003B1419" w:rsidRPr="008863C6" w:rsidRDefault="003B1419" w:rsidP="003B1419">
      <w:pPr>
        <w:pStyle w:val="Brdtext"/>
      </w:pPr>
      <w:r w:rsidRPr="008863C6">
        <w:t xml:space="preserve">Under prognosperioden </w:t>
      </w:r>
      <w:r w:rsidR="00950DE2" w:rsidRPr="008863C6">
        <w:t>bedöms</w:t>
      </w:r>
      <w:r w:rsidRPr="008863C6">
        <w:t xml:space="preserve"> energianvändningen </w:t>
      </w:r>
      <w:r w:rsidR="007103C1">
        <w:t>minska</w:t>
      </w:r>
      <w:r w:rsidR="009D100B" w:rsidRPr="008863C6">
        <w:t xml:space="preserve"> </w:t>
      </w:r>
      <w:r w:rsidR="007103C1">
        <w:t>med 0,5</w:t>
      </w:r>
      <w:r w:rsidR="00904457" w:rsidRPr="008863C6">
        <w:t xml:space="preserve"> TWh och hamna på drygt </w:t>
      </w:r>
      <w:r w:rsidR="007103C1" w:rsidRPr="008863C6">
        <w:t>14</w:t>
      </w:r>
      <w:r w:rsidR="007103C1">
        <w:t xml:space="preserve">6 </w:t>
      </w:r>
      <w:r w:rsidRPr="008863C6">
        <w:t xml:space="preserve">TWh </w:t>
      </w:r>
      <w:r w:rsidR="00904457" w:rsidRPr="008863C6">
        <w:t>år 2022</w:t>
      </w:r>
      <w:r w:rsidRPr="008863C6">
        <w:t>.</w:t>
      </w:r>
      <w:r w:rsidR="00950DE2" w:rsidRPr="008863C6">
        <w:t xml:space="preserve"> Både el</w:t>
      </w:r>
      <w:r w:rsidR="00D57EFF">
        <w:t>-</w:t>
      </w:r>
      <w:r w:rsidR="00950DE2" w:rsidRPr="008863C6">
        <w:t xml:space="preserve"> och fjärrvärmeanvändningen ökar något </w:t>
      </w:r>
      <w:r w:rsidR="004B2678" w:rsidRPr="008863C6">
        <w:t>(0,3 TWh respektive 0,</w:t>
      </w:r>
      <w:r w:rsidR="007103C1">
        <w:t>9</w:t>
      </w:r>
      <w:r w:rsidR="007103C1" w:rsidRPr="008863C6">
        <w:t xml:space="preserve"> </w:t>
      </w:r>
      <w:r w:rsidR="004B2678" w:rsidRPr="008863C6">
        <w:t xml:space="preserve">TWh) </w:t>
      </w:r>
      <w:r w:rsidR="00950DE2" w:rsidRPr="008863C6">
        <w:t>medan eldningsoljor och fasta biobränslen minskar under perioden. En trend som finns inom sektorn är att fler väljer el (värmepump) och fjärrvärme som uppvärmning</w:t>
      </w:r>
      <w:r w:rsidR="009D100B" w:rsidRPr="008863C6">
        <w:t>s</w:t>
      </w:r>
      <w:r w:rsidR="00950DE2" w:rsidRPr="008863C6">
        <w:t>sätt</w:t>
      </w:r>
      <w:r w:rsidR="004B2678" w:rsidRPr="008863C6">
        <w:t xml:space="preserve"> i </w:t>
      </w:r>
      <w:r w:rsidR="00FE0EE8">
        <w:t xml:space="preserve">befintliga </w:t>
      </w:r>
      <w:r w:rsidR="004B2678" w:rsidRPr="008863C6">
        <w:t>byggnader. Långsiktigt innebär det att olja men även biobränsle</w:t>
      </w:r>
      <w:r w:rsidR="00FE0EE8">
        <w:rPr>
          <w:rStyle w:val="Fotnotsreferens"/>
        </w:rPr>
        <w:footnoteReference w:id="5"/>
      </w:r>
      <w:r w:rsidR="004B2678" w:rsidRPr="008863C6">
        <w:t xml:space="preserve"> minskar i sektorn.</w:t>
      </w:r>
      <w:r w:rsidR="00950DE2" w:rsidRPr="008863C6">
        <w:t xml:space="preserve"> </w:t>
      </w:r>
      <w:r w:rsidR="00FE0EE8">
        <w:t>För nybyggnation är det främst el (värmepump) och fjärrvärme som utgör alternativen för att värm</w:t>
      </w:r>
      <w:r w:rsidR="006537B2">
        <w:t>a</w:t>
      </w:r>
      <w:r w:rsidR="00FE0EE8">
        <w:t xml:space="preserve"> upp byggnaden</w:t>
      </w:r>
      <w:r w:rsidR="006537B2">
        <w:t>, d</w:t>
      </w:r>
      <w:r w:rsidR="00FE0EE8">
        <w:t>är värmepumpar främst installeras i småhus och fjärrvärme i flerbostadshus och lokaler.</w:t>
      </w:r>
      <w:r w:rsidR="00950DE2" w:rsidRPr="008863C6">
        <w:t xml:space="preserve"> </w:t>
      </w:r>
      <w:r w:rsidR="004B2678" w:rsidRPr="008863C6">
        <w:t xml:space="preserve">Uppvärmning står för nästan 60 procent av energianvändningen i sektorn. Mängden biodrivmedel ökar något i sektorn och då främst på grund av högre krav på inblandning i diesel och </w:t>
      </w:r>
      <w:r w:rsidR="004B2678" w:rsidRPr="008863C6">
        <w:lastRenderedPageBreak/>
        <w:t>bensin</w:t>
      </w:r>
      <w:r w:rsidR="00E01158" w:rsidRPr="008863C6">
        <w:t xml:space="preserve"> som används till arbetsmaskiner i jordb</w:t>
      </w:r>
      <w:r w:rsidR="009D100B" w:rsidRPr="008863C6">
        <w:t>r</w:t>
      </w:r>
      <w:r w:rsidR="00E01158" w:rsidRPr="008863C6">
        <w:t>uk, skogsbruk</w:t>
      </w:r>
      <w:r w:rsidR="006537B2">
        <w:t>,</w:t>
      </w:r>
      <w:r w:rsidR="00E01158" w:rsidRPr="008863C6">
        <w:t xml:space="preserve"> fiske och bygg</w:t>
      </w:r>
      <w:r w:rsidR="004B2678" w:rsidRPr="008863C6">
        <w:t>.</w:t>
      </w:r>
      <w:r w:rsidR="009D100B" w:rsidRPr="008863C6">
        <w:t xml:space="preserve"> </w:t>
      </w:r>
    </w:p>
    <w:p w14:paraId="464CED26" w14:textId="24D88202" w:rsidR="003B1419" w:rsidRPr="008863C6" w:rsidRDefault="003B1419" w:rsidP="003B1419">
      <w:pPr>
        <w:pStyle w:val="Brdtext"/>
      </w:pPr>
      <w:r w:rsidRPr="008863C6">
        <w:t xml:space="preserve">Jämfört med förra prognosen </w:t>
      </w:r>
      <w:r w:rsidR="004B2678" w:rsidRPr="008863C6">
        <w:t xml:space="preserve">så ligger den totala energianvändningen för prognosåren </w:t>
      </w:r>
      <w:r w:rsidR="000E5E27" w:rsidRPr="008863C6">
        <w:t xml:space="preserve">på </w:t>
      </w:r>
      <w:r w:rsidR="004B2678" w:rsidRPr="008863C6">
        <w:t>ungefär samma nivå</w:t>
      </w:r>
      <w:r w:rsidRPr="008863C6">
        <w:t>.</w:t>
      </w:r>
      <w:r w:rsidR="004B2678" w:rsidRPr="008863C6">
        <w:t xml:space="preserve"> Däremot har det blivit ganska stora förändringar för vissa energislag</w:t>
      </w:r>
      <w:r w:rsidR="00904457" w:rsidRPr="008863C6">
        <w:t xml:space="preserve"> på grund av byte av statistikkälla.</w:t>
      </w:r>
      <w:r w:rsidR="004B2678" w:rsidRPr="008863C6">
        <w:t xml:space="preserve"> Detta beskriv mer i kapitel 3.</w:t>
      </w:r>
      <w:r w:rsidRPr="008863C6">
        <w:t xml:space="preserve"> </w:t>
      </w:r>
    </w:p>
    <w:p w14:paraId="1032B415" w14:textId="77777777" w:rsidR="003B1419" w:rsidRPr="008863C6" w:rsidRDefault="003B1419" w:rsidP="003B1419">
      <w:pPr>
        <w:pStyle w:val="Rubrik2"/>
      </w:pPr>
      <w:bookmarkStart w:id="2" w:name="_Hlk1461066"/>
      <w:r w:rsidRPr="008863C6">
        <w:t>Industrisektorn</w:t>
      </w:r>
    </w:p>
    <w:p w14:paraId="043344FA" w14:textId="3A612837" w:rsidR="003B1419" w:rsidRPr="008863C6" w:rsidRDefault="003B1419" w:rsidP="003B1419">
      <w:pPr>
        <w:pStyle w:val="Brdtext"/>
      </w:pPr>
      <w:r w:rsidRPr="008863C6">
        <w:t>Industrisektorns energianvändning bedöms minska från 1</w:t>
      </w:r>
      <w:r w:rsidR="002063F4" w:rsidRPr="008863C6">
        <w:t>42</w:t>
      </w:r>
      <w:r w:rsidRPr="008863C6">
        <w:t xml:space="preserve"> TWh 2018 till 1</w:t>
      </w:r>
      <w:r w:rsidR="002063F4" w:rsidRPr="008863C6">
        <w:t>41</w:t>
      </w:r>
      <w:r w:rsidRPr="008863C6">
        <w:t xml:space="preserve"> TWh 201</w:t>
      </w:r>
      <w:r w:rsidR="002063F4" w:rsidRPr="008863C6">
        <w:t>9</w:t>
      </w:r>
      <w:r w:rsidRPr="008863C6">
        <w:t>. Det är främst en lägre elanvändning som står för minskningen.</w:t>
      </w:r>
      <w:r w:rsidR="00D04FFE">
        <w:t xml:space="preserve"> Elanvändningen inom industrin har visat på en sjunkande trend de senaste åren, vilket avspeglar sig i prognosen.</w:t>
      </w:r>
      <w:r w:rsidRPr="008863C6">
        <w:t xml:space="preserve"> Från 201</w:t>
      </w:r>
      <w:r w:rsidR="002063F4" w:rsidRPr="008863C6">
        <w:t>9</w:t>
      </w:r>
      <w:r w:rsidRPr="008863C6">
        <w:t xml:space="preserve"> och framåt ökar </w:t>
      </w:r>
      <w:r w:rsidR="009D100B" w:rsidRPr="008863C6">
        <w:t>energianvändningen till</w:t>
      </w:r>
      <w:r w:rsidR="002063F4" w:rsidRPr="008863C6">
        <w:t xml:space="preserve"> samma nivå som 2018</w:t>
      </w:r>
      <w:r w:rsidRPr="008863C6">
        <w:t xml:space="preserve">. De flesta bränslen är relativt stabila men användningen </w:t>
      </w:r>
      <w:r w:rsidR="002063F4" w:rsidRPr="008863C6">
        <w:t>av biobränsle och naturgas</w:t>
      </w:r>
      <w:r w:rsidRPr="008863C6">
        <w:t xml:space="preserve"> </w:t>
      </w:r>
      <w:r w:rsidR="00AF6593" w:rsidRPr="008863C6">
        <w:t xml:space="preserve">väntas </w:t>
      </w:r>
      <w:r w:rsidRPr="008863C6">
        <w:t>öka något under perioden. Den totala energianvändningen uppgår till 1</w:t>
      </w:r>
      <w:r w:rsidR="002063F4" w:rsidRPr="008863C6">
        <w:t>41</w:t>
      </w:r>
      <w:r w:rsidRPr="008863C6">
        <w:t xml:space="preserve"> TWh under 2020 och </w:t>
      </w:r>
      <w:r w:rsidR="002063F4" w:rsidRPr="008863C6">
        <w:t>142</w:t>
      </w:r>
      <w:r w:rsidRPr="008863C6">
        <w:t xml:space="preserve"> TWh </w:t>
      </w:r>
      <w:r w:rsidR="002063F4" w:rsidRPr="008863C6">
        <w:t xml:space="preserve">under </w:t>
      </w:r>
      <w:r w:rsidRPr="008863C6">
        <w:t>2021</w:t>
      </w:r>
      <w:r w:rsidR="002063F4" w:rsidRPr="008863C6">
        <w:t xml:space="preserve"> </w:t>
      </w:r>
      <w:r w:rsidRPr="008863C6">
        <w:t>och 202</w:t>
      </w:r>
      <w:r w:rsidR="002063F4" w:rsidRPr="008863C6">
        <w:t>2</w:t>
      </w:r>
      <w:r w:rsidRPr="008863C6">
        <w:t>.</w:t>
      </w:r>
      <w:r w:rsidR="00264FCE">
        <w:t xml:space="preserve"> </w:t>
      </w:r>
      <w:r w:rsidR="00264FCE" w:rsidRPr="008863C6">
        <w:t xml:space="preserve">Jämfört med förra prognosen så är energianvändningen lite högre. Då </w:t>
      </w:r>
      <w:r w:rsidR="002A3A36">
        <w:t>prognostiserades</w:t>
      </w:r>
      <w:r w:rsidR="002A3A36" w:rsidRPr="008863C6">
        <w:t xml:space="preserve"> </w:t>
      </w:r>
      <w:r w:rsidR="00264FCE" w:rsidRPr="008863C6">
        <w:t>energianvändningen till 138 TWh 2022.</w:t>
      </w:r>
      <w:r w:rsidR="00E07578">
        <w:t xml:space="preserve"> Trenderna är relativt oförändrade från förra </w:t>
      </w:r>
      <w:proofErr w:type="spellStart"/>
      <w:r w:rsidR="00E07578">
        <w:t>prognonsen</w:t>
      </w:r>
      <w:proofErr w:type="spellEnd"/>
      <w:r w:rsidR="00E07578">
        <w:t xml:space="preserve"> med ett undantag, eldningsolja 1 som förväntas minska istället för att vara oförändrad. </w:t>
      </w:r>
      <w:r w:rsidR="00264FCE" w:rsidRPr="008863C6">
        <w:t xml:space="preserve">Förklaringen till skillnaden i </w:t>
      </w:r>
      <w:r w:rsidR="002A3A36">
        <w:t>energianvändning</w:t>
      </w:r>
      <w:r w:rsidR="002A3A36" w:rsidRPr="008863C6">
        <w:t xml:space="preserve"> </w:t>
      </w:r>
      <w:r w:rsidR="00264FCE" w:rsidRPr="008863C6">
        <w:t xml:space="preserve">är det metodbyte som </w:t>
      </w:r>
      <w:r w:rsidR="006D1A25">
        <w:t>E</w:t>
      </w:r>
      <w:r w:rsidR="00264FCE" w:rsidRPr="008863C6">
        <w:t>nergimyndigheten gjort för industriprognoserna</w:t>
      </w:r>
      <w:r w:rsidR="00264FCE">
        <w:t xml:space="preserve">, se kapitel 3. </w:t>
      </w:r>
    </w:p>
    <w:bookmarkEnd w:id="2"/>
    <w:p w14:paraId="4F32E498" w14:textId="77777777" w:rsidR="003B1419" w:rsidRPr="008863C6" w:rsidRDefault="003B1419" w:rsidP="003B1419">
      <w:pPr>
        <w:pStyle w:val="Rubrik2"/>
      </w:pPr>
      <w:r w:rsidRPr="008863C6">
        <w:t>Transportsektorn</w:t>
      </w:r>
    </w:p>
    <w:p w14:paraId="16C3A90C" w14:textId="2A893C5F" w:rsidR="002F5E75" w:rsidRPr="008863C6" w:rsidRDefault="002F5E75" w:rsidP="003B1419">
      <w:pPr>
        <w:pStyle w:val="Brdtext"/>
      </w:pPr>
      <w:r w:rsidRPr="008863C6">
        <w:t xml:space="preserve">Under prognosperioden </w:t>
      </w:r>
      <w:r w:rsidR="009D100B" w:rsidRPr="008863C6">
        <w:t>2019–2022</w:t>
      </w:r>
      <w:r w:rsidRPr="008863C6">
        <w:t xml:space="preserve"> sker en ökning av transportsektorns totala energianvändning. Energianvändningen för inrikes transporter ökar marginellt</w:t>
      </w:r>
      <w:r w:rsidR="00907176">
        <w:t xml:space="preserve">. Detta är en konsekvens av ett ökat trafikarbete för vägtransporter som verkar för en ökad energianvändning, en ökning som dock </w:t>
      </w:r>
      <w:r w:rsidR="00953D9F">
        <w:t>motverkas</w:t>
      </w:r>
      <w:r w:rsidR="00907176">
        <w:t xml:space="preserve"> av effektiviseringstakten av fordonsflottan</w:t>
      </w:r>
      <w:r w:rsidRPr="008863C6">
        <w:t>. Energianvändningen för u</w:t>
      </w:r>
      <w:r w:rsidR="00890056" w:rsidRPr="008863C6">
        <w:t>t</w:t>
      </w:r>
      <w:r w:rsidRPr="008863C6">
        <w:t xml:space="preserve">rikes transporter ökar med 3 TWh av vilket utrikes sjöfart står för knappt 2,5 TWh. Transportsektorns totala energianvändning ökar således från knappt 124 TWh under basåret 2018 till 127 TWh 2022. Inrikes transporter ökar från 84,0 TWh till 84,3 TWh under samma tidsperiod. </w:t>
      </w:r>
    </w:p>
    <w:p w14:paraId="7B7D03DD" w14:textId="7E15B7C6" w:rsidR="002F5E75" w:rsidRPr="008863C6" w:rsidRDefault="002F5E75" w:rsidP="003B1419">
      <w:pPr>
        <w:pStyle w:val="Brdtext"/>
      </w:pPr>
      <w:r w:rsidRPr="008863C6">
        <w:t>Mängden biodrivmedel (etanol, biobensin, FAME, HVO och biogas) ökar med 1 TWh från 2018 till 2022</w:t>
      </w:r>
      <w:r w:rsidR="00727680">
        <w:t>,</w:t>
      </w:r>
      <w:r w:rsidRPr="008863C6">
        <w:t xml:space="preserve"> främst </w:t>
      </w:r>
      <w:r w:rsidR="00727680">
        <w:t>på grund</w:t>
      </w:r>
      <w:r w:rsidRPr="008863C6">
        <w:t xml:space="preserve"> av ökade krav inom reduktionsplikten för 2019 respektive 2020 vilket innebär att större mängder biodrivmedel blandas in i bensin och diesel. Det biodrivmedel som</w:t>
      </w:r>
      <w:r w:rsidR="00D60B33">
        <w:t xml:space="preserve"> a</w:t>
      </w:r>
      <w:r w:rsidRPr="008863C6">
        <w:t>nvän</w:t>
      </w:r>
      <w:r w:rsidR="00D60B33">
        <w:t>d</w:t>
      </w:r>
      <w:r w:rsidRPr="008863C6">
        <w:t xml:space="preserve">s mest är </w:t>
      </w:r>
      <w:r w:rsidR="00727680">
        <w:t xml:space="preserve">fortfarande </w:t>
      </w:r>
      <w:r w:rsidRPr="008863C6">
        <w:t>HVO</w:t>
      </w:r>
      <w:r w:rsidR="00D60B33">
        <w:t>,</w:t>
      </w:r>
      <w:r w:rsidRPr="008863C6">
        <w:t xml:space="preserve"> som både blandas in i diesel och används som rent drivmedel</w:t>
      </w:r>
      <w:r w:rsidR="00727680">
        <w:t xml:space="preserve">. HVO </w:t>
      </w:r>
      <w:r w:rsidRPr="008863C6">
        <w:t>står för två tredjedelar av biodrivmedelsanvändningen i transportsektorn. En ökad nybilsförsäljning av laddbara fordon (främst personbilar) genererar en ökad elanvändning till vägtransporter som 2022 väntas uppgå till strax över 0,5 TWh.</w:t>
      </w:r>
    </w:p>
    <w:p w14:paraId="44A76017" w14:textId="2EE79562" w:rsidR="00FD6787" w:rsidRPr="008863C6" w:rsidRDefault="00FD6787" w:rsidP="003B1419">
      <w:pPr>
        <w:pStyle w:val="Brdtext"/>
        <w:rPr>
          <w:color w:val="FF0000"/>
        </w:rPr>
      </w:pPr>
      <w:r w:rsidRPr="008863C6">
        <w:lastRenderedPageBreak/>
        <w:t>Prognosen beaktar styrmedlen reduk</w:t>
      </w:r>
      <w:r w:rsidR="009D100B" w:rsidRPr="008863C6">
        <w:t>t</w:t>
      </w:r>
      <w:r w:rsidRPr="008863C6">
        <w:t>ionsplikt, bonus-malus</w:t>
      </w:r>
      <w:r w:rsidR="00725E8D">
        <w:t>, skattebefrielse för rena</w:t>
      </w:r>
      <w:r w:rsidRPr="008863C6">
        <w:t xml:space="preserve"> och </w:t>
      </w:r>
      <w:r w:rsidR="00725E8D">
        <w:t>höginblandade biodrivmedel</w:t>
      </w:r>
      <w:r w:rsidRPr="008863C6">
        <w:t xml:space="preserve"> och flygskatten. Reduktionsplikten innebär att alla leveranser av bensin och diesel på den svenska marknaden behöver uppnå en viss reduktion av koldioxidutsläpp. Detta sker i praktiken genom inblandning av biodrivmedel i bensin och diesel. Reduktionsplikten har beslutade reduktionsnivåer till och med 2020 och för prognosåren 2021 och 2022 har samma reduktionsnivåer för bensin och diesel som 2020 antagits. De beslutade reduktionsnivåerna för bensin är 2,6 procent 2019 och 4,2 procent 2020, och för diesel 20 procent 2019 samt 21 procent 2021. </w:t>
      </w:r>
      <w:r w:rsidR="000E2965" w:rsidRPr="008863C6">
        <w:t>Prognosen antar att reduktionsplikten uppfylls för alla år. Bonus-malussystemet innebär att fordon med låga- eller nollutsläpp har en lägre försäljningsskatt/fordonsskatt vid köptillfället och fordon med sämre växthusgasprestanda har en högre försäljningsskatt/fordonsskatt vid köptillfället</w:t>
      </w:r>
      <w:r w:rsidR="003F487E" w:rsidRPr="008863C6">
        <w:t>.</w:t>
      </w:r>
      <w:r w:rsidR="00850B8C" w:rsidRPr="008863C6">
        <w:t xml:space="preserve"> </w:t>
      </w:r>
      <w:r w:rsidR="003F487E" w:rsidRPr="008863C6">
        <w:t>I</w:t>
      </w:r>
      <w:r w:rsidR="000E2965" w:rsidRPr="008863C6">
        <w:t xml:space="preserve"> prognosen tas </w:t>
      </w:r>
      <w:r w:rsidR="00727680">
        <w:t xml:space="preserve">hänsyn till </w:t>
      </w:r>
      <w:r w:rsidR="000E2965" w:rsidRPr="008863C6">
        <w:t xml:space="preserve">detta genom nybilsförsäljningen </w:t>
      </w:r>
      <w:r w:rsidR="00727680">
        <w:t>som</w:t>
      </w:r>
      <w:r w:rsidR="00727680" w:rsidRPr="008863C6">
        <w:t xml:space="preserve"> </w:t>
      </w:r>
      <w:r w:rsidR="000E2965" w:rsidRPr="008863C6">
        <w:t xml:space="preserve">Trafikanalys presenterar i sina korttidsprognoser över fordonsflottans utveckling. </w:t>
      </w:r>
      <w:r w:rsidR="00725E8D">
        <w:t>Skattebefrielsen för rena och höginblandade biodrivmedel som finns idag antas fortsätta över prognosåren</w:t>
      </w:r>
      <w:r w:rsidR="00640664">
        <w:t xml:space="preserve"> 2021 och 2022</w:t>
      </w:r>
      <w:r w:rsidR="00725E8D">
        <w:t xml:space="preserve">. </w:t>
      </w:r>
      <w:r w:rsidR="000E2965" w:rsidRPr="008863C6">
        <w:t>Flygskatten innebär en viss minskning av avresand</w:t>
      </w:r>
      <w:r w:rsidR="009D100B" w:rsidRPr="008863C6">
        <w:t>e</w:t>
      </w:r>
      <w:r w:rsidR="000E2965" w:rsidRPr="008863C6">
        <w:t xml:space="preserve"> passagerare där en viss del av resorna väntas flyttas över till andra trafikslag. </w:t>
      </w:r>
      <w:r w:rsidRPr="008863C6">
        <w:t xml:space="preserve"> </w:t>
      </w:r>
    </w:p>
    <w:p w14:paraId="786AB8F5" w14:textId="58BB4F27" w:rsidR="004619A0" w:rsidRPr="008863C6" w:rsidRDefault="00296242" w:rsidP="004619A0">
      <w:pPr>
        <w:pStyle w:val="Rubrik1"/>
      </w:pPr>
      <w:bookmarkStart w:id="3" w:name="_Ref32925115"/>
      <w:r>
        <w:lastRenderedPageBreak/>
        <w:t>Metodf</w:t>
      </w:r>
      <w:r w:rsidR="004619A0" w:rsidRPr="008863C6">
        <w:t>örändringar i denna prognos</w:t>
      </w:r>
      <w:bookmarkEnd w:id="3"/>
    </w:p>
    <w:p w14:paraId="25C9F10A" w14:textId="2D2D9A4B" w:rsidR="005A79FC" w:rsidRDefault="00370E11" w:rsidP="007C3DAB">
      <w:pPr>
        <w:pStyle w:val="Rubrik2"/>
      </w:pPr>
      <w:r w:rsidRPr="006929F4">
        <w:t>Prognos för total energianvändning och energitillförsel</w:t>
      </w:r>
    </w:p>
    <w:p w14:paraId="44CE62A9" w14:textId="77777777" w:rsidR="00124DD6" w:rsidRDefault="003104BB" w:rsidP="006D44C8">
      <w:pPr>
        <w:pStyle w:val="Brdtext"/>
      </w:pPr>
      <w:r w:rsidRPr="004072FB">
        <w:t xml:space="preserve">I kortsiktsprognosen från sommaren 2019 minskade energianvändningen och tillförseln från 605 TWh 2018 </w:t>
      </w:r>
      <w:r>
        <w:t>till</w:t>
      </w:r>
      <w:r w:rsidRPr="004072FB">
        <w:t xml:space="preserve"> 582 TWh </w:t>
      </w:r>
      <w:r w:rsidRPr="00E36D4A">
        <w:t>2022.</w:t>
      </w:r>
      <w:r w:rsidR="000369F2">
        <w:t xml:space="preserve"> </w:t>
      </w:r>
      <w:r w:rsidR="00CB4CCF">
        <w:t xml:space="preserve">Jämfört med nuvarande prognos, med en total nivåutveckling från 556 TWh 2018 till 524 TWh 2022 är detta en </w:t>
      </w:r>
      <w:r w:rsidR="000369F2">
        <w:t>nivåskillnad på c</w:t>
      </w:r>
      <w:r w:rsidR="00CB4CCF">
        <w:t>irka</w:t>
      </w:r>
      <w:r w:rsidR="000369F2">
        <w:t xml:space="preserve"> 50 TWh</w:t>
      </w:r>
      <w:r w:rsidR="00CB4CCF">
        <w:t xml:space="preserve">. Detta </w:t>
      </w:r>
      <w:r w:rsidR="000369F2">
        <w:t>beror</w:t>
      </w:r>
      <w:r w:rsidR="00CB4CCF">
        <w:t xml:space="preserve"> till största del</w:t>
      </w:r>
      <w:r w:rsidR="000369F2">
        <w:t xml:space="preserve"> på skillnader i metodik, varför</w:t>
      </w:r>
      <w:r w:rsidRPr="00E36D4A">
        <w:t xml:space="preserve"> nivåerna inte </w:t>
      </w:r>
      <w:r w:rsidR="000369F2">
        <w:t>är jämförbara</w:t>
      </w:r>
      <w:r w:rsidRPr="00E36D4A">
        <w:t xml:space="preserve">. </w:t>
      </w:r>
    </w:p>
    <w:p w14:paraId="24ADD917" w14:textId="751E8541" w:rsidR="006D44C8" w:rsidRDefault="006D44C8" w:rsidP="006D44C8">
      <w:pPr>
        <w:pStyle w:val="Brdtext"/>
      </w:pPr>
      <w:r>
        <w:t xml:space="preserve">Den viktigaste förändringen som gjorts är att bränslen för utrikes transporter inte längre ingår i total </w:t>
      </w:r>
      <w:proofErr w:type="spellStart"/>
      <w:r>
        <w:t>energianväning</w:t>
      </w:r>
      <w:proofErr w:type="spellEnd"/>
      <w:r>
        <w:t xml:space="preserve"> och -tillförsel vilket gör att totalen minskar ca 40 TWh. Det görs fortfarande en prognos över utrikes transporter som redovisas inom transportsektorn.</w:t>
      </w:r>
      <w:r w:rsidR="00CB4CCF">
        <w:t xml:space="preserve"> Resterande skillnad beror på nivåskillnader för flera olika poster</w:t>
      </w:r>
      <w:r w:rsidR="00603FE7">
        <w:t xml:space="preserve"> som beror på byte av statistikkälla för basåret</w:t>
      </w:r>
      <w:r w:rsidR="00CB4CCF">
        <w:t xml:space="preserve">.  </w:t>
      </w:r>
    </w:p>
    <w:p w14:paraId="3D1D87C7" w14:textId="6DDDCA85" w:rsidR="009F258E" w:rsidRDefault="009F258E" w:rsidP="009F258E">
      <w:pPr>
        <w:pStyle w:val="Brdtext"/>
      </w:pPr>
      <w:r>
        <w:t>Dessutom har</w:t>
      </w:r>
      <w:r w:rsidDel="00D423B6">
        <w:t xml:space="preserve"> </w:t>
      </w:r>
      <w:r w:rsidR="00D423B6">
        <w:t>solkraft</w:t>
      </w:r>
      <w:r w:rsidDel="003A2D40">
        <w:t xml:space="preserve"> </w:t>
      </w:r>
      <w:r>
        <w:t>tillkommit</w:t>
      </w:r>
      <w:r w:rsidR="006D44C8">
        <w:t xml:space="preserve"> i den totala energibalansen</w:t>
      </w:r>
      <w:r>
        <w:t>, om än</w:t>
      </w:r>
      <w:r w:rsidR="00CB4CCF">
        <w:t xml:space="preserve"> i</w:t>
      </w:r>
      <w:r>
        <w:t xml:space="preserve"> små mängder. Allokering av insatt bränsle till el- och fjärrvärmeproduktion (till olika anläggningar, </w:t>
      </w:r>
      <w:r w:rsidR="00A0782D">
        <w:t>exempelvis</w:t>
      </w:r>
      <w:r>
        <w:t xml:space="preserve"> kraftvärmeverk och kondensverk) kan skilja sig från tidigare prognoser.</w:t>
      </w:r>
      <w:r w:rsidR="00A0782D">
        <w:t xml:space="preserve"> </w:t>
      </w:r>
      <w:r>
        <w:t xml:space="preserve">Egenanvändning i omvandlingssektorn kan </w:t>
      </w:r>
      <w:r w:rsidR="00A0782D">
        <w:t xml:space="preserve">även </w:t>
      </w:r>
      <w:r>
        <w:t>skilja sig</w:t>
      </w:r>
      <w:r w:rsidR="00A0782D">
        <w:t xml:space="preserve"> från tidigare prognos</w:t>
      </w:r>
      <w:r w:rsidR="006D44C8">
        <w:t>. B</w:t>
      </w:r>
      <w:r>
        <w:t>ränslen för icke</w:t>
      </w:r>
      <w:r w:rsidR="00A0782D">
        <w:t>-</w:t>
      </w:r>
      <w:r>
        <w:t>energiändamål är högre i denna prognos än förra</w:t>
      </w:r>
      <w:r w:rsidR="00CB4CCF">
        <w:t xml:space="preserve">, vilket också beror på olika nivåer i de olika statistikkällorna. </w:t>
      </w:r>
    </w:p>
    <w:p w14:paraId="2FFC9E46" w14:textId="77777777" w:rsidR="00081F59" w:rsidRPr="00572696" w:rsidRDefault="00370E11" w:rsidP="00370E11">
      <w:pPr>
        <w:pStyle w:val="Rubrik2"/>
      </w:pPr>
      <w:r w:rsidRPr="00572696">
        <w:t>El och fjärrvärme</w:t>
      </w:r>
    </w:p>
    <w:p w14:paraId="26482208" w14:textId="0ED04A82" w:rsidR="00370E11" w:rsidRDefault="00D423B6" w:rsidP="00572696">
      <w:pPr>
        <w:pStyle w:val="Brdtext"/>
      </w:pPr>
      <w:r>
        <w:t xml:space="preserve">Inga förändringar i metodik mot </w:t>
      </w:r>
      <w:proofErr w:type="spellStart"/>
      <w:r>
        <w:t>föregånde</w:t>
      </w:r>
      <w:proofErr w:type="spellEnd"/>
      <w:r>
        <w:t xml:space="preserve"> prognoser. </w:t>
      </w:r>
    </w:p>
    <w:p w14:paraId="5A59FAB7" w14:textId="3726E946" w:rsidR="00370E11" w:rsidRPr="006929F4" w:rsidRDefault="00370E11" w:rsidP="00370E11">
      <w:pPr>
        <w:pStyle w:val="Rubrik2"/>
      </w:pPr>
      <w:r w:rsidRPr="006929F4">
        <w:t xml:space="preserve">Bostäder och service </w:t>
      </w:r>
      <w:proofErr w:type="gramStart"/>
      <w:r w:rsidRPr="006929F4">
        <w:t>m.m.</w:t>
      </w:r>
      <w:proofErr w:type="gramEnd"/>
    </w:p>
    <w:p w14:paraId="53EDBE4D" w14:textId="70AF517D" w:rsidR="00FA38DA" w:rsidRPr="008863C6" w:rsidRDefault="004B2678" w:rsidP="004B2678">
      <w:pPr>
        <w:pStyle w:val="Brdtext"/>
      </w:pPr>
      <w:r w:rsidRPr="008863C6">
        <w:t xml:space="preserve">Det har skett </w:t>
      </w:r>
      <w:r w:rsidR="009D24D3" w:rsidRPr="008863C6">
        <w:t>två stora förändringar i denna prognos jämfört med den förra prognosen. De</w:t>
      </w:r>
      <w:r w:rsidR="00953D9F">
        <w:t>n</w:t>
      </w:r>
      <w:r w:rsidR="009D24D3" w:rsidRPr="008863C6">
        <w:t xml:space="preserve"> första är att denna prognos utgår ifrån Energimy</w:t>
      </w:r>
      <w:r w:rsidR="009D100B" w:rsidRPr="008863C6">
        <w:t>n</w:t>
      </w:r>
      <w:r w:rsidR="009D24D3" w:rsidRPr="008863C6">
        <w:t xml:space="preserve">dighetens årliga balanser. Tidigare användes kvartalsbalanser som statistisk källa. Det är ganska stor skillnad </w:t>
      </w:r>
      <w:r w:rsidR="00746BBA" w:rsidRPr="008863C6">
        <w:t>mellan de två källorna.</w:t>
      </w:r>
      <w:r w:rsidR="00C251D0" w:rsidRPr="008863C6">
        <w:t xml:space="preserve"> För sektorn bostäder och service är d</w:t>
      </w:r>
      <w:r w:rsidR="00746BBA" w:rsidRPr="008863C6">
        <w:t>en största skillnaden för bensin, diesel och biodrivmedel. I kvartalsbal</w:t>
      </w:r>
      <w:r w:rsidR="00C251D0" w:rsidRPr="008863C6">
        <w:t>ans</w:t>
      </w:r>
      <w:r w:rsidR="00746BBA" w:rsidRPr="008863C6">
        <w:t xml:space="preserve">erna </w:t>
      </w:r>
      <w:r w:rsidR="00FA38DA" w:rsidRPr="008863C6">
        <w:t>hamnar en stor del av diesel och be</w:t>
      </w:r>
      <w:r w:rsidR="009D100B" w:rsidRPr="008863C6">
        <w:t>n</w:t>
      </w:r>
      <w:r w:rsidR="00FA38DA" w:rsidRPr="008863C6">
        <w:t>sinanvändningen som sker i sektorn (via arbetsmaskiner i jordb</w:t>
      </w:r>
      <w:r w:rsidR="009D100B" w:rsidRPr="008863C6">
        <w:t>ru</w:t>
      </w:r>
      <w:r w:rsidR="00FA38DA" w:rsidRPr="008863C6">
        <w:t>k, skogsbruk, fiske och byggsektorn) på transportsektorn. I de årliga bal</w:t>
      </w:r>
      <w:r w:rsidR="00733309" w:rsidRPr="008863C6">
        <w:t>a</w:t>
      </w:r>
      <w:r w:rsidR="00FA38DA" w:rsidRPr="008863C6">
        <w:t>nserna fördelas denna användning ut till sektorn på ett mer korrekt sätt. På samma sätt hamnar alla biodrivmedel i transportsektorn i kvartalsbalanserna</w:t>
      </w:r>
      <w:r w:rsidR="00050112" w:rsidRPr="008863C6">
        <w:t>,</w:t>
      </w:r>
      <w:r w:rsidR="00FA38DA" w:rsidRPr="008863C6">
        <w:t xml:space="preserve"> medan de fördelas ut till bostäder och service </w:t>
      </w:r>
      <w:r w:rsidR="00050112" w:rsidRPr="008863C6">
        <w:t>samt</w:t>
      </w:r>
      <w:r w:rsidR="00FA38DA" w:rsidRPr="008863C6">
        <w:t xml:space="preserve"> industri i de årliga balanserna. </w:t>
      </w:r>
      <w:r w:rsidR="00904457" w:rsidRPr="008863C6">
        <w:t>Det gör att denna prognos skiljer sig ganska mycket åt i nivå för dessa bränslen.</w:t>
      </w:r>
      <w:r w:rsidR="0017012B">
        <w:t xml:space="preserve"> Den totala energianvändningen i sektorn har de senaste åren varit runt fem procent högre i de</w:t>
      </w:r>
      <w:r w:rsidR="0078591F">
        <w:t>n</w:t>
      </w:r>
      <w:r w:rsidR="0017012B">
        <w:t xml:space="preserve"> årliga balansen jämfört med kvartalsbalansen. </w:t>
      </w:r>
    </w:p>
    <w:p w14:paraId="6ACFE50A" w14:textId="2A9F87A6" w:rsidR="004B2678" w:rsidRPr="008863C6" w:rsidRDefault="00FA38DA" w:rsidP="004B2678">
      <w:pPr>
        <w:pStyle w:val="Brdtext"/>
      </w:pPr>
      <w:r w:rsidRPr="008863C6">
        <w:lastRenderedPageBreak/>
        <w:t xml:space="preserve">Den andra förändringen som skett är att Energimyndigheten </w:t>
      </w:r>
      <w:r w:rsidR="00050112" w:rsidRPr="008863C6">
        <w:t>i denna prognos har tagit</w:t>
      </w:r>
      <w:r w:rsidRPr="008863C6">
        <w:t xml:space="preserve"> bort den temperaturkorr</w:t>
      </w:r>
      <w:r w:rsidR="009D100B" w:rsidRPr="008863C6">
        <w:t>i</w:t>
      </w:r>
      <w:r w:rsidRPr="008863C6">
        <w:t>gerade prognosen och ersätter den med prognos</w:t>
      </w:r>
      <w:r w:rsidR="004E7DEF" w:rsidRPr="008863C6">
        <w:t xml:space="preserve">er enbart </w:t>
      </w:r>
      <w:r w:rsidRPr="008863C6">
        <w:t>på den faktiska användningen. Efter</w:t>
      </w:r>
      <w:r w:rsidR="004E7DEF" w:rsidRPr="008863C6">
        <w:t xml:space="preserve"> att </w:t>
      </w:r>
      <w:r w:rsidR="00D90A06" w:rsidRPr="008863C6">
        <w:t xml:space="preserve">Energimyndigheten har jobbat med att </w:t>
      </w:r>
      <w:r w:rsidR="004E7DEF" w:rsidRPr="008863C6">
        <w:t xml:space="preserve">utvärdera prognoserna </w:t>
      </w:r>
      <w:r w:rsidR="00D90A06" w:rsidRPr="008863C6">
        <w:t xml:space="preserve">och ta fram nya prognosmodeller </w:t>
      </w:r>
      <w:r w:rsidR="004E7DEF" w:rsidRPr="008863C6">
        <w:t>är det tydligt att den temp</w:t>
      </w:r>
      <w:r w:rsidR="009D100B" w:rsidRPr="008863C6">
        <w:t>e</w:t>
      </w:r>
      <w:r w:rsidR="004E7DEF" w:rsidRPr="008863C6">
        <w:t>raturkorrigerade</w:t>
      </w:r>
      <w:r w:rsidR="00D90A06" w:rsidRPr="008863C6">
        <w:t xml:space="preserve"> </w:t>
      </w:r>
      <w:proofErr w:type="gramStart"/>
      <w:r w:rsidR="00D90A06" w:rsidRPr="008863C6">
        <w:t>metoden</w:t>
      </w:r>
      <w:r w:rsidR="0033066C">
        <w:t xml:space="preserve"> </w:t>
      </w:r>
      <w:r w:rsidR="00D90A06" w:rsidRPr="008863C6">
        <w:t xml:space="preserve"> ger</w:t>
      </w:r>
      <w:proofErr w:type="gramEnd"/>
      <w:r w:rsidR="00D90A06" w:rsidRPr="008863C6">
        <w:t xml:space="preserve"> relativt dåliga resultat. Att däremot göra tidseri</w:t>
      </w:r>
      <w:r w:rsidR="009D100B" w:rsidRPr="008863C6">
        <w:t>e</w:t>
      </w:r>
      <w:r w:rsidR="00D90A06" w:rsidRPr="008863C6">
        <w:t xml:space="preserve">analys och prognoser baserat på historisk faktisk energianvändning ger </w:t>
      </w:r>
      <w:r w:rsidR="0026254F" w:rsidRPr="008863C6">
        <w:t>bättre</w:t>
      </w:r>
      <w:r w:rsidR="00D90A06" w:rsidRPr="008863C6">
        <w:t xml:space="preserve"> resultat.</w:t>
      </w:r>
      <w:r w:rsidRPr="008863C6">
        <w:t xml:space="preserve"> </w:t>
      </w:r>
      <w:r w:rsidR="0017012B">
        <w:t>Det innebär att energianvändningen hamnar på en lägre nivå. Sammantaget tar dessa två förändringar ut varandra för den totala energianvändningen vilket gör att den hamnar ungefär på samma nivå som förra prognosen, runt 146 TWh</w:t>
      </w:r>
      <w:r w:rsidR="0078591F">
        <w:t xml:space="preserve"> år 2022</w:t>
      </w:r>
      <w:r w:rsidR="0017012B">
        <w:t xml:space="preserve">. </w:t>
      </w:r>
    </w:p>
    <w:p w14:paraId="4B999407" w14:textId="5B25C9FC" w:rsidR="00370E11" w:rsidRPr="006929F4" w:rsidRDefault="00370E11" w:rsidP="00370E11">
      <w:pPr>
        <w:pStyle w:val="Rubrik2"/>
      </w:pPr>
      <w:r w:rsidRPr="006929F4">
        <w:t>Industrisektorn</w:t>
      </w:r>
    </w:p>
    <w:p w14:paraId="7962ABAE" w14:textId="28477E30" w:rsidR="00264FCE" w:rsidRDefault="00264FCE" w:rsidP="00161370">
      <w:pPr>
        <w:pStyle w:val="Brdtext"/>
      </w:pPr>
      <w:r w:rsidRPr="008863C6">
        <w:t xml:space="preserve">Energimyndigheten har under våren 2019 utvärderat och förändrat metodiken för prognoserna av energianvändningen i industrisektorn. De nya prognosmodellerna utgår från de historiska trenderna av industrins energianvändning baserat på den årliga energibalansen. Den nya metoden är enligt utvärderingen minst lika bra eller bättre än den tidigare metoden. </w:t>
      </w:r>
    </w:p>
    <w:p w14:paraId="53C2A6A8" w14:textId="18B9A662" w:rsidR="00161370" w:rsidRPr="008863C6" w:rsidRDefault="00161370" w:rsidP="00161370">
      <w:pPr>
        <w:pStyle w:val="Brdtext"/>
      </w:pPr>
      <w:r w:rsidRPr="008863C6">
        <w:t xml:space="preserve">Det har skett två stora förändringar i denna prognos jämfört med den förra prognosen. Det första är att </w:t>
      </w:r>
      <w:r w:rsidR="00C11221" w:rsidRPr="008863C6">
        <w:t>siffrorna</w:t>
      </w:r>
      <w:r w:rsidR="007D05A7" w:rsidRPr="008863C6">
        <w:t xml:space="preserve"> för basåret 2018</w:t>
      </w:r>
      <w:r w:rsidR="00C11221" w:rsidRPr="008863C6">
        <w:t xml:space="preserve"> i denna prognos</w:t>
      </w:r>
      <w:r w:rsidR="007D05A7" w:rsidRPr="008863C6">
        <w:t xml:space="preserve"> baseras på</w:t>
      </w:r>
      <w:r w:rsidRPr="008863C6">
        <w:t xml:space="preserve"> Energimy</w:t>
      </w:r>
      <w:r w:rsidR="009D100B" w:rsidRPr="008863C6">
        <w:t>n</w:t>
      </w:r>
      <w:r w:rsidRPr="008863C6">
        <w:t>dighetens årliga balanser</w:t>
      </w:r>
      <w:r w:rsidR="007D05A7" w:rsidRPr="008863C6">
        <w:t>. T</w:t>
      </w:r>
      <w:r w:rsidRPr="008863C6">
        <w:t xml:space="preserve">idigare användes kvartalsbalanser som statistisk källa. </w:t>
      </w:r>
      <w:r w:rsidR="007D05A7" w:rsidRPr="008863C6">
        <w:t xml:space="preserve">I denna prognos </w:t>
      </w:r>
      <w:r w:rsidR="00C11221" w:rsidRPr="008863C6">
        <w:t>har</w:t>
      </w:r>
      <w:r w:rsidR="007D05A7" w:rsidRPr="008863C6">
        <w:t xml:space="preserve"> dock</w:t>
      </w:r>
      <w:r w:rsidR="00C11221" w:rsidRPr="008863C6">
        <w:t xml:space="preserve"> trenderna från </w:t>
      </w:r>
      <w:r w:rsidR="00E07578" w:rsidRPr="008863C6">
        <w:t>kvartalsb</w:t>
      </w:r>
      <w:r w:rsidR="00E07578">
        <w:t>alansen</w:t>
      </w:r>
      <w:r w:rsidR="00E07578" w:rsidRPr="008863C6">
        <w:t xml:space="preserve"> </w:t>
      </w:r>
      <w:r w:rsidR="00C11221" w:rsidRPr="008863C6">
        <w:t>använ</w:t>
      </w:r>
      <w:r w:rsidR="007D05A7" w:rsidRPr="008863C6">
        <w:t>t</w:t>
      </w:r>
      <w:r w:rsidR="00C11221" w:rsidRPr="008863C6">
        <w:t xml:space="preserve">s </w:t>
      </w:r>
      <w:r w:rsidR="007D05A7" w:rsidRPr="008863C6">
        <w:t>men</w:t>
      </w:r>
      <w:r w:rsidR="00C11221" w:rsidRPr="008863C6">
        <w:t xml:space="preserve"> applicerats på</w:t>
      </w:r>
      <w:r w:rsidR="007D05A7" w:rsidRPr="008863C6">
        <w:t xml:space="preserve"> nivåerna i den</w:t>
      </w:r>
      <w:r w:rsidR="00C11221" w:rsidRPr="008863C6">
        <w:t xml:space="preserve"> årliga balansen</w:t>
      </w:r>
      <w:r w:rsidR="007D05A7" w:rsidRPr="008863C6">
        <w:t>.</w:t>
      </w:r>
      <w:r w:rsidR="00C11221" w:rsidRPr="008863C6">
        <w:t xml:space="preserve"> </w:t>
      </w:r>
      <w:r w:rsidRPr="008863C6">
        <w:t xml:space="preserve">Det är </w:t>
      </w:r>
      <w:r w:rsidR="00E07578">
        <w:t>relativt</w:t>
      </w:r>
      <w:r w:rsidR="00E07578" w:rsidRPr="008863C6">
        <w:t xml:space="preserve"> </w:t>
      </w:r>
      <w:r w:rsidRPr="008863C6">
        <w:t>stor skillnad mellan de två källorna</w:t>
      </w:r>
      <w:r w:rsidR="007D05A7" w:rsidRPr="008863C6">
        <w:t>. D</w:t>
      </w:r>
      <w:r w:rsidRPr="008863C6">
        <w:t xml:space="preserve">en största skillnaden </w:t>
      </w:r>
      <w:r w:rsidR="00381919" w:rsidRPr="008863C6">
        <w:t xml:space="preserve">med bytet till årliga balanser </w:t>
      </w:r>
      <w:r w:rsidR="00AC6AAC">
        <w:t>är</w:t>
      </w:r>
      <w:r w:rsidR="00AC6AAC" w:rsidRPr="008863C6">
        <w:t xml:space="preserve"> </w:t>
      </w:r>
      <w:r w:rsidR="00381919" w:rsidRPr="008863C6">
        <w:t xml:space="preserve">att fler </w:t>
      </w:r>
      <w:r w:rsidRPr="008863C6">
        <w:t>bränsle</w:t>
      </w:r>
      <w:r w:rsidR="007D05A7" w:rsidRPr="008863C6">
        <w:t>n</w:t>
      </w:r>
      <w:r w:rsidRPr="008863C6">
        <w:t xml:space="preserve"> </w:t>
      </w:r>
      <w:r w:rsidR="007D05A7" w:rsidRPr="008863C6">
        <w:t xml:space="preserve">ingår </w:t>
      </w:r>
      <w:r w:rsidR="009E3ECB" w:rsidRPr="008863C6">
        <w:t xml:space="preserve">i kategorin </w:t>
      </w:r>
      <w:r w:rsidR="009E3ECB" w:rsidRPr="008863C6">
        <w:rPr>
          <w:i/>
          <w:iCs/>
        </w:rPr>
        <w:t>övrigt</w:t>
      </w:r>
      <w:r w:rsidR="007D05A7" w:rsidRPr="008863C6">
        <w:t>, vilket</w:t>
      </w:r>
      <w:r w:rsidR="009E3ECB" w:rsidRPr="008863C6">
        <w:t xml:space="preserve"> gör att total</w:t>
      </w:r>
      <w:r w:rsidR="007D05A7" w:rsidRPr="008863C6">
        <w:t>a energianvändningen för basår och prognosår är högre än i</w:t>
      </w:r>
      <w:r w:rsidR="009E3ECB" w:rsidRPr="008863C6">
        <w:t xml:space="preserve"> de tidigare </w:t>
      </w:r>
      <w:r w:rsidR="00312C9A" w:rsidRPr="008863C6">
        <w:t>prognoserna</w:t>
      </w:r>
      <w:r w:rsidR="009E3ECB" w:rsidRPr="008863C6">
        <w:t xml:space="preserve">. </w:t>
      </w:r>
    </w:p>
    <w:p w14:paraId="716BB3BB" w14:textId="0ABA18DF" w:rsidR="009E3ECB" w:rsidRPr="008863C6" w:rsidRDefault="009E3ECB" w:rsidP="00161370">
      <w:pPr>
        <w:pStyle w:val="Brdtext"/>
      </w:pPr>
      <w:r w:rsidRPr="008863C6">
        <w:t>Den andra förändring</w:t>
      </w:r>
      <w:r w:rsidR="003967F4">
        <w:t>en</w:t>
      </w:r>
      <w:r w:rsidRPr="008863C6">
        <w:t xml:space="preserve"> är att FAME och HVO </w:t>
      </w:r>
      <w:r w:rsidR="00C844B6">
        <w:t xml:space="preserve">nu </w:t>
      </w:r>
      <w:r w:rsidRPr="008863C6">
        <w:t xml:space="preserve">redovisas separat. </w:t>
      </w:r>
      <w:proofErr w:type="spellStart"/>
      <w:r w:rsidR="00CA76BC">
        <w:t>Biodrivmedlena</w:t>
      </w:r>
      <w:proofErr w:type="spellEnd"/>
      <w:r w:rsidR="00CA76BC">
        <w:t xml:space="preserve"> har tidigare visas i transportsektorn men efter utvecklingsarbete inom statistiken kan nu bränslena allokerats till den sektorn som använt dem. Det betyder att </w:t>
      </w:r>
      <w:proofErr w:type="spellStart"/>
      <w:r w:rsidR="00CA76BC">
        <w:t>biobränslerna</w:t>
      </w:r>
      <w:proofErr w:type="spellEnd"/>
      <w:r w:rsidR="00CA76BC">
        <w:t xml:space="preserve"> har flytta</w:t>
      </w:r>
      <w:r w:rsidR="004E2C8C">
        <w:t>ts</w:t>
      </w:r>
      <w:r w:rsidR="00CA76BC">
        <w:t xml:space="preserve"> från transportsektorn till industrisektorn.</w:t>
      </w:r>
      <w:r w:rsidRPr="008863C6">
        <w:t xml:space="preserve"> </w:t>
      </w:r>
      <w:r w:rsidR="00CA76BC">
        <w:t>P</w:t>
      </w:r>
      <w:r w:rsidRPr="008863C6">
        <w:t xml:space="preserve">osten </w:t>
      </w:r>
      <w:r w:rsidRPr="008863C6">
        <w:rPr>
          <w:i/>
          <w:iCs/>
        </w:rPr>
        <w:t>Diesel</w:t>
      </w:r>
      <w:r w:rsidRPr="008863C6">
        <w:t xml:space="preserve"> </w:t>
      </w:r>
      <w:r w:rsidR="00CA76BC">
        <w:t xml:space="preserve">innehåller alltså ingen biodiesel utan </w:t>
      </w:r>
      <w:r w:rsidR="00255913" w:rsidRPr="008863C6">
        <w:t xml:space="preserve">endast </w:t>
      </w:r>
      <w:r w:rsidRPr="008863C6">
        <w:t>fossil diesel</w:t>
      </w:r>
      <w:r w:rsidR="00CA76BC">
        <w:t>.</w:t>
      </w:r>
    </w:p>
    <w:p w14:paraId="6AAA8A96" w14:textId="563544A4" w:rsidR="00370E11" w:rsidRPr="006929F4" w:rsidRDefault="00370E11" w:rsidP="00370E11">
      <w:pPr>
        <w:pStyle w:val="Rubrik2"/>
      </w:pPr>
      <w:r w:rsidRPr="006929F4">
        <w:t>T</w:t>
      </w:r>
      <w:bookmarkStart w:id="4" w:name="_GoBack"/>
      <w:r w:rsidRPr="006929F4">
        <w:t>ransportsektorn</w:t>
      </w:r>
      <w:bookmarkEnd w:id="4"/>
    </w:p>
    <w:p w14:paraId="54971C52" w14:textId="087DD114" w:rsidR="006D1884" w:rsidRPr="008863C6" w:rsidRDefault="006D1884" w:rsidP="006D1884">
      <w:pPr>
        <w:pStyle w:val="Brdtext"/>
      </w:pPr>
      <w:r w:rsidRPr="008863C6">
        <w:t xml:space="preserve">Prognosen för transportsektorn utgår från den officiella energistatistiken från de årliga energibalanserna. </w:t>
      </w:r>
    </w:p>
    <w:p w14:paraId="149A990A" w14:textId="18C7E53D" w:rsidR="003B1419" w:rsidRPr="008863C6" w:rsidRDefault="00662205" w:rsidP="003B1419">
      <w:pPr>
        <w:pStyle w:val="Brdtext"/>
      </w:pPr>
      <w:r w:rsidRPr="008863C6">
        <w:t>Övergången till</w:t>
      </w:r>
      <w:r w:rsidR="00BC40E9" w:rsidRPr="008863C6">
        <w:t xml:space="preserve"> att använda</w:t>
      </w:r>
      <w:r w:rsidRPr="008863C6">
        <w:t xml:space="preserve"> de årliga energibalanserna </w:t>
      </w:r>
      <w:r w:rsidR="00BC40E9" w:rsidRPr="008863C6">
        <w:t xml:space="preserve">istället för de kvartalsvisa energibalanserna </w:t>
      </w:r>
      <w:r w:rsidRPr="008863C6">
        <w:t xml:space="preserve">innebär skillnader för transportsektorn. I de årliga energibalanserna sker en </w:t>
      </w:r>
      <w:r w:rsidR="008863C6" w:rsidRPr="008863C6">
        <w:t>om</w:t>
      </w:r>
      <w:r w:rsidR="008863C6">
        <w:t>-</w:t>
      </w:r>
      <w:r w:rsidR="008863C6" w:rsidRPr="008863C6">
        <w:t>allokering</w:t>
      </w:r>
      <w:r w:rsidRPr="008863C6">
        <w:t xml:space="preserve"> av drivmedel från transportsektorn till arbetsmaskiner i andra sektorer</w:t>
      </w:r>
      <w:r w:rsidR="004E6A06" w:rsidRPr="008863C6">
        <w:t>, vilket</w:t>
      </w:r>
      <w:r w:rsidRPr="008863C6">
        <w:t xml:space="preserve"> bättre beskriver verkligheten.</w:t>
      </w:r>
      <w:r w:rsidR="004E6A06" w:rsidRPr="008863C6">
        <w:t xml:space="preserve"> Där sker även en om</w:t>
      </w:r>
      <w:r w:rsidR="008863C6">
        <w:t>-</w:t>
      </w:r>
      <w:r w:rsidR="004E6A06" w:rsidRPr="008863C6">
        <w:t xml:space="preserve">allokering av biodrivmedel från transportsektorn till arbetsmaskiner i andra sektorer. </w:t>
      </w:r>
      <w:r w:rsidRPr="008863C6">
        <w:t>Detta innebär att</w:t>
      </w:r>
      <w:r w:rsidR="004E6A06" w:rsidRPr="008863C6">
        <w:t xml:space="preserve"> den totala</w:t>
      </w:r>
      <w:r w:rsidRPr="008863C6">
        <w:t xml:space="preserve"> energianvändningen i transportsektorn är lägre i </w:t>
      </w:r>
      <w:r w:rsidR="00BC40E9" w:rsidRPr="008863C6">
        <w:t xml:space="preserve">denna prognos </w:t>
      </w:r>
      <w:r w:rsidR="00BC40E9" w:rsidRPr="008863C6">
        <w:lastRenderedPageBreak/>
        <w:t>jämfört med förra prognosen</w:t>
      </w:r>
      <w:r w:rsidR="00AB2C50">
        <w:t>, förändringen är i storleksordningen 10 TWh för inrikes transporter.</w:t>
      </w:r>
    </w:p>
    <w:sectPr w:rsidR="003B1419" w:rsidRPr="008863C6" w:rsidSect="00735483">
      <w:footerReference w:type="default" r:id="rId11"/>
      <w:type w:val="oddPage"/>
      <w:pgSz w:w="11906" w:h="16838" w:code="9"/>
      <w:pgMar w:top="1701" w:right="2495" w:bottom="1418" w:left="2495"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DFB91" w14:textId="77777777" w:rsidR="009A79DD" w:rsidRDefault="009A79DD">
      <w:r>
        <w:separator/>
      </w:r>
    </w:p>
  </w:endnote>
  <w:endnote w:type="continuationSeparator" w:id="0">
    <w:p w14:paraId="2362CACF" w14:textId="77777777" w:rsidR="009A79DD" w:rsidRDefault="009A79DD">
      <w:r>
        <w:continuationSeparator/>
      </w:r>
    </w:p>
  </w:endnote>
  <w:endnote w:type="continuationNotice" w:id="1">
    <w:p w14:paraId="65EE464D" w14:textId="77777777" w:rsidR="009A79DD" w:rsidRDefault="009A7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DA85" w14:textId="77777777" w:rsidR="009A79DD" w:rsidRPr="00E14738" w:rsidRDefault="009A79DD" w:rsidP="002E7AFA">
    <w:pPr>
      <w:pStyle w:val="Sidfot"/>
      <w:pBdr>
        <w:top w:val="single" w:sz="12" w:space="8" w:color="007741"/>
      </w:pBdr>
      <w:jc w:val="center"/>
    </w:pPr>
    <w:r>
      <w:rPr>
        <w:rStyle w:val="Sidnummer"/>
      </w:rPr>
      <w:fldChar w:fldCharType="begin"/>
    </w:r>
    <w:r>
      <w:rPr>
        <w:rStyle w:val="Sidnummer"/>
      </w:rPr>
      <w:instrText xml:space="preserve"> PAGE </w:instrText>
    </w:r>
    <w:r>
      <w:rPr>
        <w:rStyle w:val="Sidnummer"/>
      </w:rPr>
      <w:fldChar w:fldCharType="separate"/>
    </w:r>
    <w:r>
      <w:rPr>
        <w:rStyle w:val="Sidnummer"/>
        <w:noProof/>
      </w:rPr>
      <w:t>9</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697E4" w14:textId="77777777" w:rsidR="009A79DD" w:rsidRDefault="009A79DD">
      <w:r>
        <w:separator/>
      </w:r>
    </w:p>
  </w:footnote>
  <w:footnote w:type="continuationSeparator" w:id="0">
    <w:p w14:paraId="57BAD1F7" w14:textId="77777777" w:rsidR="009A79DD" w:rsidRDefault="009A79DD">
      <w:r>
        <w:continuationSeparator/>
      </w:r>
    </w:p>
  </w:footnote>
  <w:footnote w:type="continuationNotice" w:id="1">
    <w:p w14:paraId="1EE10209" w14:textId="77777777" w:rsidR="009A79DD" w:rsidRDefault="009A79DD"/>
  </w:footnote>
  <w:footnote w:id="2">
    <w:p w14:paraId="10A8AD01" w14:textId="634A367D" w:rsidR="009A79DD" w:rsidRPr="00F154E1" w:rsidRDefault="009A79DD" w:rsidP="003B1419">
      <w:pPr>
        <w:pStyle w:val="Fotnotstext"/>
      </w:pPr>
      <w:r w:rsidRPr="00F154E1">
        <w:rPr>
          <w:rStyle w:val="Fotnotsreferens"/>
        </w:rPr>
        <w:footnoteRef/>
      </w:r>
      <w:r w:rsidRPr="00F154E1">
        <w:t xml:space="preserve"> http://www.energimyndigheten.se/statistik/prognoser-och-scenarier/</w:t>
      </w:r>
    </w:p>
  </w:footnote>
  <w:footnote w:id="3">
    <w:p w14:paraId="642AFE78" w14:textId="2633ABAF" w:rsidR="009A79DD" w:rsidRDefault="009A79DD">
      <w:pPr>
        <w:pStyle w:val="Fotnotstext"/>
      </w:pPr>
      <w:r>
        <w:rPr>
          <w:rStyle w:val="Fotnotsreferens"/>
        </w:rPr>
        <w:footnoteRef/>
      </w:r>
      <w:r>
        <w:t xml:space="preserve"> </w:t>
      </w:r>
      <w:r w:rsidRPr="00F154E1">
        <w:t>Exempel på arbetsmaskiner är traktorer, skördetröskor, hjullastare, skogsmaskiner och grävmaskiner</w:t>
      </w:r>
    </w:p>
  </w:footnote>
  <w:footnote w:id="4">
    <w:p w14:paraId="315FE50E" w14:textId="77777777" w:rsidR="009A79DD" w:rsidRPr="00DD5C43" w:rsidRDefault="009A79DD" w:rsidP="00390F3E">
      <w:pPr>
        <w:pStyle w:val="Fotnotstext"/>
      </w:pPr>
      <w:r>
        <w:rPr>
          <w:rStyle w:val="Fotnotsreferens"/>
        </w:rPr>
        <w:footnoteRef/>
      </w:r>
      <w:r w:rsidRPr="00DD5C43">
        <w:t xml:space="preserve"> För statisti</w:t>
      </w:r>
      <w:r>
        <w:t>k</w:t>
      </w:r>
      <w:r w:rsidRPr="00DD5C43">
        <w:t xml:space="preserve"> över vindindex, s</w:t>
      </w:r>
      <w:r>
        <w:t>e www.vindstat.com</w:t>
      </w:r>
    </w:p>
  </w:footnote>
  <w:footnote w:id="5">
    <w:p w14:paraId="1B2581F8" w14:textId="166E27E8" w:rsidR="009A79DD" w:rsidRDefault="009A79DD">
      <w:pPr>
        <w:pStyle w:val="Fotnotstext"/>
      </w:pPr>
      <w:r>
        <w:rPr>
          <w:rStyle w:val="Fotnotsreferens"/>
        </w:rPr>
        <w:footnoteRef/>
      </w:r>
      <w:r>
        <w:t xml:space="preserve"> Med biobränsle här avses den pellets, ved, flis och spån som eldas i byggnaden. För de byggnader som har eller väljer fjärrvräme så produceras den fjärrvärmen ofta av biobränsle men den redovisas inte under bostäder och service utan som tillförsel i fjärrvärmen.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85238D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520466"/>
    <w:multiLevelType w:val="multilevel"/>
    <w:tmpl w:val="489A9590"/>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6F4353"/>
    <w:multiLevelType w:val="hybridMultilevel"/>
    <w:tmpl w:val="F47849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F911A92"/>
    <w:multiLevelType w:val="multilevel"/>
    <w:tmpl w:val="87486AA8"/>
    <w:lvl w:ilvl="0">
      <w:start w:val="1"/>
      <w:numFmt w:val="bullet"/>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cs="Times New Roman"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6" w15:restartNumberingAfterBreak="0">
    <w:nsid w:val="40A53471"/>
    <w:multiLevelType w:val="multilevel"/>
    <w:tmpl w:val="B192B0BA"/>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8" w15:restartNumberingAfterBreak="0">
    <w:nsid w:val="5CCA71AA"/>
    <w:multiLevelType w:val="hybridMultilevel"/>
    <w:tmpl w:val="BB2AC3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0" w15:restartNumberingAfterBreak="0">
    <w:nsid w:val="6D9E25F8"/>
    <w:multiLevelType w:val="multilevel"/>
    <w:tmpl w:val="28104FCA"/>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1" w15:restartNumberingAfterBreak="0">
    <w:nsid w:val="724B7805"/>
    <w:multiLevelType w:val="multilevel"/>
    <w:tmpl w:val="5F4692EC"/>
    <w:lvl w:ilvl="0">
      <w:start w:val="1"/>
      <w:numFmt w:val="decimal"/>
      <w:lvlRestart w:val="0"/>
      <w:lvlText w:val="%1"/>
      <w:lvlJc w:val="left"/>
      <w:pPr>
        <w:ind w:left="964" w:hanging="964"/>
      </w:pPr>
    </w:lvl>
    <w:lvl w:ilvl="1">
      <w:start w:val="1"/>
      <w:numFmt w:val="decimal"/>
      <w:lvlText w:val="%1.%2"/>
      <w:lvlJc w:val="left"/>
      <w:pPr>
        <w:ind w:left="964" w:hanging="964"/>
      </w:pPr>
    </w:lvl>
    <w:lvl w:ilvl="2">
      <w:start w:val="1"/>
      <w:numFmt w:val="decimal"/>
      <w:lvlText w:val="%1.%2.%3"/>
      <w:lvlJc w:val="left"/>
      <w:pPr>
        <w:ind w:left="964" w:hanging="96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9185E56"/>
    <w:multiLevelType w:val="multilevel"/>
    <w:tmpl w:val="EF3EC3CE"/>
    <w:lvl w:ilvl="0">
      <w:start w:val="1"/>
      <w:numFmt w:val="decimal"/>
      <w:lvlRestart w:val="0"/>
      <w:pStyle w:val="Rubrik1"/>
      <w:lvlText w:val="%1"/>
      <w:lvlJc w:val="left"/>
      <w:pPr>
        <w:ind w:left="1020" w:hanging="1020"/>
      </w:pPr>
    </w:lvl>
    <w:lvl w:ilvl="1">
      <w:start w:val="1"/>
      <w:numFmt w:val="decimal"/>
      <w:pStyle w:val="Rubrik2"/>
      <w:lvlText w:val="%1.%2"/>
      <w:lvlJc w:val="left"/>
      <w:pPr>
        <w:ind w:left="1020" w:hanging="1020"/>
      </w:pPr>
    </w:lvl>
    <w:lvl w:ilvl="2">
      <w:start w:val="1"/>
      <w:numFmt w:val="decimal"/>
      <w:pStyle w:val="Rubrik3"/>
      <w:lvlText w:val="%1.%2.%3"/>
      <w:lvlJc w:val="left"/>
      <w:pPr>
        <w:ind w:left="1020" w:hanging="102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7"/>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6"/>
  </w:num>
  <w:num w:numId="10">
    <w:abstractNumId w:val="11"/>
  </w:num>
  <w:num w:numId="11">
    <w:abstractNumId w:val="2"/>
  </w:num>
  <w:num w:numId="12">
    <w:abstractNumId w:val="12"/>
  </w:num>
  <w:num w:numId="13">
    <w:abstractNumId w:val="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attachedTemplate r:id="rId1"/>
  <w:trackRevisions/>
  <w:defaultTabStop w:val="1304"/>
  <w:hyphenationZone w:val="425"/>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419"/>
    <w:rsid w:val="00002AA9"/>
    <w:rsid w:val="0000470B"/>
    <w:rsid w:val="00011620"/>
    <w:rsid w:val="00014413"/>
    <w:rsid w:val="00020EC2"/>
    <w:rsid w:val="00030B06"/>
    <w:rsid w:val="00032491"/>
    <w:rsid w:val="00035ADB"/>
    <w:rsid w:val="000369F2"/>
    <w:rsid w:val="00043465"/>
    <w:rsid w:val="00050112"/>
    <w:rsid w:val="000555AF"/>
    <w:rsid w:val="00057573"/>
    <w:rsid w:val="000646DC"/>
    <w:rsid w:val="000702B1"/>
    <w:rsid w:val="00075197"/>
    <w:rsid w:val="00081F59"/>
    <w:rsid w:val="00083051"/>
    <w:rsid w:val="00083B6C"/>
    <w:rsid w:val="000942DC"/>
    <w:rsid w:val="00094C74"/>
    <w:rsid w:val="00096EC6"/>
    <w:rsid w:val="000A27A7"/>
    <w:rsid w:val="000B0BA0"/>
    <w:rsid w:val="000B7B16"/>
    <w:rsid w:val="000C3420"/>
    <w:rsid w:val="000C3BA7"/>
    <w:rsid w:val="000C73F9"/>
    <w:rsid w:val="000E2965"/>
    <w:rsid w:val="000E5E27"/>
    <w:rsid w:val="000E6BBC"/>
    <w:rsid w:val="00106D6D"/>
    <w:rsid w:val="0011139C"/>
    <w:rsid w:val="00117D3B"/>
    <w:rsid w:val="00120803"/>
    <w:rsid w:val="00124DD6"/>
    <w:rsid w:val="001455B5"/>
    <w:rsid w:val="00150AD6"/>
    <w:rsid w:val="00151A8A"/>
    <w:rsid w:val="00151C01"/>
    <w:rsid w:val="00157473"/>
    <w:rsid w:val="00157F07"/>
    <w:rsid w:val="00161370"/>
    <w:rsid w:val="001619B9"/>
    <w:rsid w:val="00161A45"/>
    <w:rsid w:val="00163ECE"/>
    <w:rsid w:val="0016599D"/>
    <w:rsid w:val="001663B7"/>
    <w:rsid w:val="0017012B"/>
    <w:rsid w:val="001768B1"/>
    <w:rsid w:val="00184960"/>
    <w:rsid w:val="00186AF5"/>
    <w:rsid w:val="00186E11"/>
    <w:rsid w:val="0019436D"/>
    <w:rsid w:val="001A48CC"/>
    <w:rsid w:val="001A5299"/>
    <w:rsid w:val="001B01C8"/>
    <w:rsid w:val="001C16EA"/>
    <w:rsid w:val="001C4999"/>
    <w:rsid w:val="001C763F"/>
    <w:rsid w:val="001D2803"/>
    <w:rsid w:val="001D5BEB"/>
    <w:rsid w:val="001D7078"/>
    <w:rsid w:val="001D7636"/>
    <w:rsid w:val="001E1427"/>
    <w:rsid w:val="001F185F"/>
    <w:rsid w:val="001F3F34"/>
    <w:rsid w:val="002023F6"/>
    <w:rsid w:val="00203892"/>
    <w:rsid w:val="00203ED0"/>
    <w:rsid w:val="00204D5C"/>
    <w:rsid w:val="00204ED5"/>
    <w:rsid w:val="002063F4"/>
    <w:rsid w:val="00207BD7"/>
    <w:rsid w:val="00213851"/>
    <w:rsid w:val="00223388"/>
    <w:rsid w:val="00223DE8"/>
    <w:rsid w:val="0022479C"/>
    <w:rsid w:val="002273B6"/>
    <w:rsid w:val="00227C95"/>
    <w:rsid w:val="00230F72"/>
    <w:rsid w:val="002316EE"/>
    <w:rsid w:val="00234499"/>
    <w:rsid w:val="00235827"/>
    <w:rsid w:val="002507E2"/>
    <w:rsid w:val="00255913"/>
    <w:rsid w:val="00260EE0"/>
    <w:rsid w:val="002610A6"/>
    <w:rsid w:val="0026254F"/>
    <w:rsid w:val="0026425A"/>
    <w:rsid w:val="00264FCE"/>
    <w:rsid w:val="00273EE8"/>
    <w:rsid w:val="00275135"/>
    <w:rsid w:val="002900E0"/>
    <w:rsid w:val="00296242"/>
    <w:rsid w:val="002A3A36"/>
    <w:rsid w:val="002A4127"/>
    <w:rsid w:val="002B2EDC"/>
    <w:rsid w:val="002B4F9B"/>
    <w:rsid w:val="002B5720"/>
    <w:rsid w:val="002C214E"/>
    <w:rsid w:val="002C3B60"/>
    <w:rsid w:val="002C433B"/>
    <w:rsid w:val="002D1A57"/>
    <w:rsid w:val="002D244E"/>
    <w:rsid w:val="002E0361"/>
    <w:rsid w:val="002E7AFA"/>
    <w:rsid w:val="002F5E75"/>
    <w:rsid w:val="002F6079"/>
    <w:rsid w:val="00302A5A"/>
    <w:rsid w:val="003104BB"/>
    <w:rsid w:val="00311362"/>
    <w:rsid w:val="00312C9A"/>
    <w:rsid w:val="003226C0"/>
    <w:rsid w:val="00323CD2"/>
    <w:rsid w:val="00324D2D"/>
    <w:rsid w:val="00324E5F"/>
    <w:rsid w:val="003267FB"/>
    <w:rsid w:val="003269E7"/>
    <w:rsid w:val="00327251"/>
    <w:rsid w:val="0033066C"/>
    <w:rsid w:val="0034100B"/>
    <w:rsid w:val="00346895"/>
    <w:rsid w:val="00352665"/>
    <w:rsid w:val="0035489D"/>
    <w:rsid w:val="0035525A"/>
    <w:rsid w:val="0035535E"/>
    <w:rsid w:val="0036165D"/>
    <w:rsid w:val="0036189A"/>
    <w:rsid w:val="00370E11"/>
    <w:rsid w:val="0038061A"/>
    <w:rsid w:val="003814CC"/>
    <w:rsid w:val="00381919"/>
    <w:rsid w:val="00385516"/>
    <w:rsid w:val="0038702B"/>
    <w:rsid w:val="00390F3E"/>
    <w:rsid w:val="003967F4"/>
    <w:rsid w:val="003A2D40"/>
    <w:rsid w:val="003A6BB2"/>
    <w:rsid w:val="003B1419"/>
    <w:rsid w:val="003B20F2"/>
    <w:rsid w:val="003D1180"/>
    <w:rsid w:val="003D5AEC"/>
    <w:rsid w:val="003E5704"/>
    <w:rsid w:val="003F2300"/>
    <w:rsid w:val="003F487E"/>
    <w:rsid w:val="003F4D0A"/>
    <w:rsid w:val="00400FF3"/>
    <w:rsid w:val="00405139"/>
    <w:rsid w:val="004072FB"/>
    <w:rsid w:val="00416EA6"/>
    <w:rsid w:val="0042291C"/>
    <w:rsid w:val="004249B7"/>
    <w:rsid w:val="0042545B"/>
    <w:rsid w:val="0042699C"/>
    <w:rsid w:val="004279EE"/>
    <w:rsid w:val="0043090D"/>
    <w:rsid w:val="004434F5"/>
    <w:rsid w:val="00445F3D"/>
    <w:rsid w:val="00454421"/>
    <w:rsid w:val="00456487"/>
    <w:rsid w:val="00460B7B"/>
    <w:rsid w:val="00460EA4"/>
    <w:rsid w:val="004619A0"/>
    <w:rsid w:val="00471A4C"/>
    <w:rsid w:val="00474544"/>
    <w:rsid w:val="00477EA4"/>
    <w:rsid w:val="00481A2E"/>
    <w:rsid w:val="004A452A"/>
    <w:rsid w:val="004B2678"/>
    <w:rsid w:val="004C466E"/>
    <w:rsid w:val="004D0D98"/>
    <w:rsid w:val="004E2C8C"/>
    <w:rsid w:val="004E5597"/>
    <w:rsid w:val="004E6A06"/>
    <w:rsid w:val="004E7DEF"/>
    <w:rsid w:val="004F6FAB"/>
    <w:rsid w:val="00502E59"/>
    <w:rsid w:val="00514943"/>
    <w:rsid w:val="00526ED0"/>
    <w:rsid w:val="00530128"/>
    <w:rsid w:val="005303F1"/>
    <w:rsid w:val="0053245F"/>
    <w:rsid w:val="00535BDB"/>
    <w:rsid w:val="005423DE"/>
    <w:rsid w:val="00552F9F"/>
    <w:rsid w:val="0055356C"/>
    <w:rsid w:val="00555C2A"/>
    <w:rsid w:val="00561FA0"/>
    <w:rsid w:val="00563BAA"/>
    <w:rsid w:val="005710BC"/>
    <w:rsid w:val="00571138"/>
    <w:rsid w:val="00571278"/>
    <w:rsid w:val="0057251A"/>
    <w:rsid w:val="0057261D"/>
    <w:rsid w:val="00572696"/>
    <w:rsid w:val="00573FA9"/>
    <w:rsid w:val="00576FA2"/>
    <w:rsid w:val="00577F25"/>
    <w:rsid w:val="00580121"/>
    <w:rsid w:val="00582FCD"/>
    <w:rsid w:val="00592002"/>
    <w:rsid w:val="00597403"/>
    <w:rsid w:val="005A2D5D"/>
    <w:rsid w:val="005A79FC"/>
    <w:rsid w:val="005C7EDF"/>
    <w:rsid w:val="005D36CF"/>
    <w:rsid w:val="005E0DB8"/>
    <w:rsid w:val="005E4338"/>
    <w:rsid w:val="005E4C91"/>
    <w:rsid w:val="005E4E8B"/>
    <w:rsid w:val="005F6FC0"/>
    <w:rsid w:val="0060007D"/>
    <w:rsid w:val="00600C6C"/>
    <w:rsid w:val="00602F69"/>
    <w:rsid w:val="00603FE7"/>
    <w:rsid w:val="00613816"/>
    <w:rsid w:val="00616217"/>
    <w:rsid w:val="006200A5"/>
    <w:rsid w:val="006215AC"/>
    <w:rsid w:val="00621A57"/>
    <w:rsid w:val="00627937"/>
    <w:rsid w:val="00634C69"/>
    <w:rsid w:val="00640664"/>
    <w:rsid w:val="00650A94"/>
    <w:rsid w:val="006534C4"/>
    <w:rsid w:val="006537B2"/>
    <w:rsid w:val="006548B9"/>
    <w:rsid w:val="00654A45"/>
    <w:rsid w:val="00662205"/>
    <w:rsid w:val="006657A2"/>
    <w:rsid w:val="00674BF1"/>
    <w:rsid w:val="00680B0B"/>
    <w:rsid w:val="006929F4"/>
    <w:rsid w:val="00694F6F"/>
    <w:rsid w:val="0069565F"/>
    <w:rsid w:val="00695D60"/>
    <w:rsid w:val="006A1044"/>
    <w:rsid w:val="006A3D4B"/>
    <w:rsid w:val="006A4783"/>
    <w:rsid w:val="006A6792"/>
    <w:rsid w:val="006C01FC"/>
    <w:rsid w:val="006C10D6"/>
    <w:rsid w:val="006C2FEA"/>
    <w:rsid w:val="006D14BE"/>
    <w:rsid w:val="006D1884"/>
    <w:rsid w:val="006D1A25"/>
    <w:rsid w:val="006D44C8"/>
    <w:rsid w:val="006D5836"/>
    <w:rsid w:val="006D5EF3"/>
    <w:rsid w:val="006F2489"/>
    <w:rsid w:val="006F38E8"/>
    <w:rsid w:val="006F3D63"/>
    <w:rsid w:val="006F50F4"/>
    <w:rsid w:val="006F6225"/>
    <w:rsid w:val="007008DB"/>
    <w:rsid w:val="00700F53"/>
    <w:rsid w:val="00701EDE"/>
    <w:rsid w:val="007103C1"/>
    <w:rsid w:val="00717945"/>
    <w:rsid w:val="00725E8D"/>
    <w:rsid w:val="00726758"/>
    <w:rsid w:val="00726CB0"/>
    <w:rsid w:val="00727680"/>
    <w:rsid w:val="00733309"/>
    <w:rsid w:val="00735483"/>
    <w:rsid w:val="00746779"/>
    <w:rsid w:val="00746925"/>
    <w:rsid w:val="007469AD"/>
    <w:rsid w:val="00746BBA"/>
    <w:rsid w:val="00750A4A"/>
    <w:rsid w:val="00755F00"/>
    <w:rsid w:val="007563F7"/>
    <w:rsid w:val="00756B06"/>
    <w:rsid w:val="00765740"/>
    <w:rsid w:val="0077330C"/>
    <w:rsid w:val="007763AB"/>
    <w:rsid w:val="007803E2"/>
    <w:rsid w:val="0078591F"/>
    <w:rsid w:val="0079191D"/>
    <w:rsid w:val="007A3536"/>
    <w:rsid w:val="007A49BC"/>
    <w:rsid w:val="007B1DA8"/>
    <w:rsid w:val="007B6E49"/>
    <w:rsid w:val="007C3DAB"/>
    <w:rsid w:val="007C4D41"/>
    <w:rsid w:val="007C6AC9"/>
    <w:rsid w:val="007C6CD1"/>
    <w:rsid w:val="007C7676"/>
    <w:rsid w:val="007D0517"/>
    <w:rsid w:val="007D05A7"/>
    <w:rsid w:val="007D6E57"/>
    <w:rsid w:val="007F3C15"/>
    <w:rsid w:val="00801579"/>
    <w:rsid w:val="008164CD"/>
    <w:rsid w:val="0081763F"/>
    <w:rsid w:val="0082257B"/>
    <w:rsid w:val="0082702D"/>
    <w:rsid w:val="00830D7F"/>
    <w:rsid w:val="00830FB8"/>
    <w:rsid w:val="00842D8C"/>
    <w:rsid w:val="008451C0"/>
    <w:rsid w:val="00850B8C"/>
    <w:rsid w:val="00851690"/>
    <w:rsid w:val="00861880"/>
    <w:rsid w:val="00863CB0"/>
    <w:rsid w:val="00872615"/>
    <w:rsid w:val="00876119"/>
    <w:rsid w:val="00880003"/>
    <w:rsid w:val="008863C6"/>
    <w:rsid w:val="00890056"/>
    <w:rsid w:val="0089280F"/>
    <w:rsid w:val="00893BEB"/>
    <w:rsid w:val="008A66EB"/>
    <w:rsid w:val="008C290C"/>
    <w:rsid w:val="008C313C"/>
    <w:rsid w:val="008C3899"/>
    <w:rsid w:val="008D350D"/>
    <w:rsid w:val="008D3E9C"/>
    <w:rsid w:val="008D6539"/>
    <w:rsid w:val="008E118E"/>
    <w:rsid w:val="008E3DFC"/>
    <w:rsid w:val="008E7125"/>
    <w:rsid w:val="00902720"/>
    <w:rsid w:val="00904275"/>
    <w:rsid w:val="00904457"/>
    <w:rsid w:val="00907176"/>
    <w:rsid w:val="009309FD"/>
    <w:rsid w:val="0094141D"/>
    <w:rsid w:val="00942998"/>
    <w:rsid w:val="00943E94"/>
    <w:rsid w:val="00950DE2"/>
    <w:rsid w:val="00953D9F"/>
    <w:rsid w:val="00955442"/>
    <w:rsid w:val="00973775"/>
    <w:rsid w:val="00984ABD"/>
    <w:rsid w:val="00997FF7"/>
    <w:rsid w:val="009A2EFC"/>
    <w:rsid w:val="009A79DD"/>
    <w:rsid w:val="009B0C07"/>
    <w:rsid w:val="009C1ABB"/>
    <w:rsid w:val="009C3639"/>
    <w:rsid w:val="009C4174"/>
    <w:rsid w:val="009D100B"/>
    <w:rsid w:val="009D24D3"/>
    <w:rsid w:val="009E3ECB"/>
    <w:rsid w:val="009E6C51"/>
    <w:rsid w:val="009F258E"/>
    <w:rsid w:val="009F6D04"/>
    <w:rsid w:val="00A03721"/>
    <w:rsid w:val="00A040F5"/>
    <w:rsid w:val="00A0782D"/>
    <w:rsid w:val="00A131B3"/>
    <w:rsid w:val="00A142B8"/>
    <w:rsid w:val="00A46207"/>
    <w:rsid w:val="00A52041"/>
    <w:rsid w:val="00A52F2D"/>
    <w:rsid w:val="00A577EA"/>
    <w:rsid w:val="00A641A6"/>
    <w:rsid w:val="00A72853"/>
    <w:rsid w:val="00A72F83"/>
    <w:rsid w:val="00A74E3C"/>
    <w:rsid w:val="00A757A6"/>
    <w:rsid w:val="00A77913"/>
    <w:rsid w:val="00A839D5"/>
    <w:rsid w:val="00AA06B9"/>
    <w:rsid w:val="00AB2C50"/>
    <w:rsid w:val="00AC0024"/>
    <w:rsid w:val="00AC031D"/>
    <w:rsid w:val="00AC5A05"/>
    <w:rsid w:val="00AC6AAC"/>
    <w:rsid w:val="00AC6FE1"/>
    <w:rsid w:val="00AD67B7"/>
    <w:rsid w:val="00AE0562"/>
    <w:rsid w:val="00AE1848"/>
    <w:rsid w:val="00AE6D9F"/>
    <w:rsid w:val="00AF6593"/>
    <w:rsid w:val="00B03337"/>
    <w:rsid w:val="00B35476"/>
    <w:rsid w:val="00B41E50"/>
    <w:rsid w:val="00B42009"/>
    <w:rsid w:val="00B47158"/>
    <w:rsid w:val="00B47613"/>
    <w:rsid w:val="00B52233"/>
    <w:rsid w:val="00B5435D"/>
    <w:rsid w:val="00B605B0"/>
    <w:rsid w:val="00B672F6"/>
    <w:rsid w:val="00B74DB6"/>
    <w:rsid w:val="00B76501"/>
    <w:rsid w:val="00B766D6"/>
    <w:rsid w:val="00B959AF"/>
    <w:rsid w:val="00BB199E"/>
    <w:rsid w:val="00BB19A0"/>
    <w:rsid w:val="00BB726E"/>
    <w:rsid w:val="00BB7504"/>
    <w:rsid w:val="00BC40E9"/>
    <w:rsid w:val="00BC665B"/>
    <w:rsid w:val="00BC7730"/>
    <w:rsid w:val="00BF0A4A"/>
    <w:rsid w:val="00BF20D1"/>
    <w:rsid w:val="00BF2276"/>
    <w:rsid w:val="00BF434D"/>
    <w:rsid w:val="00C02A07"/>
    <w:rsid w:val="00C05C56"/>
    <w:rsid w:val="00C06936"/>
    <w:rsid w:val="00C11221"/>
    <w:rsid w:val="00C128C0"/>
    <w:rsid w:val="00C251D0"/>
    <w:rsid w:val="00C3068E"/>
    <w:rsid w:val="00C321D7"/>
    <w:rsid w:val="00C36618"/>
    <w:rsid w:val="00C41CD1"/>
    <w:rsid w:val="00C530B7"/>
    <w:rsid w:val="00C80ABE"/>
    <w:rsid w:val="00C844B6"/>
    <w:rsid w:val="00CA61D6"/>
    <w:rsid w:val="00CA76BC"/>
    <w:rsid w:val="00CB49A3"/>
    <w:rsid w:val="00CB4CCF"/>
    <w:rsid w:val="00CB5950"/>
    <w:rsid w:val="00CD0A9F"/>
    <w:rsid w:val="00CD7CE6"/>
    <w:rsid w:val="00CE5275"/>
    <w:rsid w:val="00CE5F78"/>
    <w:rsid w:val="00D0039B"/>
    <w:rsid w:val="00D04FF4"/>
    <w:rsid w:val="00D04FFE"/>
    <w:rsid w:val="00D0576D"/>
    <w:rsid w:val="00D05F45"/>
    <w:rsid w:val="00D11948"/>
    <w:rsid w:val="00D13E19"/>
    <w:rsid w:val="00D239CE"/>
    <w:rsid w:val="00D32220"/>
    <w:rsid w:val="00D32CC7"/>
    <w:rsid w:val="00D37830"/>
    <w:rsid w:val="00D41F8B"/>
    <w:rsid w:val="00D423B6"/>
    <w:rsid w:val="00D42633"/>
    <w:rsid w:val="00D42FE2"/>
    <w:rsid w:val="00D51EE9"/>
    <w:rsid w:val="00D52D5A"/>
    <w:rsid w:val="00D56B4D"/>
    <w:rsid w:val="00D57EFF"/>
    <w:rsid w:val="00D608F0"/>
    <w:rsid w:val="00D60B33"/>
    <w:rsid w:val="00D61421"/>
    <w:rsid w:val="00D63C99"/>
    <w:rsid w:val="00D73DCA"/>
    <w:rsid w:val="00D80D70"/>
    <w:rsid w:val="00D848A2"/>
    <w:rsid w:val="00D90A06"/>
    <w:rsid w:val="00D9137D"/>
    <w:rsid w:val="00D96248"/>
    <w:rsid w:val="00DA6975"/>
    <w:rsid w:val="00DC51DB"/>
    <w:rsid w:val="00DD3FD3"/>
    <w:rsid w:val="00DD5E8E"/>
    <w:rsid w:val="00DE19CC"/>
    <w:rsid w:val="00DE5121"/>
    <w:rsid w:val="00E01158"/>
    <w:rsid w:val="00E056A1"/>
    <w:rsid w:val="00E07578"/>
    <w:rsid w:val="00E07976"/>
    <w:rsid w:val="00E13199"/>
    <w:rsid w:val="00E14738"/>
    <w:rsid w:val="00E1550C"/>
    <w:rsid w:val="00E16105"/>
    <w:rsid w:val="00E27CE8"/>
    <w:rsid w:val="00E32DAE"/>
    <w:rsid w:val="00E33389"/>
    <w:rsid w:val="00E367CB"/>
    <w:rsid w:val="00E36D4A"/>
    <w:rsid w:val="00E40B3E"/>
    <w:rsid w:val="00E41E70"/>
    <w:rsid w:val="00E45057"/>
    <w:rsid w:val="00E50B00"/>
    <w:rsid w:val="00E615D4"/>
    <w:rsid w:val="00E628E8"/>
    <w:rsid w:val="00E70CE4"/>
    <w:rsid w:val="00E764AB"/>
    <w:rsid w:val="00E7794C"/>
    <w:rsid w:val="00E82838"/>
    <w:rsid w:val="00E96D45"/>
    <w:rsid w:val="00EA3D53"/>
    <w:rsid w:val="00EA5D9B"/>
    <w:rsid w:val="00EA6A45"/>
    <w:rsid w:val="00EC7A55"/>
    <w:rsid w:val="00ED050E"/>
    <w:rsid w:val="00ED555A"/>
    <w:rsid w:val="00EE01A0"/>
    <w:rsid w:val="00EE5385"/>
    <w:rsid w:val="00EE53FC"/>
    <w:rsid w:val="00EE66D5"/>
    <w:rsid w:val="00EF0AC8"/>
    <w:rsid w:val="00F019F8"/>
    <w:rsid w:val="00F154E1"/>
    <w:rsid w:val="00F1678F"/>
    <w:rsid w:val="00F20F2E"/>
    <w:rsid w:val="00F34C52"/>
    <w:rsid w:val="00F3586E"/>
    <w:rsid w:val="00F36073"/>
    <w:rsid w:val="00F408E8"/>
    <w:rsid w:val="00F51256"/>
    <w:rsid w:val="00F544EB"/>
    <w:rsid w:val="00F605D6"/>
    <w:rsid w:val="00F71BE8"/>
    <w:rsid w:val="00F77062"/>
    <w:rsid w:val="00F85C83"/>
    <w:rsid w:val="00FA2A5A"/>
    <w:rsid w:val="00FA38DA"/>
    <w:rsid w:val="00FC3984"/>
    <w:rsid w:val="00FD5005"/>
    <w:rsid w:val="00FD5F7B"/>
    <w:rsid w:val="00FD6787"/>
    <w:rsid w:val="00FE0EE8"/>
    <w:rsid w:val="00FF1E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5B31BF0"/>
  <w15:chartTrackingRefBased/>
  <w15:docId w15:val="{92781212-6236-48AF-B660-63E2B544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qFormat="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7469AD"/>
    <w:pPr>
      <w:spacing w:after="0" w:line="240" w:lineRule="auto"/>
    </w:pPr>
  </w:style>
  <w:style w:type="paragraph" w:styleId="Rubrik1">
    <w:name w:val="heading 1"/>
    <w:basedOn w:val="Normal"/>
    <w:next w:val="Brdtext"/>
    <w:link w:val="Rubrik1Char"/>
    <w:qFormat/>
    <w:rsid w:val="00861880"/>
    <w:pPr>
      <w:keepNext/>
      <w:keepLines/>
      <w:pageBreakBefore/>
      <w:numPr>
        <w:numId w:val="12"/>
      </w:numPr>
      <w:spacing w:before="600" w:after="290"/>
      <w:ind w:left="1021" w:hanging="1021"/>
      <w:outlineLvl w:val="0"/>
    </w:pPr>
    <w:rPr>
      <w:rFonts w:asciiTheme="majorHAnsi" w:eastAsiaTheme="majorEastAsia" w:hAnsiTheme="majorHAnsi" w:cstheme="majorBidi"/>
      <w:color w:val="007741"/>
      <w:spacing w:val="-4"/>
      <w:kern w:val="32"/>
      <w:sz w:val="44"/>
      <w:szCs w:val="32"/>
    </w:rPr>
  </w:style>
  <w:style w:type="paragraph" w:styleId="Rubrik2">
    <w:name w:val="heading 2"/>
    <w:basedOn w:val="Normal"/>
    <w:next w:val="Brdtext"/>
    <w:link w:val="Rubrik2Char"/>
    <w:qFormat/>
    <w:rsid w:val="008C313C"/>
    <w:pPr>
      <w:keepNext/>
      <w:keepLines/>
      <w:numPr>
        <w:ilvl w:val="1"/>
        <w:numId w:val="12"/>
      </w:numPr>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qFormat/>
    <w:rsid w:val="00223DE8"/>
    <w:pPr>
      <w:keepNext/>
      <w:keepLines/>
      <w:numPr>
        <w:ilvl w:val="2"/>
        <w:numId w:val="12"/>
      </w:numPr>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E628E8"/>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223DE8"/>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BB726E"/>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BB726E"/>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BB726E"/>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BB726E"/>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8C313C"/>
    <w:pPr>
      <w:spacing w:after="290" w:line="290" w:lineRule="atLeast"/>
    </w:pPr>
    <w:rPr>
      <w:spacing w:val="5"/>
    </w:rPr>
  </w:style>
  <w:style w:type="character" w:customStyle="1" w:styleId="BrdtextChar">
    <w:name w:val="Brödtext Char"/>
    <w:basedOn w:val="Standardstycketeckensnitt"/>
    <w:link w:val="Brdtext"/>
    <w:rsid w:val="008C313C"/>
    <w:rPr>
      <w:spacing w:val="5"/>
    </w:rPr>
  </w:style>
  <w:style w:type="paragraph" w:styleId="Punktlista">
    <w:name w:val="List Bullet"/>
    <w:basedOn w:val="Brdtext"/>
    <w:qFormat/>
    <w:rsid w:val="00184960"/>
    <w:pPr>
      <w:numPr>
        <w:numId w:val="5"/>
      </w:numPr>
      <w:contextualSpacing/>
    </w:pPr>
    <w:rPr>
      <w:rFonts w:eastAsia="Times New Roman" w:cs="Times New Roman"/>
      <w:szCs w:val="24"/>
      <w:lang w:eastAsia="sv-SE"/>
    </w:rPr>
  </w:style>
  <w:style w:type="paragraph" w:customStyle="1" w:styleId="Nummerlista">
    <w:name w:val="Nummerlista"/>
    <w:basedOn w:val="Brdtext"/>
    <w:qFormat/>
    <w:rsid w:val="00184960"/>
    <w:pPr>
      <w:numPr>
        <w:numId w:val="7"/>
      </w:numPr>
      <w:contextualSpacing/>
    </w:pPr>
    <w:rPr>
      <w:rFonts w:eastAsia="Times New Roman" w:cs="Times New Roman"/>
      <w:szCs w:val="24"/>
      <w:lang w:eastAsia="sv-SE"/>
    </w:rPr>
  </w:style>
  <w:style w:type="character" w:customStyle="1" w:styleId="Rubrik1Char">
    <w:name w:val="Rubrik 1 Char"/>
    <w:basedOn w:val="Standardstycketeckensnitt"/>
    <w:link w:val="Rubrik1"/>
    <w:rsid w:val="00861880"/>
    <w:rPr>
      <w:rFonts w:asciiTheme="majorHAnsi" w:eastAsiaTheme="majorEastAsia" w:hAnsiTheme="majorHAnsi" w:cstheme="majorBidi"/>
      <w:color w:val="007741"/>
      <w:spacing w:val="-4"/>
      <w:kern w:val="32"/>
      <w:sz w:val="44"/>
      <w:szCs w:val="32"/>
    </w:rPr>
  </w:style>
  <w:style w:type="character" w:customStyle="1" w:styleId="Rubrik2Char">
    <w:name w:val="Rubrik 2 Char"/>
    <w:basedOn w:val="Standardstycketeckensnitt"/>
    <w:link w:val="Rubrik2"/>
    <w:uiPriority w:val="9"/>
    <w:rsid w:val="008C313C"/>
    <w:rPr>
      <w:rFonts w:asciiTheme="majorHAnsi" w:eastAsiaTheme="majorEastAsia" w:hAnsiTheme="majorHAnsi" w:cstheme="majorBidi"/>
      <w:b/>
      <w:szCs w:val="26"/>
    </w:rPr>
  </w:style>
  <w:style w:type="character" w:customStyle="1" w:styleId="Rubrik3Char">
    <w:name w:val="Rubrik 3 Char"/>
    <w:basedOn w:val="Standardstycketeckensnitt"/>
    <w:link w:val="Rubrik3"/>
    <w:rsid w:val="00223DE8"/>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E628E8"/>
    <w:rPr>
      <w:rFonts w:asciiTheme="majorHAnsi" w:eastAsiaTheme="majorEastAsia" w:hAnsiTheme="majorHAnsi" w:cstheme="majorBidi"/>
      <w:iCs/>
    </w:rPr>
  </w:style>
  <w:style w:type="paragraph" w:customStyle="1" w:styleId="Tabelltext">
    <w:name w:val="Tabelltext"/>
    <w:basedOn w:val="Normal"/>
    <w:uiPriority w:val="9"/>
    <w:qFormat/>
    <w:rsid w:val="00157473"/>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223DE8"/>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BB726E"/>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BB726E"/>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BB726E"/>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BB726E"/>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8061A"/>
    <w:pPr>
      <w:tabs>
        <w:tab w:val="right" w:pos="6793"/>
      </w:tabs>
      <w:spacing w:before="240" w:line="280" w:lineRule="atLeast"/>
      <w:ind w:left="465" w:right="567" w:hanging="465"/>
    </w:pPr>
    <w:rPr>
      <w:rFonts w:asciiTheme="majorHAnsi" w:hAnsiTheme="majorHAnsi"/>
      <w:spacing w:val="-2"/>
      <w:sz w:val="24"/>
    </w:rPr>
  </w:style>
  <w:style w:type="paragraph" w:styleId="Innehll2">
    <w:name w:val="toc 2"/>
    <w:basedOn w:val="Normal"/>
    <w:next w:val="Normal"/>
    <w:uiPriority w:val="39"/>
    <w:semiHidden/>
    <w:rsid w:val="0038061A"/>
    <w:pPr>
      <w:tabs>
        <w:tab w:val="right" w:leader="dot" w:pos="6793"/>
      </w:tabs>
      <w:spacing w:before="60" w:line="320" w:lineRule="atLeast"/>
      <w:ind w:left="1089" w:right="567" w:hanging="624"/>
    </w:pPr>
    <w:rPr>
      <w:sz w:val="24"/>
    </w:rPr>
  </w:style>
  <w:style w:type="paragraph" w:styleId="Innehll3">
    <w:name w:val="toc 3"/>
    <w:basedOn w:val="Normal"/>
    <w:next w:val="Normal"/>
    <w:uiPriority w:val="39"/>
    <w:semiHidden/>
    <w:rsid w:val="0038061A"/>
    <w:pPr>
      <w:tabs>
        <w:tab w:val="right" w:leader="dot" w:pos="6793"/>
      </w:tabs>
      <w:spacing w:before="60" w:line="320" w:lineRule="atLeast"/>
      <w:ind w:left="1814" w:right="567" w:hanging="737"/>
    </w:pPr>
    <w:rPr>
      <w:sz w:val="24"/>
    </w:rPr>
  </w:style>
  <w:style w:type="paragraph" w:styleId="Innehll4">
    <w:name w:val="toc 4"/>
    <w:basedOn w:val="Normal"/>
    <w:next w:val="Normal"/>
    <w:semiHidden/>
    <w:rsid w:val="00D11948"/>
    <w:pPr>
      <w:ind w:left="720"/>
    </w:pPr>
    <w:rPr>
      <w:rFonts w:ascii="Times New Roman" w:eastAsia="Times New Roman" w:hAnsi="Times New Roman" w:cs="Times New Roman"/>
      <w:sz w:val="24"/>
      <w:szCs w:val="24"/>
      <w:lang w:eastAsia="sv-SE"/>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227C95"/>
    <w:rPr>
      <w:rFonts w:asciiTheme="majorHAnsi" w:hAnsiTheme="majorHAnsi"/>
      <w:sz w:val="14"/>
    </w:rPr>
  </w:style>
  <w:style w:type="paragraph" w:customStyle="1" w:styleId="Instruktionstext">
    <w:name w:val="Instruktionstext"/>
    <w:basedOn w:val="Brdtext"/>
    <w:semiHidden/>
    <w:qFormat/>
    <w:rsid w:val="001663B7"/>
    <w:rPr>
      <w:i/>
      <w:vanish/>
      <w:color w:val="0000FF"/>
    </w:rPr>
  </w:style>
  <w:style w:type="paragraph" w:customStyle="1" w:styleId="Hlsningsfras">
    <w:name w:val="Hälsningsfras"/>
    <w:basedOn w:val="Brdtext"/>
    <w:next w:val="Brdtext"/>
    <w:semiHidden/>
    <w:rsid w:val="00207BD7"/>
    <w:pPr>
      <w:keepLines/>
    </w:pPr>
  </w:style>
  <w:style w:type="character" w:styleId="Fotnotsreferens">
    <w:name w:val="footnote reference"/>
    <w:basedOn w:val="Standardstycketeckensnitt"/>
    <w:uiPriority w:val="99"/>
    <w:semiHidden/>
    <w:qFormat/>
    <w:rsid w:val="00456487"/>
    <w:rPr>
      <w:rFonts w:asciiTheme="minorHAnsi" w:hAnsiTheme="minorHAnsi"/>
      <w:vertAlign w:val="superscript"/>
    </w:rPr>
  </w:style>
  <w:style w:type="paragraph" w:styleId="Fotnotstext">
    <w:name w:val="footnote text"/>
    <w:basedOn w:val="Normal"/>
    <w:link w:val="FotnotstextChar"/>
    <w:uiPriority w:val="99"/>
    <w:semiHidden/>
    <w:qFormat/>
    <w:rsid w:val="008C290C"/>
    <w:rPr>
      <w:spacing w:val="6"/>
      <w:sz w:val="16"/>
      <w:szCs w:val="20"/>
    </w:rPr>
  </w:style>
  <w:style w:type="character" w:customStyle="1" w:styleId="FotnotstextChar">
    <w:name w:val="Fotnotstext Char"/>
    <w:basedOn w:val="Standardstycketeckensnitt"/>
    <w:link w:val="Fotnotstext"/>
    <w:uiPriority w:val="99"/>
    <w:semiHidden/>
    <w:rsid w:val="008C290C"/>
    <w:rPr>
      <w:spacing w:val="6"/>
      <w:sz w:val="16"/>
      <w:szCs w:val="20"/>
    </w:rPr>
  </w:style>
  <w:style w:type="paragraph" w:styleId="Sidfot">
    <w:name w:val="footer"/>
    <w:basedOn w:val="Normal"/>
    <w:link w:val="SidfotChar"/>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kategori">
    <w:name w:val="Dokumentkategori"/>
    <w:basedOn w:val="Normal"/>
    <w:semiHidden/>
    <w:rsid w:val="000702B1"/>
    <w:pPr>
      <w:spacing w:after="60"/>
    </w:pPr>
    <w:rPr>
      <w:rFonts w:asciiTheme="majorHAnsi" w:hAnsiTheme="majorHAnsi"/>
      <w:caps/>
    </w:rPr>
  </w:style>
  <w:style w:type="paragraph" w:customStyle="1" w:styleId="Sidfotstext">
    <w:name w:val="Sidfotstext"/>
    <w:basedOn w:val="Normal"/>
    <w:semiHidden/>
    <w:rsid w:val="00BF2276"/>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Brdtext"/>
    <w:link w:val="CitatChar"/>
    <w:uiPriority w:val="29"/>
    <w:rsid w:val="00FF1E99"/>
    <w:pPr>
      <w:spacing w:after="290" w:line="290" w:lineRule="atLeast"/>
      <w:ind w:left="567"/>
    </w:pPr>
    <w:rPr>
      <w:i/>
      <w:iCs/>
      <w:spacing w:val="5"/>
    </w:rPr>
  </w:style>
  <w:style w:type="character" w:customStyle="1" w:styleId="CitatChar">
    <w:name w:val="Citat Char"/>
    <w:basedOn w:val="Standardstycketeckensnitt"/>
    <w:link w:val="Citat"/>
    <w:uiPriority w:val="29"/>
    <w:rsid w:val="00FF1E99"/>
    <w:rPr>
      <w:i/>
      <w:iCs/>
      <w:spacing w:val="5"/>
      <w:sz w:val="21"/>
    </w:rPr>
  </w:style>
  <w:style w:type="paragraph" w:styleId="Sidhuvud">
    <w:name w:val="header"/>
    <w:basedOn w:val="Normal"/>
    <w:link w:val="SidhuvudChar"/>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paragraph" w:styleId="Beskrivning">
    <w:name w:val="caption"/>
    <w:basedOn w:val="Normal"/>
    <w:next w:val="Brdtext"/>
    <w:uiPriority w:val="35"/>
    <w:semiHidden/>
    <w:qFormat/>
    <w:rsid w:val="008C290C"/>
    <w:pPr>
      <w:spacing w:before="360" w:after="60"/>
    </w:pPr>
    <w:rPr>
      <w:rFonts w:asciiTheme="majorHAnsi" w:hAnsiTheme="majorHAnsi"/>
      <w:iCs/>
      <w:spacing w:val="-2"/>
      <w:sz w:val="18"/>
      <w:szCs w:val="18"/>
    </w:rPr>
  </w:style>
  <w:style w:type="character" w:styleId="Hyperlnk">
    <w:name w:val="Hyperlink"/>
    <w:basedOn w:val="Standardstycketeckensnitt"/>
    <w:uiPriority w:val="99"/>
    <w:semiHidden/>
    <w:rsid w:val="001D2803"/>
    <w:rPr>
      <w:color w:val="C7007D" w:themeColor="hyperlink"/>
      <w:u w:val="single"/>
    </w:rPr>
  </w:style>
  <w:style w:type="paragraph" w:styleId="Figurfrteckning">
    <w:name w:val="table of figures"/>
    <w:basedOn w:val="Normal"/>
    <w:next w:val="Normal"/>
    <w:uiPriority w:val="99"/>
    <w:semiHidden/>
    <w:rsid w:val="00A131B3"/>
    <w:pPr>
      <w:spacing w:before="240" w:line="280" w:lineRule="atLeast"/>
      <w:ind w:left="465" w:right="567" w:hanging="465"/>
    </w:pPr>
    <w:rPr>
      <w:rFonts w:asciiTheme="majorHAnsi" w:hAnsiTheme="majorHAnsi"/>
    </w:rPr>
  </w:style>
  <w:style w:type="paragraph" w:customStyle="1" w:styleId="Klla">
    <w:name w:val="Källa"/>
    <w:basedOn w:val="Brdtext"/>
    <w:next w:val="Brdtext"/>
    <w:qFormat/>
    <w:rsid w:val="00FF1E99"/>
    <w:pPr>
      <w:spacing w:before="40" w:after="240" w:line="240" w:lineRule="auto"/>
    </w:pPr>
    <w:rPr>
      <w:noProof/>
      <w:spacing w:val="6"/>
      <w:sz w:val="16"/>
      <w:lang w:val="en-US"/>
    </w:rPr>
  </w:style>
  <w:style w:type="paragraph" w:customStyle="1" w:styleId="Referenser">
    <w:name w:val="Referenser"/>
    <w:basedOn w:val="Brdtext"/>
    <w:semiHidden/>
    <w:rsid w:val="005A2D5D"/>
    <w:pPr>
      <w:ind w:left="357" w:hanging="357"/>
    </w:pPr>
  </w:style>
  <w:style w:type="character" w:styleId="Sidnummer">
    <w:name w:val="page number"/>
    <w:basedOn w:val="Standardstycketeckensnitt"/>
    <w:semiHidden/>
    <w:unhideWhenUsed/>
    <w:rsid w:val="000702B1"/>
    <w:rPr>
      <w:rFonts w:asciiTheme="minorHAnsi" w:hAnsiTheme="minorHAnsi"/>
      <w:sz w:val="24"/>
    </w:rPr>
  </w:style>
  <w:style w:type="table" w:customStyle="1" w:styleId="TabellrutntEnergimyndigheten">
    <w:name w:val="Tabell_rutnät_Energimyndigheten"/>
    <w:basedOn w:val="Normaltabell"/>
    <w:rsid w:val="004F6FAB"/>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F3586E"/>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rsid w:val="008451C0"/>
    <w:pPr>
      <w:spacing w:before="80" w:after="60" w:line="240" w:lineRule="auto"/>
    </w:pPr>
    <w:rPr>
      <w:rFonts w:ascii="Arial" w:eastAsia="Times New Roman" w:hAnsi="Arial" w:cs="Times New Roman"/>
      <w:sz w:val="16"/>
      <w:szCs w:val="20"/>
      <w:lang w:eastAsia="sv-SE"/>
    </w:rPr>
    <w:tblPr>
      <w:tblStyleRowBandSize w:val="1"/>
      <w:tblInd w:w="108" w:type="dxa"/>
      <w:tblBorders>
        <w:top w:val="single" w:sz="12" w:space="0" w:color="7D782B" w:themeColor="accent1"/>
        <w:bottom w:val="single" w:sz="12" w:space="0" w:color="7D782B" w:themeColor="accent1"/>
      </w:tblBorders>
    </w:tblPr>
    <w:tcPr>
      <w:shd w:val="clear" w:color="auto" w:fill="auto"/>
    </w:tcPr>
    <w:tblStylePr w:type="firstRow">
      <w:pPr>
        <w:jc w:val="right"/>
      </w:pPr>
      <w:rPr>
        <w:rFonts w:ascii="Arial" w:hAnsi="Arial"/>
        <w:b/>
        <w:sz w:val="16"/>
      </w:rPr>
      <w:tblPr/>
      <w:tcPr>
        <w:tcBorders>
          <w:top w:val="single" w:sz="4" w:space="0" w:color="7D782B" w:themeColor="accent1"/>
          <w:bottom w:val="single" w:sz="4" w:space="0" w:color="7D782B" w:themeColor="accent1"/>
        </w:tcBorders>
        <w:shd w:val="clear" w:color="auto" w:fill="auto"/>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character" w:styleId="Platshllartext">
    <w:name w:val="Placeholder Text"/>
    <w:basedOn w:val="Standardstycketeckensnitt"/>
    <w:uiPriority w:val="99"/>
    <w:semiHidden/>
    <w:rsid w:val="008C290C"/>
    <w:rPr>
      <w:color w:val="FF0000"/>
    </w:rPr>
  </w:style>
  <w:style w:type="paragraph" w:customStyle="1" w:styleId="Undertitel">
    <w:name w:val="Undertitel"/>
    <w:basedOn w:val="Titel"/>
    <w:semiHidden/>
    <w:qFormat/>
    <w:rsid w:val="00842D8C"/>
    <w:pPr>
      <w:spacing w:before="0" w:after="600"/>
    </w:pPr>
    <w:rPr>
      <w:spacing w:val="-2"/>
      <w:sz w:val="22"/>
    </w:rPr>
  </w:style>
  <w:style w:type="paragraph" w:customStyle="1" w:styleId="Titel">
    <w:name w:val="Titel"/>
    <w:basedOn w:val="Brdtext"/>
    <w:link w:val="TitelChar"/>
    <w:semiHidden/>
    <w:qFormat/>
    <w:rsid w:val="00032491"/>
    <w:pPr>
      <w:spacing w:before="4000" w:after="120"/>
      <w:ind w:left="1134"/>
    </w:pPr>
    <w:rPr>
      <w:rFonts w:asciiTheme="majorHAnsi" w:hAnsiTheme="majorHAnsi"/>
      <w:spacing w:val="-12"/>
      <w:sz w:val="48"/>
    </w:rPr>
  </w:style>
  <w:style w:type="character" w:customStyle="1" w:styleId="TitelChar">
    <w:name w:val="Titel Char"/>
    <w:basedOn w:val="BrdtextChar"/>
    <w:link w:val="Titel"/>
    <w:semiHidden/>
    <w:rsid w:val="00032491"/>
    <w:rPr>
      <w:rFonts w:asciiTheme="majorHAnsi" w:hAnsiTheme="majorHAnsi"/>
      <w:spacing w:val="-12"/>
      <w:sz w:val="48"/>
    </w:rPr>
  </w:style>
  <w:style w:type="paragraph" w:customStyle="1" w:styleId="Tryckinfo">
    <w:name w:val="Tryckinfo"/>
    <w:basedOn w:val="Undertitel"/>
    <w:semiHidden/>
    <w:qFormat/>
    <w:rsid w:val="00AE0562"/>
    <w:pPr>
      <w:spacing w:after="160" w:line="240" w:lineRule="atLeast"/>
      <w:ind w:left="0"/>
    </w:pPr>
    <w:rPr>
      <w:rFonts w:cstheme="minorHAnsi"/>
      <w:sz w:val="18"/>
    </w:rPr>
  </w:style>
  <w:style w:type="paragraph" w:customStyle="1" w:styleId="Orubrik">
    <w:name w:val="Orubrik"/>
    <w:basedOn w:val="Rubrik1"/>
    <w:next w:val="Brdtext"/>
    <w:semiHidden/>
    <w:qFormat/>
    <w:rsid w:val="00D52D5A"/>
    <w:pPr>
      <w:numPr>
        <w:numId w:val="0"/>
      </w:numPr>
      <w:spacing w:after="160"/>
      <w:outlineLvl w:val="9"/>
    </w:pPr>
    <w:rPr>
      <w:spacing w:val="0"/>
    </w:rPr>
  </w:style>
  <w:style w:type="paragraph" w:customStyle="1" w:styleId="Dokumentinformation">
    <w:name w:val="Dokumentinformation"/>
    <w:basedOn w:val="Brdtext"/>
    <w:semiHidden/>
    <w:qFormat/>
    <w:rsid w:val="008C290C"/>
    <w:pPr>
      <w:spacing w:after="0" w:line="240" w:lineRule="auto"/>
    </w:pPr>
  </w:style>
  <w:style w:type="paragraph" w:customStyle="1" w:styleId="Ingress">
    <w:name w:val="Ingress"/>
    <w:basedOn w:val="Brdtext"/>
    <w:qFormat/>
    <w:rsid w:val="008C290C"/>
    <w:rPr>
      <w:rFonts w:asciiTheme="majorHAnsi" w:hAnsiTheme="majorHAnsi"/>
      <w:spacing w:val="-2"/>
    </w:rPr>
  </w:style>
  <w:style w:type="paragraph" w:customStyle="1" w:styleId="Ifyllnadstext">
    <w:name w:val="Ifyllnadstext"/>
    <w:basedOn w:val="Brdtext"/>
    <w:semiHidden/>
    <w:qFormat/>
    <w:rsid w:val="00D56B4D"/>
    <w:pPr>
      <w:spacing w:after="40"/>
    </w:pPr>
  </w:style>
  <w:style w:type="paragraph" w:customStyle="1" w:styleId="Bilagerubrik1">
    <w:name w:val="Bilagerubrik 1"/>
    <w:basedOn w:val="Rubrik1"/>
    <w:next w:val="Brdtext"/>
    <w:uiPriority w:val="99"/>
    <w:qFormat/>
    <w:rsid w:val="00861880"/>
    <w:pPr>
      <w:keepLines w:val="0"/>
      <w:numPr>
        <w:numId w:val="0"/>
      </w:numPr>
    </w:pPr>
    <w:rPr>
      <w:rFonts w:eastAsia="Times New Roman" w:cs="Arial"/>
      <w:bCs/>
      <w:spacing w:val="0"/>
      <w:lang w:eastAsia="sv-SE"/>
    </w:rPr>
  </w:style>
  <w:style w:type="paragraph" w:customStyle="1" w:styleId="Bilagerubrik2">
    <w:name w:val="Bilagerubrik 2"/>
    <w:basedOn w:val="Rubrik2"/>
    <w:uiPriority w:val="99"/>
    <w:qFormat/>
    <w:rsid w:val="00535BDB"/>
    <w:pPr>
      <w:keepLines w:val="0"/>
      <w:numPr>
        <w:ilvl w:val="0"/>
        <w:numId w:val="0"/>
      </w:numPr>
    </w:pPr>
    <w:rPr>
      <w:rFonts w:eastAsia="Times New Roman" w:cs="Arial"/>
      <w:bCs/>
      <w:iCs/>
      <w:noProof/>
      <w:szCs w:val="28"/>
      <w:lang w:eastAsia="sv-SE"/>
    </w:rPr>
  </w:style>
  <w:style w:type="paragraph" w:customStyle="1" w:styleId="Bilagerubrik3">
    <w:name w:val="Bilagerubrik 3"/>
    <w:basedOn w:val="Rubrik3"/>
    <w:next w:val="Brdtext"/>
    <w:uiPriority w:val="99"/>
    <w:qFormat/>
    <w:rsid w:val="00535BDB"/>
    <w:pPr>
      <w:keepLines w:val="0"/>
      <w:numPr>
        <w:ilvl w:val="0"/>
        <w:numId w:val="0"/>
      </w:numPr>
    </w:pPr>
    <w:rPr>
      <w:rFonts w:eastAsia="Times New Roman" w:cs="Arial"/>
      <w:bCs/>
      <w:noProof/>
      <w:szCs w:val="26"/>
      <w:lang w:eastAsia="sv-SE"/>
    </w:rPr>
  </w:style>
  <w:style w:type="paragraph" w:customStyle="1" w:styleId="Bilagerubrik4">
    <w:name w:val="Bilagerubrik 4"/>
    <w:basedOn w:val="Rubrik4"/>
    <w:next w:val="Brdtext"/>
    <w:uiPriority w:val="99"/>
    <w:qFormat/>
    <w:rsid w:val="008C313C"/>
    <w:pPr>
      <w:keepLines w:val="0"/>
    </w:pPr>
    <w:rPr>
      <w:rFonts w:eastAsia="Times New Roman" w:cs="Times New Roman"/>
      <w:bCs/>
      <w:i/>
      <w:iCs w:val="0"/>
      <w:noProof/>
      <w:szCs w:val="28"/>
      <w:lang w:val="en-US" w:eastAsia="sv-SE"/>
    </w:rPr>
  </w:style>
  <w:style w:type="character" w:styleId="Nmn">
    <w:name w:val="Mention"/>
    <w:basedOn w:val="Standardstycketeckensnitt"/>
    <w:uiPriority w:val="99"/>
    <w:semiHidden/>
    <w:unhideWhenUsed/>
    <w:rsid w:val="00E13199"/>
    <w:rPr>
      <w:color w:val="2B579A"/>
      <w:shd w:val="clear" w:color="auto" w:fill="E6E6E6"/>
    </w:rPr>
  </w:style>
  <w:style w:type="paragraph" w:customStyle="1" w:styleId="FormatmallTryckinfoFre450pt">
    <w:name w:val="Formatmall Tryckinfo + Före:  450 pt"/>
    <w:basedOn w:val="Tryckinfo"/>
    <w:semiHidden/>
    <w:rsid w:val="00D52D5A"/>
    <w:pPr>
      <w:spacing w:before="9000"/>
    </w:pPr>
    <w:rPr>
      <w:rFonts w:eastAsia="Times New Roman" w:cs="Times New Roman"/>
      <w:szCs w:val="20"/>
    </w:rPr>
  </w:style>
  <w:style w:type="table" w:customStyle="1" w:styleId="STEMgrn">
    <w:name w:val="STEM grön"/>
    <w:basedOn w:val="Normaltabell"/>
    <w:uiPriority w:val="99"/>
    <w:rsid w:val="00695D60"/>
    <w:pPr>
      <w:spacing w:after="0" w:line="240" w:lineRule="auto"/>
    </w:pPr>
    <w:tblPr>
      <w:tblBorders>
        <w:top w:val="single" w:sz="4" w:space="0" w:color="007741"/>
        <w:bottom w:val="single" w:sz="4" w:space="0" w:color="007741"/>
      </w:tblBorders>
    </w:tblPr>
    <w:trPr>
      <w:cantSplit/>
    </w:trPr>
    <w:tcPr>
      <w:shd w:val="clear" w:color="auto" w:fill="auto"/>
    </w:tcPr>
    <w:tblStylePr w:type="firstRow">
      <w:pPr>
        <w:keepNext/>
        <w:wordWrap/>
      </w:pPr>
      <w:rPr>
        <w:b/>
      </w:rPr>
      <w:tblPr/>
      <w:trPr>
        <w:cantSplit w:val="0"/>
        <w:tblHeader/>
      </w:trPr>
      <w:tcPr>
        <w:tcBorders>
          <w:bottom w:val="single" w:sz="4" w:space="0" w:color="389066"/>
        </w:tcBorders>
      </w:tcPr>
    </w:tblStylePr>
    <w:tblStylePr w:type="firstCol">
      <w:rPr>
        <w:b/>
      </w:rPr>
    </w:tblStylePr>
  </w:style>
  <w:style w:type="character" w:styleId="Kommentarsreferens">
    <w:name w:val="annotation reference"/>
    <w:basedOn w:val="Standardstycketeckensnitt"/>
    <w:uiPriority w:val="99"/>
    <w:semiHidden/>
    <w:unhideWhenUsed/>
    <w:rsid w:val="00E16105"/>
    <w:rPr>
      <w:sz w:val="16"/>
      <w:szCs w:val="16"/>
    </w:rPr>
  </w:style>
  <w:style w:type="paragraph" w:styleId="Kommentarer">
    <w:name w:val="annotation text"/>
    <w:basedOn w:val="Normal"/>
    <w:link w:val="KommentarerChar"/>
    <w:uiPriority w:val="99"/>
    <w:unhideWhenUsed/>
    <w:rsid w:val="00E16105"/>
    <w:rPr>
      <w:sz w:val="20"/>
      <w:szCs w:val="20"/>
    </w:rPr>
  </w:style>
  <w:style w:type="character" w:customStyle="1" w:styleId="KommentarerChar">
    <w:name w:val="Kommentarer Char"/>
    <w:basedOn w:val="Standardstycketeckensnitt"/>
    <w:link w:val="Kommentarer"/>
    <w:uiPriority w:val="99"/>
    <w:rsid w:val="00E16105"/>
    <w:rPr>
      <w:sz w:val="20"/>
      <w:szCs w:val="20"/>
    </w:rPr>
  </w:style>
  <w:style w:type="paragraph" w:styleId="Kommentarsmne">
    <w:name w:val="annotation subject"/>
    <w:basedOn w:val="Kommentarer"/>
    <w:next w:val="Kommentarer"/>
    <w:link w:val="KommentarsmneChar"/>
    <w:uiPriority w:val="99"/>
    <w:semiHidden/>
    <w:unhideWhenUsed/>
    <w:rsid w:val="00E16105"/>
    <w:rPr>
      <w:b/>
      <w:bCs/>
    </w:rPr>
  </w:style>
  <w:style w:type="character" w:customStyle="1" w:styleId="KommentarsmneChar">
    <w:name w:val="Kommentarsämne Char"/>
    <w:basedOn w:val="KommentarerChar"/>
    <w:link w:val="Kommentarsmne"/>
    <w:uiPriority w:val="99"/>
    <w:semiHidden/>
    <w:rsid w:val="00E16105"/>
    <w:rPr>
      <w:b/>
      <w:bCs/>
      <w:sz w:val="20"/>
      <w:szCs w:val="20"/>
    </w:rPr>
  </w:style>
  <w:style w:type="paragraph" w:styleId="Revision">
    <w:name w:val="Revision"/>
    <w:hidden/>
    <w:uiPriority w:val="99"/>
    <w:semiHidden/>
    <w:rsid w:val="00E161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92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i\AppData\Local\Axalon\SPSeries\5.0\OfficeConnector\Local%20Templates\Officemallar\Rapporter\ER-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67CD7132D041C5901032EBE495216A"/>
        <w:category>
          <w:name w:val="Allmänt"/>
          <w:gallery w:val="placeholder"/>
        </w:category>
        <w:types>
          <w:type w:val="bbPlcHdr"/>
        </w:types>
        <w:behaviors>
          <w:behavior w:val="content"/>
        </w:behaviors>
        <w:guid w:val="{6CC29A05-FAAF-4026-AA50-EA36C8CE2230}"/>
      </w:docPartPr>
      <w:docPartBody>
        <w:p w:rsidR="00F21ABD" w:rsidRDefault="00E57370">
          <w:pPr>
            <w:pStyle w:val="9267CD7132D041C5901032EBE495216A"/>
          </w:pPr>
          <w:r w:rsidRPr="00772915">
            <w:rPr>
              <w:rStyle w:val="Platshllartext"/>
            </w:rPr>
            <w:t>[</w:t>
          </w:r>
          <w:r>
            <w:rPr>
              <w:rStyle w:val="Platshllartext"/>
            </w:rPr>
            <w:t>Klicka här och skriv titel</w:t>
          </w:r>
          <w:r w:rsidRPr="00772915">
            <w:rPr>
              <w:rStyle w:val="Platshllartext"/>
            </w:rPr>
            <w:t>]</w:t>
          </w:r>
        </w:p>
      </w:docPartBody>
    </w:docPart>
    <w:docPart>
      <w:docPartPr>
        <w:name w:val="E7CE1B0BC0444FDEA1F0A07C3021A4FC"/>
        <w:category>
          <w:name w:val="Allmänt"/>
          <w:gallery w:val="placeholder"/>
        </w:category>
        <w:types>
          <w:type w:val="bbPlcHdr"/>
        </w:types>
        <w:behaviors>
          <w:behavior w:val="content"/>
        </w:behaviors>
        <w:guid w:val="{5EF7E7A5-F44B-4301-97D6-BC155F5DFE96}"/>
      </w:docPartPr>
      <w:docPartBody>
        <w:p w:rsidR="00F21ABD" w:rsidRDefault="00E57370">
          <w:pPr>
            <w:pStyle w:val="E7CE1B0BC0444FDEA1F0A07C3021A4FC"/>
          </w:pPr>
          <w:r w:rsidRPr="00F800C5">
            <w:rPr>
              <w:rStyle w:val="Platshllartext"/>
            </w:rPr>
            <w:t>[Klicka här och ange 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70"/>
    <w:rsid w:val="00396DEF"/>
    <w:rsid w:val="004320F7"/>
    <w:rsid w:val="00581333"/>
    <w:rsid w:val="006C7942"/>
    <w:rsid w:val="00747C9F"/>
    <w:rsid w:val="00916639"/>
    <w:rsid w:val="00A86C0F"/>
    <w:rsid w:val="00E57370"/>
    <w:rsid w:val="00F21A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F0000"/>
    </w:rPr>
  </w:style>
  <w:style w:type="paragraph" w:customStyle="1" w:styleId="9267CD7132D041C5901032EBE495216A">
    <w:name w:val="9267CD7132D041C5901032EBE495216A"/>
  </w:style>
  <w:style w:type="paragraph" w:customStyle="1" w:styleId="E7CE1B0BC0444FDEA1F0A07C3021A4FC">
    <w:name w:val="E7CE1B0BC0444FDEA1F0A07C3021A4FC"/>
  </w:style>
  <w:style w:type="paragraph" w:customStyle="1" w:styleId="A88FC56E3C7A4DB78331E773CCE7C184">
    <w:name w:val="A88FC56E3C7A4DB78331E773CCE7C184"/>
  </w:style>
  <w:style w:type="paragraph" w:customStyle="1" w:styleId="EFA9F6F184DB41B4A19835C19CD0AA66">
    <w:name w:val="EFA9F6F184DB41B4A19835C19CD0AA66"/>
  </w:style>
  <w:style w:type="paragraph" w:customStyle="1" w:styleId="A141C81EAEEC4AE2B1823E751FFEB48A">
    <w:name w:val="A141C81EAEEC4AE2B1823E751FFEB48A"/>
  </w:style>
  <w:style w:type="paragraph" w:customStyle="1" w:styleId="337678D264DD473B88F054332300E43B">
    <w:name w:val="337678D264DD473B88F054332300E43B"/>
  </w:style>
  <w:style w:type="paragraph" w:customStyle="1" w:styleId="1E933FF4CE744823B82AF6BEDFCF5264">
    <w:name w:val="1E933FF4CE744823B82AF6BEDFCF5264"/>
  </w:style>
  <w:style w:type="paragraph" w:customStyle="1" w:styleId="CFD612F566F0404693F54414B76DB05A">
    <w:name w:val="CFD612F566F0404693F54414B76DB05A"/>
  </w:style>
  <w:style w:type="paragraph" w:customStyle="1" w:styleId="831B298E9B0541E984F24F4965473F2E">
    <w:name w:val="831B298E9B0541E984F24F4965473F2E"/>
  </w:style>
  <w:style w:type="paragraph" w:customStyle="1" w:styleId="48780A0D15964699AB7766C44816034B">
    <w:name w:val="48780A0D15964699AB7766C4481603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nergimyndigheten">
  <a:themeElements>
    <a:clrScheme name="Energimyndigheten Grön">
      <a:dk1>
        <a:srgbClr val="000000"/>
      </a:dk1>
      <a:lt1>
        <a:srgbClr val="FFFFFF"/>
      </a:lt1>
      <a:dk2>
        <a:srgbClr val="000000"/>
      </a:dk2>
      <a:lt2>
        <a:srgbClr val="969696"/>
      </a:lt2>
      <a:accent1>
        <a:srgbClr val="7D782B"/>
      </a:accent1>
      <a:accent2>
        <a:srgbClr val="FFF03C"/>
      </a:accent2>
      <a:accent3>
        <a:srgbClr val="E70B98"/>
      </a:accent3>
      <a:accent4>
        <a:srgbClr val="003896"/>
      </a:accent4>
      <a:accent5>
        <a:srgbClr val="D78DAE"/>
      </a:accent5>
      <a:accent6>
        <a:srgbClr val="C0D391"/>
      </a:accent6>
      <a:hlink>
        <a:srgbClr val="C7007D"/>
      </a:hlink>
      <a:folHlink>
        <a:srgbClr val="003896"/>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8EEBF99E87DAB48B7B6850312A591A7" ma:contentTypeVersion="13" ma:contentTypeDescription="Skapa ett nytt dokument." ma:contentTypeScope="" ma:versionID="f86fb13a4f389acc4dc1f2084a39bb1d">
  <xsd:schema xmlns:xsd="http://www.w3.org/2001/XMLSchema" xmlns:xs="http://www.w3.org/2001/XMLSchema" xmlns:p="http://schemas.microsoft.com/office/2006/metadata/properties" xmlns:ns3="17a4b6e0-060f-4498-abdb-fefbd3296105" xmlns:ns4="ab100dcc-de2d-40c6-9c06-e146ae30916c" targetNamespace="http://schemas.microsoft.com/office/2006/metadata/properties" ma:root="true" ma:fieldsID="98b77a30d991d8c138905de323aa897c" ns3:_="" ns4:_="">
    <xsd:import namespace="17a4b6e0-060f-4498-abdb-fefbd3296105"/>
    <xsd:import namespace="ab100dcc-de2d-40c6-9c06-e146ae3091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4b6e0-060f-4498-abdb-fefbd3296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100dcc-de2d-40c6-9c06-e146ae30916c"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E2712-200C-4122-BC19-7BCE1892CA3A}">
  <ds:schemaRefs>
    <ds:schemaRef ds:uri="http://schemas.microsoft.com/sharepoint/v3/contenttype/forms"/>
  </ds:schemaRefs>
</ds:datastoreItem>
</file>

<file path=customXml/itemProps2.xml><?xml version="1.0" encoding="utf-8"?>
<ds:datastoreItem xmlns:ds="http://schemas.openxmlformats.org/officeDocument/2006/customXml" ds:itemID="{96866CA4-C2A7-4891-9E61-24D193B1D488}">
  <ds:schemaRefs>
    <ds:schemaRef ds:uri="17a4b6e0-060f-4498-abdb-fefbd3296105"/>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ab100dcc-de2d-40c6-9c06-e146ae30916c"/>
  </ds:schemaRefs>
</ds:datastoreItem>
</file>

<file path=customXml/itemProps3.xml><?xml version="1.0" encoding="utf-8"?>
<ds:datastoreItem xmlns:ds="http://schemas.openxmlformats.org/officeDocument/2006/customXml" ds:itemID="{6AE32A83-9E7D-446D-BB38-D5DEFFB60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4b6e0-060f-4498-abdb-fefbd3296105"/>
    <ds:schemaRef ds:uri="ab100dcc-de2d-40c6-9c06-e146ae309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7F0CD-B009-4EAA-9C26-1C1B11FA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ER-Rapport.dotx</Template>
  <TotalTime>1</TotalTime>
  <Pages>9</Pages>
  <Words>2641</Words>
  <Characters>14001</Characters>
  <Application>Microsoft Office Word</Application>
  <DocSecurity>0</DocSecurity>
  <Lines>116</Lines>
  <Paragraphs>33</Paragraphs>
  <ScaleCrop>false</ScaleCrop>
  <HeadingPairs>
    <vt:vector size="2" baseType="variant">
      <vt:variant>
        <vt:lpstr>Rubrik</vt:lpstr>
      </vt:variant>
      <vt:variant>
        <vt:i4>1</vt:i4>
      </vt:variant>
    </vt:vector>
  </HeadingPairs>
  <TitlesOfParts>
    <vt:vector size="1" baseType="lpstr">
      <vt:lpstr>Kortsiktsprognos – våren 2020</vt:lpstr>
    </vt:vector>
  </TitlesOfParts>
  <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Kortsiktsprognos – våren 2020</dc:title>
  <dc:subject/>
  <dc:creator>Lars Nilsson</dc:creator>
  <cp:keywords/>
  <dc:description>EM5000, v5.3, 2017-10-30</dc:description>
  <cp:lastModifiedBy>Paula Johnsson</cp:lastModifiedBy>
  <cp:revision>2</cp:revision>
  <dcterms:created xsi:type="dcterms:W3CDTF">2020-03-05T08:33:00Z</dcterms:created>
  <dcterms:modified xsi:type="dcterms:W3CDTF">2020-03-05T08:33:00Z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0x010100F8EEBF99E87DAB48B7B6850312A591A7</vt:lpwstr>
  </property>
  <property fmtid="{D5CDD505-2E9C-101B-9397-08002B2CF9AE}" pid="3" name="STEMInformationsklass">
    <vt:lpwstr>12;#Ej sekretess|f6b508c3-2418-4a00-bdce-410e71819f98</vt:lpwstr>
  </property>
  <property fmtid="{D5CDD505-2E9C-101B-9397-08002B2CF9AE}" pid="4" name="STEMAmne">
    <vt:lpwstr/>
  </property>
  <property fmtid="{D5CDD505-2E9C-101B-9397-08002B2CF9AE}" pid="5" name="STEMSprak">
    <vt:lpwstr>14;#Sv|984ba086-a62a-400a-9716-342255976432</vt:lpwstr>
  </property>
</Properties>
</file>