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46" w:rsidRDefault="00473A46">
      <w:proofErr w:type="spellStart"/>
      <w:r>
        <w:t>Energiforsk</w:t>
      </w:r>
      <w:proofErr w:type="spellEnd"/>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3160F6" w:rsidRPr="00B4756F" w:rsidTr="000B56FB">
        <w:trPr>
          <w:cantSplit/>
          <w:trHeight w:val="1418"/>
        </w:trPr>
        <w:tc>
          <w:tcPr>
            <w:tcW w:w="5032" w:type="dxa"/>
          </w:tcPr>
          <w:p w:rsidR="00DA3933" w:rsidRPr="00DA3933" w:rsidRDefault="00DA3933" w:rsidP="000B56FB">
            <w:bookmarkStart w:id="0" w:name="_GoBack"/>
            <w:bookmarkEnd w:id="0"/>
            <w:r w:rsidRPr="00DA3933">
              <w:t xml:space="preserve">040-680 07 </w:t>
            </w:r>
            <w:r w:rsidR="000B56FB">
              <w:t>60</w:t>
            </w:r>
          </w:p>
        </w:tc>
        <w:tc>
          <w:tcPr>
            <w:tcW w:w="4110" w:type="dxa"/>
          </w:tcPr>
          <w:p w:rsidR="003160F6" w:rsidRPr="00B4756F" w:rsidRDefault="000B56FB">
            <w:r>
              <w:t>Mottagare: Ansökare av medel från samverkansprogrammet 2013-2017</w:t>
            </w:r>
          </w:p>
        </w:tc>
      </w:tr>
    </w:tbl>
    <w:p w:rsidR="00045CE4" w:rsidRDefault="0065074E" w:rsidP="000B56FB">
      <w:pPr>
        <w:pStyle w:val="Rubrik1"/>
        <w:rPr>
          <w:b w:val="0"/>
          <w:bCs/>
          <w:sz w:val="32"/>
        </w:rPr>
      </w:pPr>
      <w:r>
        <w:rPr>
          <w:b w:val="0"/>
          <w:bCs/>
          <w:sz w:val="32"/>
        </w:rPr>
        <w:t>Komplettering</w:t>
      </w:r>
      <w:r w:rsidR="000B56FB" w:rsidRPr="000B56FB">
        <w:rPr>
          <w:b w:val="0"/>
          <w:bCs/>
          <w:sz w:val="32"/>
        </w:rPr>
        <w:t xml:space="preserve"> för budgetredovisning inom Samverkansprogram Energigasteknik</w:t>
      </w:r>
      <w:r w:rsidR="000B56FB">
        <w:rPr>
          <w:b w:val="0"/>
          <w:bCs/>
          <w:sz w:val="32"/>
        </w:rPr>
        <w:t xml:space="preserve"> </w:t>
      </w:r>
      <w:r w:rsidR="000B56FB" w:rsidRPr="000B56FB">
        <w:rPr>
          <w:b w:val="0"/>
          <w:bCs/>
          <w:sz w:val="32"/>
        </w:rPr>
        <w:t>(Tabellen nedan skickas med som bilaga till din ansökan)</w:t>
      </w:r>
      <w:r w:rsidR="006640E0">
        <w:rPr>
          <w:rStyle w:val="Fotnotsreferens"/>
          <w:b w:val="0"/>
          <w:bCs/>
          <w:sz w:val="32"/>
        </w:rPr>
        <w:footnoteReference w:id="1"/>
      </w:r>
    </w:p>
    <w:p w:rsidR="000B56FB" w:rsidRPr="000B56FB" w:rsidRDefault="000B56FB" w:rsidP="000B56FB"/>
    <w:p w:rsidR="00FE5E64" w:rsidRDefault="000B56FB" w:rsidP="000B56FB">
      <w:pPr>
        <w:pStyle w:val="Brdtext"/>
        <w:spacing w:after="120"/>
        <w:ind w:right="284"/>
        <w:rPr>
          <w:rFonts w:cs="Arial"/>
          <w:szCs w:val="24"/>
        </w:rPr>
      </w:pPr>
      <w:r>
        <w:t xml:space="preserve">Enligt gällande riktlinjer kan finansieringen från Energimyndigheten uppgå till </w:t>
      </w:r>
      <w:r w:rsidR="00CA122F">
        <w:t>högst</w:t>
      </w:r>
      <w:r>
        <w:t xml:space="preserve"> 40 % av totala projektkostnaden för projekt som söker finansiering inom Samverkansprogram Energigasteknik</w:t>
      </w:r>
      <w:r w:rsidR="00FE5E64">
        <w:t xml:space="preserve">. Om projektet klassas om </w:t>
      </w:r>
      <w:r w:rsidR="00FE5E64" w:rsidRPr="00726341">
        <w:rPr>
          <w:rFonts w:cs="Arial"/>
          <w:szCs w:val="24"/>
        </w:rPr>
        <w:t xml:space="preserve">experimentell utveckling </w:t>
      </w:r>
      <w:r w:rsidR="00FE5E64">
        <w:rPr>
          <w:rFonts w:cs="Arial"/>
          <w:szCs w:val="24"/>
        </w:rPr>
        <w:t xml:space="preserve">uppgår stödet till </w:t>
      </w:r>
      <w:r w:rsidR="00FE5E64" w:rsidRPr="00726341">
        <w:rPr>
          <w:rFonts w:cs="Arial"/>
          <w:szCs w:val="24"/>
        </w:rPr>
        <w:t>25 %.</w:t>
      </w:r>
      <w:r w:rsidR="00FE5E64">
        <w:rPr>
          <w:rFonts w:cs="Arial"/>
          <w:szCs w:val="24"/>
        </w:rPr>
        <w:t xml:space="preserve"> </w:t>
      </w:r>
    </w:p>
    <w:p w:rsidR="000B56FB" w:rsidRDefault="00FE5E64" w:rsidP="000B56FB">
      <w:pPr>
        <w:pStyle w:val="Brdtext"/>
        <w:spacing w:after="120"/>
        <w:ind w:right="284"/>
      </w:pPr>
      <w:r>
        <w:t>D</w:t>
      </w:r>
      <w:r w:rsidR="000B56FB">
        <w:t xml:space="preserve">en </w:t>
      </w:r>
      <w:r w:rsidR="00CA122F">
        <w:t>högsta</w:t>
      </w:r>
      <w:r w:rsidR="000B56FB">
        <w:t xml:space="preserve"> offentliga finansieringen per projektdeltagare får uppgå till </w:t>
      </w:r>
      <w:r w:rsidR="00CA122F">
        <w:t>högst</w:t>
      </w:r>
      <w:r w:rsidR="000B56FB">
        <w:t xml:space="preserve"> den nivå som fö</w:t>
      </w:r>
      <w:r w:rsidR="00394886">
        <w:t xml:space="preserve">rordningen </w:t>
      </w:r>
      <w:r w:rsidR="00394886" w:rsidRPr="00696DC3">
        <w:rPr>
          <w:highlight w:val="yellow"/>
        </w:rPr>
        <w:t>SFS 2008:761</w:t>
      </w:r>
      <w:r w:rsidR="00394886">
        <w:t xml:space="preserve"> anger. </w:t>
      </w:r>
      <w:r w:rsidR="000B56FB">
        <w:t xml:space="preserve">Budgeten för varje aktör inom projektet måste således redovisas i en tabell enligt nedan. </w:t>
      </w:r>
      <w:r w:rsidR="00394886">
        <w:t>Alla finansiärer ska vara med i tabellen, men deras kontanta insats fördelas på de aktörer som ska erhålla ersättning för sitt arbete.</w:t>
      </w:r>
    </w:p>
    <w:tbl>
      <w:tblPr>
        <w:tblStyle w:val="Tabellrutnt"/>
        <w:tblW w:w="8755" w:type="dxa"/>
        <w:tblLayout w:type="fixed"/>
        <w:tblLook w:val="04A0" w:firstRow="1" w:lastRow="0" w:firstColumn="1" w:lastColumn="0" w:noHBand="0" w:noVBand="1"/>
      </w:tblPr>
      <w:tblGrid>
        <w:gridCol w:w="1242"/>
        <w:gridCol w:w="1134"/>
        <w:gridCol w:w="851"/>
        <w:gridCol w:w="992"/>
        <w:gridCol w:w="992"/>
        <w:gridCol w:w="993"/>
        <w:gridCol w:w="1275"/>
        <w:gridCol w:w="1276"/>
      </w:tblGrid>
      <w:tr w:rsidR="000B56FB" w:rsidRPr="005C478F" w:rsidTr="00F6526A">
        <w:tc>
          <w:tcPr>
            <w:tcW w:w="1242" w:type="dxa"/>
            <w:tcBorders>
              <w:top w:val="nil"/>
              <w:left w:val="nil"/>
              <w:bottom w:val="single" w:sz="4" w:space="0" w:color="auto"/>
              <w:right w:val="single" w:sz="4" w:space="0" w:color="auto"/>
            </w:tcBorders>
          </w:tcPr>
          <w:p w:rsidR="000B56FB" w:rsidRPr="007926A9" w:rsidRDefault="000B56FB" w:rsidP="00B92130">
            <w:pPr>
              <w:rPr>
                <w:sz w:val="20"/>
              </w:rPr>
            </w:pPr>
            <w:bookmarkStart w:id="1" w:name="OLE_LINK1"/>
          </w:p>
        </w:tc>
        <w:tc>
          <w:tcPr>
            <w:tcW w:w="1134" w:type="dxa"/>
            <w:tcBorders>
              <w:top w:val="nil"/>
              <w:left w:val="single" w:sz="4" w:space="0" w:color="auto"/>
              <w:bottom w:val="single" w:sz="4" w:space="0" w:color="auto"/>
              <w:right w:val="single" w:sz="4" w:space="0" w:color="auto"/>
            </w:tcBorders>
            <w:shd w:val="clear" w:color="auto" w:fill="D9D9D9" w:themeFill="background1" w:themeFillShade="D9"/>
          </w:tcPr>
          <w:p w:rsidR="000B56FB" w:rsidRPr="007926A9" w:rsidRDefault="000B56FB" w:rsidP="00B92130">
            <w:pPr>
              <w:rPr>
                <w:sz w:val="20"/>
              </w:rPr>
            </w:pPr>
            <w:r>
              <w:rPr>
                <w:sz w:val="20"/>
              </w:rPr>
              <w:t>Budget</w:t>
            </w:r>
          </w:p>
        </w:tc>
        <w:tc>
          <w:tcPr>
            <w:tcW w:w="3828" w:type="dxa"/>
            <w:gridSpan w:val="4"/>
            <w:tcBorders>
              <w:top w:val="nil"/>
              <w:left w:val="single" w:sz="4" w:space="0" w:color="auto"/>
              <w:bottom w:val="single" w:sz="4" w:space="0" w:color="auto"/>
              <w:right w:val="single" w:sz="4" w:space="0" w:color="auto"/>
            </w:tcBorders>
          </w:tcPr>
          <w:p w:rsidR="000B56FB" w:rsidRPr="007926A9" w:rsidRDefault="000B56FB" w:rsidP="00B92130">
            <w:pPr>
              <w:rPr>
                <w:sz w:val="20"/>
              </w:rPr>
            </w:pPr>
            <w:r>
              <w:rPr>
                <w:sz w:val="20"/>
              </w:rPr>
              <w:t>Finansiering</w:t>
            </w:r>
          </w:p>
        </w:tc>
        <w:tc>
          <w:tcPr>
            <w:tcW w:w="1275" w:type="dxa"/>
            <w:tcBorders>
              <w:top w:val="nil"/>
              <w:left w:val="single" w:sz="4" w:space="0" w:color="auto"/>
              <w:bottom w:val="single" w:sz="4" w:space="0" w:color="auto"/>
              <w:right w:val="nil"/>
            </w:tcBorders>
          </w:tcPr>
          <w:p w:rsidR="000B56FB" w:rsidRPr="007926A9" w:rsidRDefault="000B56FB" w:rsidP="00B92130">
            <w:pPr>
              <w:rPr>
                <w:sz w:val="20"/>
              </w:rPr>
            </w:pPr>
          </w:p>
        </w:tc>
        <w:tc>
          <w:tcPr>
            <w:tcW w:w="1276" w:type="dxa"/>
            <w:tcBorders>
              <w:top w:val="nil"/>
              <w:left w:val="nil"/>
              <w:bottom w:val="single" w:sz="4" w:space="0" w:color="auto"/>
              <w:right w:val="nil"/>
            </w:tcBorders>
          </w:tcPr>
          <w:p w:rsidR="000B56FB" w:rsidRPr="007926A9" w:rsidRDefault="000B56FB" w:rsidP="00B92130">
            <w:pPr>
              <w:rPr>
                <w:sz w:val="20"/>
              </w:rPr>
            </w:pPr>
          </w:p>
        </w:tc>
      </w:tr>
      <w:tr w:rsidR="000B56FB" w:rsidRPr="005C478F" w:rsidTr="00F6526A">
        <w:tc>
          <w:tcPr>
            <w:tcW w:w="1242" w:type="dxa"/>
            <w:tcBorders>
              <w:top w:val="single" w:sz="4" w:space="0" w:color="auto"/>
              <w:bottom w:val="single" w:sz="8" w:space="0" w:color="auto"/>
            </w:tcBorders>
          </w:tcPr>
          <w:p w:rsidR="000B56FB" w:rsidRPr="000B56FB" w:rsidRDefault="000B56FB" w:rsidP="00B92130">
            <w:pPr>
              <w:rPr>
                <w:sz w:val="20"/>
              </w:rPr>
            </w:pPr>
            <w:r w:rsidRPr="000B56FB">
              <w:rPr>
                <w:sz w:val="20"/>
              </w:rPr>
              <w:t>Projekt-deltagare</w:t>
            </w:r>
          </w:p>
        </w:tc>
        <w:tc>
          <w:tcPr>
            <w:tcW w:w="1134" w:type="dxa"/>
            <w:tcBorders>
              <w:top w:val="single" w:sz="4" w:space="0" w:color="auto"/>
              <w:bottom w:val="single" w:sz="8" w:space="0" w:color="auto"/>
            </w:tcBorders>
            <w:shd w:val="clear" w:color="auto" w:fill="D9D9D9" w:themeFill="background1" w:themeFillShade="D9"/>
          </w:tcPr>
          <w:p w:rsidR="000B56FB" w:rsidRPr="000B56FB" w:rsidRDefault="000B56FB" w:rsidP="00B92130">
            <w:pPr>
              <w:rPr>
                <w:sz w:val="20"/>
              </w:rPr>
            </w:pPr>
            <w:r w:rsidRPr="000B56FB">
              <w:rPr>
                <w:sz w:val="20"/>
              </w:rPr>
              <w:t>Stödgrundande projekt-kostnader</w:t>
            </w:r>
          </w:p>
        </w:tc>
        <w:tc>
          <w:tcPr>
            <w:tcW w:w="851" w:type="dxa"/>
            <w:tcBorders>
              <w:top w:val="single" w:sz="4" w:space="0" w:color="auto"/>
              <w:bottom w:val="single" w:sz="8" w:space="0" w:color="auto"/>
            </w:tcBorders>
          </w:tcPr>
          <w:p w:rsidR="000B56FB" w:rsidRPr="000B56FB" w:rsidRDefault="00CA122F" w:rsidP="00B92130">
            <w:pPr>
              <w:rPr>
                <w:sz w:val="20"/>
              </w:rPr>
            </w:pPr>
            <w:r>
              <w:rPr>
                <w:sz w:val="20"/>
              </w:rPr>
              <w:t>Eget bidrag</w:t>
            </w:r>
          </w:p>
        </w:tc>
        <w:tc>
          <w:tcPr>
            <w:tcW w:w="992" w:type="dxa"/>
            <w:tcBorders>
              <w:top w:val="single" w:sz="4" w:space="0" w:color="auto"/>
              <w:bottom w:val="single" w:sz="8" w:space="0" w:color="auto"/>
            </w:tcBorders>
          </w:tcPr>
          <w:p w:rsidR="000B56FB" w:rsidRPr="000B56FB" w:rsidRDefault="000B56FB" w:rsidP="00B92130">
            <w:pPr>
              <w:rPr>
                <w:sz w:val="20"/>
              </w:rPr>
            </w:pPr>
            <w:r w:rsidRPr="000B56FB">
              <w:rPr>
                <w:sz w:val="20"/>
              </w:rPr>
              <w:t>Energi-myndig-</w:t>
            </w:r>
            <w:proofErr w:type="spellStart"/>
            <w:r w:rsidRPr="000B56FB">
              <w:rPr>
                <w:sz w:val="20"/>
              </w:rPr>
              <w:t>heten</w:t>
            </w:r>
            <w:proofErr w:type="spellEnd"/>
          </w:p>
        </w:tc>
        <w:tc>
          <w:tcPr>
            <w:tcW w:w="992" w:type="dxa"/>
            <w:tcBorders>
              <w:top w:val="single" w:sz="4" w:space="0" w:color="auto"/>
              <w:bottom w:val="single" w:sz="8" w:space="0" w:color="auto"/>
            </w:tcBorders>
          </w:tcPr>
          <w:p w:rsidR="000B56FB" w:rsidRPr="000B56FB" w:rsidRDefault="000B56FB" w:rsidP="00B92130">
            <w:pPr>
              <w:rPr>
                <w:sz w:val="20"/>
              </w:rPr>
            </w:pPr>
            <w:r w:rsidRPr="000B56FB">
              <w:rPr>
                <w:sz w:val="20"/>
              </w:rPr>
              <w:t>Annan offentlig finansiering</w:t>
            </w:r>
          </w:p>
        </w:tc>
        <w:tc>
          <w:tcPr>
            <w:tcW w:w="993" w:type="dxa"/>
            <w:tcBorders>
              <w:top w:val="single" w:sz="4" w:space="0" w:color="auto"/>
              <w:bottom w:val="single" w:sz="8" w:space="0" w:color="auto"/>
            </w:tcBorders>
          </w:tcPr>
          <w:p w:rsidR="000B56FB" w:rsidRPr="000B56FB" w:rsidRDefault="000B56FB" w:rsidP="00B92130">
            <w:pPr>
              <w:rPr>
                <w:sz w:val="20"/>
              </w:rPr>
            </w:pPr>
            <w:r w:rsidRPr="000B56FB">
              <w:rPr>
                <w:sz w:val="20"/>
              </w:rPr>
              <w:t xml:space="preserve">Icke-offentlig </w:t>
            </w:r>
            <w:proofErr w:type="spellStart"/>
            <w:r w:rsidRPr="000B56FB">
              <w:rPr>
                <w:sz w:val="20"/>
              </w:rPr>
              <w:t>finan-siering</w:t>
            </w:r>
            <w:proofErr w:type="spellEnd"/>
          </w:p>
        </w:tc>
        <w:tc>
          <w:tcPr>
            <w:tcW w:w="1275" w:type="dxa"/>
            <w:tcBorders>
              <w:top w:val="single" w:sz="4" w:space="0" w:color="auto"/>
              <w:bottom w:val="single" w:sz="8" w:space="0" w:color="auto"/>
            </w:tcBorders>
          </w:tcPr>
          <w:p w:rsidR="000B56FB" w:rsidRPr="000B56FB" w:rsidRDefault="000B56FB" w:rsidP="00B92130">
            <w:pPr>
              <w:rPr>
                <w:sz w:val="20"/>
              </w:rPr>
            </w:pPr>
            <w:r w:rsidRPr="000B56FB">
              <w:rPr>
                <w:sz w:val="20"/>
              </w:rPr>
              <w:t xml:space="preserve">Total </w:t>
            </w:r>
            <w:r w:rsidR="00E56686">
              <w:rPr>
                <w:sz w:val="20"/>
              </w:rPr>
              <w:t xml:space="preserve">andel </w:t>
            </w:r>
            <w:r w:rsidRPr="000B56FB">
              <w:rPr>
                <w:sz w:val="20"/>
              </w:rPr>
              <w:t>offentlig fin-</w:t>
            </w:r>
            <w:proofErr w:type="spellStart"/>
            <w:r w:rsidRPr="000B56FB">
              <w:rPr>
                <w:sz w:val="20"/>
              </w:rPr>
              <w:t>ansiering</w:t>
            </w:r>
            <w:proofErr w:type="spellEnd"/>
            <w:r w:rsidRPr="000B56FB">
              <w:rPr>
                <w:sz w:val="20"/>
              </w:rPr>
              <w:t xml:space="preserve"> (%)</w:t>
            </w:r>
          </w:p>
        </w:tc>
        <w:tc>
          <w:tcPr>
            <w:tcW w:w="1276" w:type="dxa"/>
            <w:tcBorders>
              <w:top w:val="single" w:sz="4" w:space="0" w:color="auto"/>
              <w:bottom w:val="single" w:sz="8" w:space="0" w:color="auto"/>
            </w:tcBorders>
          </w:tcPr>
          <w:p w:rsidR="000B56FB" w:rsidRPr="000B56FB" w:rsidRDefault="000B56FB" w:rsidP="00CA122F">
            <w:pPr>
              <w:rPr>
                <w:sz w:val="20"/>
              </w:rPr>
            </w:pPr>
            <w:r w:rsidRPr="000B56FB">
              <w:rPr>
                <w:sz w:val="20"/>
              </w:rPr>
              <w:t xml:space="preserve">Typ av </w:t>
            </w:r>
            <w:r w:rsidR="00CA122F">
              <w:rPr>
                <w:sz w:val="20"/>
              </w:rPr>
              <w:t>forskningsprojekt</w:t>
            </w:r>
            <w:r w:rsidR="00CA122F" w:rsidRPr="000B56FB">
              <w:rPr>
                <w:sz w:val="20"/>
              </w:rPr>
              <w:t xml:space="preserve"> </w:t>
            </w:r>
            <w:r w:rsidRPr="000B56FB">
              <w:rPr>
                <w:sz w:val="20"/>
              </w:rPr>
              <w:t>enligt förordningen</w:t>
            </w:r>
          </w:p>
        </w:tc>
      </w:tr>
      <w:tr w:rsidR="000B56FB" w:rsidRPr="007926A9" w:rsidTr="00D370E2">
        <w:tc>
          <w:tcPr>
            <w:tcW w:w="1242" w:type="dxa"/>
            <w:tcBorders>
              <w:top w:val="single" w:sz="8" w:space="0" w:color="auto"/>
              <w:bottom w:val="single" w:sz="4" w:space="0" w:color="auto"/>
            </w:tcBorders>
          </w:tcPr>
          <w:p w:rsidR="000B56FB" w:rsidRPr="000B56FB" w:rsidRDefault="000B56FB" w:rsidP="00B92130">
            <w:pPr>
              <w:rPr>
                <w:sz w:val="20"/>
              </w:rPr>
            </w:pPr>
            <w:r w:rsidRPr="000B56FB">
              <w:rPr>
                <w:sz w:val="20"/>
              </w:rPr>
              <w:t>Konsult A</w:t>
            </w:r>
          </w:p>
        </w:tc>
        <w:tc>
          <w:tcPr>
            <w:tcW w:w="1134" w:type="dxa"/>
            <w:tcBorders>
              <w:top w:val="single" w:sz="8" w:space="0" w:color="auto"/>
              <w:bottom w:val="single" w:sz="4" w:space="0" w:color="auto"/>
            </w:tcBorders>
            <w:shd w:val="clear" w:color="auto" w:fill="D9D9D9" w:themeFill="background1" w:themeFillShade="D9"/>
          </w:tcPr>
          <w:p w:rsidR="000B56FB" w:rsidRPr="000B56FB" w:rsidRDefault="000B56FB" w:rsidP="00B92130">
            <w:pPr>
              <w:rPr>
                <w:sz w:val="20"/>
              </w:rPr>
            </w:pPr>
            <w:r w:rsidRPr="000B56FB">
              <w:rPr>
                <w:sz w:val="20"/>
              </w:rPr>
              <w:t>600</w:t>
            </w:r>
          </w:p>
        </w:tc>
        <w:tc>
          <w:tcPr>
            <w:tcW w:w="851" w:type="dxa"/>
            <w:tcBorders>
              <w:top w:val="single" w:sz="8" w:space="0" w:color="auto"/>
              <w:bottom w:val="single" w:sz="4" w:space="0" w:color="auto"/>
            </w:tcBorders>
          </w:tcPr>
          <w:p w:rsidR="000B56FB" w:rsidRPr="000B56FB" w:rsidRDefault="000B56FB" w:rsidP="00B92130">
            <w:pPr>
              <w:rPr>
                <w:sz w:val="20"/>
              </w:rPr>
            </w:pPr>
            <w:r w:rsidRPr="000B56FB">
              <w:rPr>
                <w:sz w:val="20"/>
              </w:rPr>
              <w:t>0</w:t>
            </w:r>
          </w:p>
        </w:tc>
        <w:tc>
          <w:tcPr>
            <w:tcW w:w="992" w:type="dxa"/>
            <w:tcBorders>
              <w:top w:val="single" w:sz="8" w:space="0" w:color="auto"/>
              <w:bottom w:val="single" w:sz="4" w:space="0" w:color="auto"/>
            </w:tcBorders>
          </w:tcPr>
          <w:p w:rsidR="000B56FB" w:rsidRPr="000B56FB" w:rsidRDefault="000B56FB" w:rsidP="00B92130">
            <w:pPr>
              <w:rPr>
                <w:sz w:val="20"/>
              </w:rPr>
            </w:pPr>
            <w:r w:rsidRPr="000B56FB">
              <w:rPr>
                <w:sz w:val="20"/>
              </w:rPr>
              <w:t>300</w:t>
            </w:r>
          </w:p>
        </w:tc>
        <w:tc>
          <w:tcPr>
            <w:tcW w:w="992" w:type="dxa"/>
            <w:tcBorders>
              <w:top w:val="single" w:sz="8" w:space="0" w:color="auto"/>
            </w:tcBorders>
          </w:tcPr>
          <w:p w:rsidR="000B56FB" w:rsidRPr="000B56FB" w:rsidRDefault="000B56FB" w:rsidP="00B92130">
            <w:pPr>
              <w:rPr>
                <w:sz w:val="20"/>
              </w:rPr>
            </w:pPr>
            <w:r w:rsidRPr="000B56FB">
              <w:rPr>
                <w:sz w:val="20"/>
              </w:rPr>
              <w:t>0</w:t>
            </w:r>
          </w:p>
        </w:tc>
        <w:tc>
          <w:tcPr>
            <w:tcW w:w="993" w:type="dxa"/>
            <w:tcBorders>
              <w:top w:val="single" w:sz="8" w:space="0" w:color="auto"/>
            </w:tcBorders>
          </w:tcPr>
          <w:p w:rsidR="000B56FB" w:rsidRPr="000B56FB" w:rsidRDefault="000B56FB" w:rsidP="00B92130">
            <w:pPr>
              <w:rPr>
                <w:sz w:val="20"/>
              </w:rPr>
            </w:pPr>
            <w:r w:rsidRPr="000B56FB">
              <w:rPr>
                <w:sz w:val="20"/>
              </w:rPr>
              <w:t>300</w:t>
            </w:r>
          </w:p>
        </w:tc>
        <w:tc>
          <w:tcPr>
            <w:tcW w:w="1275" w:type="dxa"/>
            <w:tcBorders>
              <w:top w:val="single" w:sz="8" w:space="0" w:color="auto"/>
            </w:tcBorders>
          </w:tcPr>
          <w:p w:rsidR="000B56FB" w:rsidRPr="000B56FB" w:rsidRDefault="000B56FB" w:rsidP="00B92130">
            <w:pPr>
              <w:rPr>
                <w:sz w:val="20"/>
              </w:rPr>
            </w:pPr>
            <w:r w:rsidRPr="000B56FB">
              <w:rPr>
                <w:sz w:val="20"/>
              </w:rPr>
              <w:t>50</w:t>
            </w:r>
          </w:p>
        </w:tc>
        <w:tc>
          <w:tcPr>
            <w:tcW w:w="1276" w:type="dxa"/>
            <w:tcBorders>
              <w:top w:val="single" w:sz="8" w:space="0" w:color="auto"/>
            </w:tcBorders>
          </w:tcPr>
          <w:p w:rsidR="000B56FB" w:rsidRPr="000B56FB" w:rsidRDefault="000B56FB" w:rsidP="00B92130">
            <w:pPr>
              <w:rPr>
                <w:sz w:val="20"/>
              </w:rPr>
            </w:pPr>
            <w:r w:rsidRPr="000B56FB">
              <w:rPr>
                <w:sz w:val="20"/>
              </w:rPr>
              <w:t>Tillämpad Forskning</w:t>
            </w:r>
          </w:p>
        </w:tc>
      </w:tr>
      <w:tr w:rsidR="000B56FB" w:rsidRPr="007926A9" w:rsidTr="00D370E2">
        <w:tc>
          <w:tcPr>
            <w:tcW w:w="1242" w:type="dxa"/>
            <w:tcBorders>
              <w:bottom w:val="single" w:sz="8" w:space="0" w:color="auto"/>
            </w:tcBorders>
          </w:tcPr>
          <w:p w:rsidR="000B56FB" w:rsidRPr="000B56FB" w:rsidRDefault="000B56FB" w:rsidP="00B92130">
            <w:pPr>
              <w:rPr>
                <w:sz w:val="20"/>
              </w:rPr>
            </w:pPr>
            <w:r w:rsidRPr="000B56FB">
              <w:rPr>
                <w:sz w:val="20"/>
              </w:rPr>
              <w:t>Konsult B</w:t>
            </w:r>
          </w:p>
        </w:tc>
        <w:tc>
          <w:tcPr>
            <w:tcW w:w="1134" w:type="dxa"/>
            <w:tcBorders>
              <w:bottom w:val="single" w:sz="8" w:space="0" w:color="auto"/>
            </w:tcBorders>
            <w:shd w:val="clear" w:color="auto" w:fill="D9D9D9" w:themeFill="background1" w:themeFillShade="D9"/>
          </w:tcPr>
          <w:p w:rsidR="000B56FB" w:rsidRPr="000B56FB" w:rsidRDefault="000B56FB" w:rsidP="00B92130">
            <w:pPr>
              <w:rPr>
                <w:sz w:val="20"/>
              </w:rPr>
            </w:pPr>
            <w:r w:rsidRPr="000B56FB">
              <w:rPr>
                <w:sz w:val="20"/>
              </w:rPr>
              <w:t>450</w:t>
            </w:r>
          </w:p>
        </w:tc>
        <w:tc>
          <w:tcPr>
            <w:tcW w:w="851" w:type="dxa"/>
            <w:tcBorders>
              <w:bottom w:val="single" w:sz="8" w:space="0" w:color="auto"/>
            </w:tcBorders>
          </w:tcPr>
          <w:p w:rsidR="000B56FB" w:rsidRPr="000B56FB" w:rsidRDefault="000B56FB" w:rsidP="00B92130">
            <w:pPr>
              <w:rPr>
                <w:sz w:val="20"/>
              </w:rPr>
            </w:pPr>
            <w:r w:rsidRPr="000B56FB">
              <w:rPr>
                <w:sz w:val="20"/>
              </w:rPr>
              <w:t>0</w:t>
            </w:r>
          </w:p>
        </w:tc>
        <w:tc>
          <w:tcPr>
            <w:tcW w:w="992" w:type="dxa"/>
            <w:tcBorders>
              <w:bottom w:val="single" w:sz="8" w:space="0" w:color="auto"/>
            </w:tcBorders>
          </w:tcPr>
          <w:p w:rsidR="000B56FB" w:rsidRPr="000B56FB" w:rsidRDefault="000B56FB" w:rsidP="00B92130">
            <w:pPr>
              <w:rPr>
                <w:sz w:val="20"/>
              </w:rPr>
            </w:pPr>
            <w:r w:rsidRPr="000B56FB">
              <w:rPr>
                <w:sz w:val="20"/>
              </w:rPr>
              <w:t>200</w:t>
            </w:r>
          </w:p>
        </w:tc>
        <w:tc>
          <w:tcPr>
            <w:tcW w:w="992" w:type="dxa"/>
            <w:tcBorders>
              <w:bottom w:val="single" w:sz="8" w:space="0" w:color="auto"/>
            </w:tcBorders>
          </w:tcPr>
          <w:p w:rsidR="000B56FB" w:rsidRPr="000B56FB" w:rsidRDefault="000B56FB" w:rsidP="00B92130">
            <w:pPr>
              <w:rPr>
                <w:sz w:val="20"/>
              </w:rPr>
            </w:pPr>
            <w:r w:rsidRPr="000B56FB">
              <w:rPr>
                <w:sz w:val="20"/>
              </w:rPr>
              <w:t>115</w:t>
            </w:r>
          </w:p>
        </w:tc>
        <w:tc>
          <w:tcPr>
            <w:tcW w:w="993" w:type="dxa"/>
            <w:tcBorders>
              <w:bottom w:val="single" w:sz="8" w:space="0" w:color="auto"/>
            </w:tcBorders>
          </w:tcPr>
          <w:p w:rsidR="000B56FB" w:rsidRPr="000B56FB" w:rsidRDefault="000B56FB" w:rsidP="00B92130">
            <w:pPr>
              <w:rPr>
                <w:sz w:val="20"/>
              </w:rPr>
            </w:pPr>
            <w:r w:rsidRPr="000B56FB">
              <w:rPr>
                <w:sz w:val="20"/>
              </w:rPr>
              <w:t>135</w:t>
            </w:r>
          </w:p>
        </w:tc>
        <w:tc>
          <w:tcPr>
            <w:tcW w:w="1275" w:type="dxa"/>
            <w:tcBorders>
              <w:bottom w:val="single" w:sz="8" w:space="0" w:color="auto"/>
            </w:tcBorders>
          </w:tcPr>
          <w:p w:rsidR="000B56FB" w:rsidRPr="000B56FB" w:rsidRDefault="000B56FB" w:rsidP="00B92130">
            <w:pPr>
              <w:rPr>
                <w:sz w:val="20"/>
              </w:rPr>
            </w:pPr>
            <w:r w:rsidRPr="000B56FB">
              <w:rPr>
                <w:sz w:val="20"/>
              </w:rPr>
              <w:t>70</w:t>
            </w:r>
          </w:p>
        </w:tc>
        <w:tc>
          <w:tcPr>
            <w:tcW w:w="1276" w:type="dxa"/>
            <w:tcBorders>
              <w:bottom w:val="single" w:sz="8" w:space="0" w:color="auto"/>
            </w:tcBorders>
          </w:tcPr>
          <w:p w:rsidR="000B56FB" w:rsidRPr="000B56FB" w:rsidRDefault="000B56FB" w:rsidP="00B92130">
            <w:pPr>
              <w:rPr>
                <w:sz w:val="20"/>
              </w:rPr>
            </w:pPr>
            <w:r w:rsidRPr="000B56FB">
              <w:rPr>
                <w:sz w:val="20"/>
              </w:rPr>
              <w:t>Tillämpad Forskning</w:t>
            </w:r>
          </w:p>
        </w:tc>
      </w:tr>
      <w:tr w:rsidR="000B56FB" w:rsidRPr="007926A9" w:rsidTr="00D370E2">
        <w:tc>
          <w:tcPr>
            <w:tcW w:w="1242" w:type="dxa"/>
            <w:tcBorders>
              <w:top w:val="single" w:sz="8" w:space="0" w:color="auto"/>
              <w:left w:val="single" w:sz="4" w:space="0" w:color="auto"/>
              <w:bottom w:val="single" w:sz="4" w:space="0" w:color="auto"/>
              <w:right w:val="single" w:sz="4" w:space="0" w:color="auto"/>
            </w:tcBorders>
          </w:tcPr>
          <w:p w:rsidR="000B56FB" w:rsidRPr="000B56FB" w:rsidRDefault="000B56FB" w:rsidP="00B92130">
            <w:pPr>
              <w:rPr>
                <w:sz w:val="20"/>
              </w:rPr>
            </w:pPr>
            <w:proofErr w:type="gramStart"/>
            <w:r w:rsidRPr="000B56FB">
              <w:rPr>
                <w:sz w:val="20"/>
              </w:rPr>
              <w:t>Företag</w:t>
            </w:r>
            <w:proofErr w:type="gramEnd"/>
            <w:r w:rsidRPr="000B56FB">
              <w:rPr>
                <w:sz w:val="20"/>
              </w:rPr>
              <w:t xml:space="preserve"> A</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0B56FB" w:rsidRPr="000B56FB" w:rsidRDefault="000B56FB" w:rsidP="00B92130">
            <w:pPr>
              <w:rPr>
                <w:sz w:val="20"/>
              </w:rPr>
            </w:pPr>
            <w:r w:rsidRPr="000B56FB">
              <w:rPr>
                <w:sz w:val="20"/>
              </w:rPr>
              <w:t>100</w:t>
            </w:r>
          </w:p>
        </w:tc>
        <w:tc>
          <w:tcPr>
            <w:tcW w:w="851" w:type="dxa"/>
            <w:tcBorders>
              <w:top w:val="single" w:sz="8" w:space="0" w:color="auto"/>
              <w:left w:val="single" w:sz="4" w:space="0" w:color="auto"/>
              <w:bottom w:val="single" w:sz="4" w:space="0" w:color="auto"/>
              <w:right w:val="single" w:sz="4" w:space="0" w:color="auto"/>
            </w:tcBorders>
          </w:tcPr>
          <w:p w:rsidR="000B56FB" w:rsidRPr="000B56FB" w:rsidRDefault="00FF65C2" w:rsidP="00B92130">
            <w:pPr>
              <w:rPr>
                <w:sz w:val="20"/>
              </w:rPr>
            </w:pPr>
            <w:r>
              <w:rPr>
                <w:sz w:val="20"/>
              </w:rPr>
              <w:t>2</w:t>
            </w:r>
            <w:r w:rsidR="000B56FB" w:rsidRPr="000B56FB">
              <w:rPr>
                <w:sz w:val="20"/>
              </w:rPr>
              <w:t>00</w:t>
            </w:r>
          </w:p>
        </w:tc>
        <w:tc>
          <w:tcPr>
            <w:tcW w:w="992" w:type="dxa"/>
            <w:tcBorders>
              <w:top w:val="single" w:sz="8" w:space="0" w:color="auto"/>
              <w:left w:val="single" w:sz="4" w:space="0" w:color="auto"/>
              <w:bottom w:val="single" w:sz="4" w:space="0" w:color="auto"/>
              <w:right w:val="single" w:sz="4" w:space="0" w:color="auto"/>
            </w:tcBorders>
          </w:tcPr>
          <w:p w:rsidR="000B56FB" w:rsidRPr="000B56FB" w:rsidRDefault="000B56FB" w:rsidP="00B92130">
            <w:pPr>
              <w:rPr>
                <w:sz w:val="20"/>
              </w:rPr>
            </w:pPr>
          </w:p>
        </w:tc>
        <w:tc>
          <w:tcPr>
            <w:tcW w:w="992" w:type="dxa"/>
            <w:tcBorders>
              <w:top w:val="single" w:sz="8" w:space="0" w:color="auto"/>
              <w:left w:val="single" w:sz="4" w:space="0" w:color="auto"/>
              <w:bottom w:val="nil"/>
              <w:right w:val="nil"/>
            </w:tcBorders>
          </w:tcPr>
          <w:p w:rsidR="000B56FB" w:rsidRPr="000B56FB" w:rsidRDefault="000B56FB" w:rsidP="00B92130">
            <w:pPr>
              <w:rPr>
                <w:sz w:val="20"/>
              </w:rPr>
            </w:pPr>
          </w:p>
        </w:tc>
        <w:tc>
          <w:tcPr>
            <w:tcW w:w="993" w:type="dxa"/>
            <w:tcBorders>
              <w:top w:val="single" w:sz="8" w:space="0" w:color="auto"/>
              <w:left w:val="nil"/>
              <w:bottom w:val="nil"/>
              <w:right w:val="nil"/>
            </w:tcBorders>
          </w:tcPr>
          <w:p w:rsidR="000B56FB" w:rsidRPr="000B56FB" w:rsidRDefault="000B56FB" w:rsidP="00B92130">
            <w:pPr>
              <w:rPr>
                <w:sz w:val="20"/>
              </w:rPr>
            </w:pPr>
          </w:p>
        </w:tc>
        <w:tc>
          <w:tcPr>
            <w:tcW w:w="1275" w:type="dxa"/>
            <w:tcBorders>
              <w:top w:val="single" w:sz="8" w:space="0" w:color="auto"/>
              <w:left w:val="nil"/>
              <w:bottom w:val="nil"/>
              <w:right w:val="nil"/>
            </w:tcBorders>
          </w:tcPr>
          <w:p w:rsidR="000B56FB" w:rsidRPr="000B56FB" w:rsidRDefault="000B56FB" w:rsidP="00B92130">
            <w:pPr>
              <w:rPr>
                <w:sz w:val="20"/>
              </w:rPr>
            </w:pPr>
          </w:p>
        </w:tc>
        <w:tc>
          <w:tcPr>
            <w:tcW w:w="1276" w:type="dxa"/>
            <w:tcBorders>
              <w:top w:val="single" w:sz="8" w:space="0" w:color="auto"/>
              <w:left w:val="nil"/>
              <w:bottom w:val="nil"/>
              <w:right w:val="nil"/>
            </w:tcBorders>
          </w:tcPr>
          <w:p w:rsidR="000B56FB" w:rsidRPr="000B56FB" w:rsidRDefault="000B56FB" w:rsidP="00B92130">
            <w:pPr>
              <w:rPr>
                <w:sz w:val="20"/>
              </w:rPr>
            </w:pPr>
          </w:p>
        </w:tc>
      </w:tr>
      <w:tr w:rsidR="000B56FB" w:rsidRPr="007926A9" w:rsidTr="00D370E2">
        <w:tc>
          <w:tcPr>
            <w:tcW w:w="1242" w:type="dxa"/>
            <w:tcBorders>
              <w:top w:val="single" w:sz="4" w:space="0" w:color="auto"/>
              <w:bottom w:val="single" w:sz="4" w:space="0" w:color="auto"/>
            </w:tcBorders>
          </w:tcPr>
          <w:p w:rsidR="000B56FB" w:rsidRPr="000B56FB" w:rsidRDefault="000B56FB" w:rsidP="00B92130">
            <w:pPr>
              <w:rPr>
                <w:sz w:val="20"/>
              </w:rPr>
            </w:pPr>
            <w:proofErr w:type="gramStart"/>
            <w:r w:rsidRPr="000B56FB">
              <w:rPr>
                <w:sz w:val="20"/>
              </w:rPr>
              <w:t>Företag</w:t>
            </w:r>
            <w:proofErr w:type="gramEnd"/>
            <w:r w:rsidRPr="000B56FB">
              <w:rPr>
                <w:sz w:val="20"/>
              </w:rPr>
              <w:t xml:space="preserve"> B</w:t>
            </w:r>
          </w:p>
        </w:tc>
        <w:tc>
          <w:tcPr>
            <w:tcW w:w="1134" w:type="dxa"/>
            <w:tcBorders>
              <w:top w:val="single" w:sz="4" w:space="0" w:color="auto"/>
              <w:bottom w:val="single" w:sz="4" w:space="0" w:color="auto"/>
            </w:tcBorders>
            <w:shd w:val="clear" w:color="auto" w:fill="D9D9D9" w:themeFill="background1" w:themeFillShade="D9"/>
          </w:tcPr>
          <w:p w:rsidR="000B56FB" w:rsidRPr="000B56FB" w:rsidRDefault="000B56FB" w:rsidP="00B92130">
            <w:pPr>
              <w:rPr>
                <w:sz w:val="20"/>
              </w:rPr>
            </w:pPr>
            <w:r w:rsidRPr="000B56FB">
              <w:rPr>
                <w:sz w:val="20"/>
              </w:rPr>
              <w:t>100</w:t>
            </w:r>
          </w:p>
        </w:tc>
        <w:tc>
          <w:tcPr>
            <w:tcW w:w="851" w:type="dxa"/>
            <w:tcBorders>
              <w:top w:val="single" w:sz="4" w:space="0" w:color="auto"/>
              <w:bottom w:val="single" w:sz="4" w:space="0" w:color="auto"/>
            </w:tcBorders>
          </w:tcPr>
          <w:p w:rsidR="000B56FB" w:rsidRPr="000B56FB" w:rsidRDefault="00FF65C2" w:rsidP="00B92130">
            <w:pPr>
              <w:rPr>
                <w:sz w:val="20"/>
              </w:rPr>
            </w:pPr>
            <w:r>
              <w:rPr>
                <w:sz w:val="20"/>
              </w:rPr>
              <w:t>2</w:t>
            </w:r>
            <w:r w:rsidR="000B56FB" w:rsidRPr="000B56FB">
              <w:rPr>
                <w:sz w:val="20"/>
              </w:rPr>
              <w:t>00</w:t>
            </w:r>
          </w:p>
        </w:tc>
        <w:tc>
          <w:tcPr>
            <w:tcW w:w="992" w:type="dxa"/>
            <w:tcBorders>
              <w:top w:val="single" w:sz="4" w:space="0" w:color="auto"/>
              <w:bottom w:val="single" w:sz="4" w:space="0" w:color="auto"/>
            </w:tcBorders>
          </w:tcPr>
          <w:p w:rsidR="000B56FB" w:rsidRPr="000B56FB" w:rsidRDefault="000B56FB" w:rsidP="00B92130">
            <w:pPr>
              <w:rPr>
                <w:sz w:val="20"/>
              </w:rPr>
            </w:pPr>
          </w:p>
        </w:tc>
        <w:tc>
          <w:tcPr>
            <w:tcW w:w="992" w:type="dxa"/>
            <w:tcBorders>
              <w:top w:val="nil"/>
              <w:bottom w:val="nil"/>
              <w:right w:val="nil"/>
            </w:tcBorders>
          </w:tcPr>
          <w:p w:rsidR="000B56FB" w:rsidRPr="000B56FB" w:rsidRDefault="000B56FB" w:rsidP="00B92130">
            <w:pPr>
              <w:rPr>
                <w:sz w:val="20"/>
              </w:rPr>
            </w:pPr>
          </w:p>
        </w:tc>
        <w:tc>
          <w:tcPr>
            <w:tcW w:w="993" w:type="dxa"/>
            <w:tcBorders>
              <w:top w:val="nil"/>
              <w:left w:val="nil"/>
              <w:bottom w:val="nil"/>
              <w:right w:val="nil"/>
            </w:tcBorders>
          </w:tcPr>
          <w:p w:rsidR="000B56FB" w:rsidRPr="000B56FB" w:rsidRDefault="000B56FB" w:rsidP="00B92130">
            <w:pPr>
              <w:rPr>
                <w:sz w:val="20"/>
              </w:rPr>
            </w:pPr>
          </w:p>
        </w:tc>
        <w:tc>
          <w:tcPr>
            <w:tcW w:w="1275" w:type="dxa"/>
            <w:tcBorders>
              <w:top w:val="nil"/>
              <w:left w:val="nil"/>
              <w:bottom w:val="nil"/>
              <w:right w:val="nil"/>
            </w:tcBorders>
          </w:tcPr>
          <w:p w:rsidR="000B56FB" w:rsidRPr="000B56FB" w:rsidRDefault="000B56FB" w:rsidP="00B92130">
            <w:pPr>
              <w:rPr>
                <w:sz w:val="20"/>
              </w:rPr>
            </w:pPr>
          </w:p>
        </w:tc>
        <w:tc>
          <w:tcPr>
            <w:tcW w:w="1276" w:type="dxa"/>
            <w:tcBorders>
              <w:top w:val="nil"/>
              <w:left w:val="nil"/>
              <w:bottom w:val="nil"/>
              <w:right w:val="nil"/>
            </w:tcBorders>
          </w:tcPr>
          <w:p w:rsidR="000B56FB" w:rsidRPr="000B56FB" w:rsidRDefault="000B56FB" w:rsidP="00B92130">
            <w:pPr>
              <w:rPr>
                <w:sz w:val="20"/>
              </w:rPr>
            </w:pPr>
          </w:p>
        </w:tc>
      </w:tr>
      <w:tr w:rsidR="00394886" w:rsidRPr="007926A9" w:rsidTr="00D370E2">
        <w:tc>
          <w:tcPr>
            <w:tcW w:w="1242" w:type="dxa"/>
            <w:tcBorders>
              <w:top w:val="single" w:sz="4" w:space="0" w:color="auto"/>
              <w:bottom w:val="single" w:sz="4" w:space="0" w:color="auto"/>
            </w:tcBorders>
          </w:tcPr>
          <w:p w:rsidR="00394886" w:rsidRDefault="00394886" w:rsidP="00841739">
            <w:pPr>
              <w:rPr>
                <w:sz w:val="20"/>
              </w:rPr>
            </w:pPr>
            <w:proofErr w:type="gramStart"/>
            <w:r>
              <w:rPr>
                <w:sz w:val="20"/>
              </w:rPr>
              <w:t>Företag</w:t>
            </w:r>
            <w:proofErr w:type="gramEnd"/>
            <w:r>
              <w:rPr>
                <w:sz w:val="20"/>
              </w:rPr>
              <w:t xml:space="preserve"> C</w:t>
            </w:r>
          </w:p>
        </w:tc>
        <w:tc>
          <w:tcPr>
            <w:tcW w:w="1134" w:type="dxa"/>
            <w:tcBorders>
              <w:top w:val="single" w:sz="4" w:space="0" w:color="auto"/>
              <w:bottom w:val="single" w:sz="4" w:space="0" w:color="auto"/>
            </w:tcBorders>
            <w:shd w:val="clear" w:color="auto" w:fill="D9D9D9" w:themeFill="background1" w:themeFillShade="D9"/>
          </w:tcPr>
          <w:p w:rsidR="00394886" w:rsidRPr="000B56FB" w:rsidRDefault="00D370E2" w:rsidP="00841739">
            <w:pPr>
              <w:rPr>
                <w:sz w:val="20"/>
              </w:rPr>
            </w:pPr>
            <w:r>
              <w:rPr>
                <w:sz w:val="20"/>
              </w:rPr>
              <w:t>0</w:t>
            </w:r>
          </w:p>
        </w:tc>
        <w:tc>
          <w:tcPr>
            <w:tcW w:w="851" w:type="dxa"/>
            <w:tcBorders>
              <w:top w:val="single" w:sz="4" w:space="0" w:color="auto"/>
              <w:bottom w:val="single" w:sz="4" w:space="0" w:color="auto"/>
            </w:tcBorders>
          </w:tcPr>
          <w:p w:rsidR="00394886" w:rsidRPr="000B56FB" w:rsidRDefault="00FF65C2" w:rsidP="00841739">
            <w:pPr>
              <w:rPr>
                <w:sz w:val="20"/>
              </w:rPr>
            </w:pPr>
            <w:r>
              <w:rPr>
                <w:sz w:val="20"/>
              </w:rPr>
              <w:t>235</w:t>
            </w:r>
          </w:p>
        </w:tc>
        <w:tc>
          <w:tcPr>
            <w:tcW w:w="992" w:type="dxa"/>
            <w:tcBorders>
              <w:top w:val="single" w:sz="4" w:space="0" w:color="auto"/>
              <w:bottom w:val="single" w:sz="4" w:space="0" w:color="auto"/>
            </w:tcBorders>
          </w:tcPr>
          <w:p w:rsidR="00394886" w:rsidRPr="000B56FB" w:rsidRDefault="00394886" w:rsidP="00841739">
            <w:pPr>
              <w:rPr>
                <w:sz w:val="20"/>
              </w:rPr>
            </w:pPr>
          </w:p>
        </w:tc>
        <w:tc>
          <w:tcPr>
            <w:tcW w:w="992" w:type="dxa"/>
            <w:tcBorders>
              <w:top w:val="nil"/>
              <w:bottom w:val="nil"/>
              <w:right w:val="nil"/>
            </w:tcBorders>
          </w:tcPr>
          <w:p w:rsidR="00394886" w:rsidRDefault="00394886" w:rsidP="00841739">
            <w:pPr>
              <w:rPr>
                <w:sz w:val="20"/>
              </w:rPr>
            </w:pPr>
          </w:p>
        </w:tc>
        <w:tc>
          <w:tcPr>
            <w:tcW w:w="993" w:type="dxa"/>
            <w:tcBorders>
              <w:top w:val="nil"/>
              <w:left w:val="nil"/>
              <w:bottom w:val="nil"/>
              <w:right w:val="nil"/>
            </w:tcBorders>
          </w:tcPr>
          <w:p w:rsidR="00394886" w:rsidRPr="000B56FB" w:rsidRDefault="00394886" w:rsidP="00841739">
            <w:pPr>
              <w:rPr>
                <w:sz w:val="20"/>
              </w:rPr>
            </w:pPr>
          </w:p>
        </w:tc>
        <w:tc>
          <w:tcPr>
            <w:tcW w:w="1275" w:type="dxa"/>
            <w:tcBorders>
              <w:top w:val="nil"/>
              <w:left w:val="nil"/>
              <w:bottom w:val="nil"/>
              <w:right w:val="nil"/>
            </w:tcBorders>
          </w:tcPr>
          <w:p w:rsidR="00394886" w:rsidRPr="000B56FB" w:rsidRDefault="00394886" w:rsidP="00841739">
            <w:pPr>
              <w:rPr>
                <w:sz w:val="20"/>
              </w:rPr>
            </w:pPr>
          </w:p>
        </w:tc>
        <w:tc>
          <w:tcPr>
            <w:tcW w:w="1276" w:type="dxa"/>
            <w:tcBorders>
              <w:top w:val="nil"/>
              <w:left w:val="nil"/>
              <w:bottom w:val="nil"/>
              <w:right w:val="nil"/>
            </w:tcBorders>
          </w:tcPr>
          <w:p w:rsidR="00394886" w:rsidRPr="000B56FB" w:rsidRDefault="00394886" w:rsidP="00841739">
            <w:pPr>
              <w:rPr>
                <w:sz w:val="20"/>
              </w:rPr>
            </w:pPr>
          </w:p>
        </w:tc>
      </w:tr>
      <w:tr w:rsidR="00394886" w:rsidRPr="007926A9" w:rsidTr="00D370E2">
        <w:tc>
          <w:tcPr>
            <w:tcW w:w="1242" w:type="dxa"/>
            <w:tcBorders>
              <w:top w:val="single" w:sz="4" w:space="0" w:color="auto"/>
              <w:bottom w:val="single" w:sz="4" w:space="0" w:color="auto"/>
            </w:tcBorders>
          </w:tcPr>
          <w:p w:rsidR="00394886" w:rsidRPr="000B56FB" w:rsidRDefault="00394886" w:rsidP="00841739">
            <w:pPr>
              <w:rPr>
                <w:sz w:val="20"/>
              </w:rPr>
            </w:pPr>
            <w:r>
              <w:rPr>
                <w:sz w:val="20"/>
              </w:rPr>
              <w:t>Organisation A</w:t>
            </w:r>
          </w:p>
        </w:tc>
        <w:tc>
          <w:tcPr>
            <w:tcW w:w="1134" w:type="dxa"/>
            <w:tcBorders>
              <w:top w:val="single" w:sz="4" w:space="0" w:color="auto"/>
              <w:bottom w:val="single" w:sz="4" w:space="0" w:color="auto"/>
            </w:tcBorders>
            <w:shd w:val="clear" w:color="auto" w:fill="D9D9D9" w:themeFill="background1" w:themeFillShade="D9"/>
          </w:tcPr>
          <w:p w:rsidR="00394886" w:rsidRPr="000B56FB" w:rsidRDefault="00D370E2" w:rsidP="00841739">
            <w:pPr>
              <w:rPr>
                <w:sz w:val="20"/>
              </w:rPr>
            </w:pPr>
            <w:r>
              <w:rPr>
                <w:sz w:val="20"/>
              </w:rPr>
              <w:t>0</w:t>
            </w:r>
          </w:p>
        </w:tc>
        <w:tc>
          <w:tcPr>
            <w:tcW w:w="851" w:type="dxa"/>
            <w:tcBorders>
              <w:top w:val="single" w:sz="4" w:space="0" w:color="auto"/>
              <w:bottom w:val="single" w:sz="4" w:space="0" w:color="auto"/>
            </w:tcBorders>
          </w:tcPr>
          <w:p w:rsidR="00394886" w:rsidRPr="000B56FB" w:rsidRDefault="00FF65C2" w:rsidP="00841739">
            <w:pPr>
              <w:rPr>
                <w:sz w:val="20"/>
              </w:rPr>
            </w:pPr>
            <w:r>
              <w:rPr>
                <w:sz w:val="20"/>
              </w:rPr>
              <w:t>115</w:t>
            </w:r>
          </w:p>
        </w:tc>
        <w:tc>
          <w:tcPr>
            <w:tcW w:w="992" w:type="dxa"/>
            <w:tcBorders>
              <w:top w:val="single" w:sz="4" w:space="0" w:color="auto"/>
              <w:bottom w:val="single" w:sz="4" w:space="0" w:color="auto"/>
            </w:tcBorders>
          </w:tcPr>
          <w:p w:rsidR="00394886" w:rsidRPr="000B56FB" w:rsidRDefault="00394886" w:rsidP="00841739">
            <w:pPr>
              <w:rPr>
                <w:sz w:val="20"/>
              </w:rPr>
            </w:pPr>
          </w:p>
        </w:tc>
        <w:tc>
          <w:tcPr>
            <w:tcW w:w="992" w:type="dxa"/>
            <w:tcBorders>
              <w:top w:val="nil"/>
              <w:bottom w:val="nil"/>
              <w:right w:val="nil"/>
            </w:tcBorders>
          </w:tcPr>
          <w:p w:rsidR="00394886" w:rsidRPr="000B56FB" w:rsidRDefault="00394886" w:rsidP="00841739">
            <w:pPr>
              <w:rPr>
                <w:sz w:val="20"/>
              </w:rPr>
            </w:pPr>
          </w:p>
        </w:tc>
        <w:tc>
          <w:tcPr>
            <w:tcW w:w="993" w:type="dxa"/>
            <w:tcBorders>
              <w:top w:val="nil"/>
              <w:left w:val="nil"/>
              <w:bottom w:val="nil"/>
              <w:right w:val="nil"/>
            </w:tcBorders>
          </w:tcPr>
          <w:p w:rsidR="00394886" w:rsidRPr="000B56FB" w:rsidRDefault="00394886" w:rsidP="00841739">
            <w:pPr>
              <w:rPr>
                <w:sz w:val="20"/>
              </w:rPr>
            </w:pPr>
          </w:p>
        </w:tc>
        <w:tc>
          <w:tcPr>
            <w:tcW w:w="1275" w:type="dxa"/>
            <w:tcBorders>
              <w:top w:val="nil"/>
              <w:left w:val="nil"/>
              <w:bottom w:val="nil"/>
              <w:right w:val="nil"/>
            </w:tcBorders>
          </w:tcPr>
          <w:p w:rsidR="00394886" w:rsidRPr="000B56FB" w:rsidRDefault="00394886" w:rsidP="00841739">
            <w:pPr>
              <w:rPr>
                <w:sz w:val="20"/>
              </w:rPr>
            </w:pPr>
          </w:p>
        </w:tc>
        <w:tc>
          <w:tcPr>
            <w:tcW w:w="1276" w:type="dxa"/>
            <w:tcBorders>
              <w:top w:val="nil"/>
              <w:left w:val="nil"/>
              <w:bottom w:val="nil"/>
              <w:right w:val="nil"/>
            </w:tcBorders>
          </w:tcPr>
          <w:p w:rsidR="00394886" w:rsidRPr="000B56FB" w:rsidRDefault="00394886" w:rsidP="00841739">
            <w:pPr>
              <w:rPr>
                <w:sz w:val="20"/>
              </w:rPr>
            </w:pPr>
          </w:p>
        </w:tc>
      </w:tr>
      <w:tr w:rsidR="00F6526A" w:rsidRPr="007926A9" w:rsidTr="00D370E2">
        <w:tc>
          <w:tcPr>
            <w:tcW w:w="1242" w:type="dxa"/>
            <w:tcBorders>
              <w:top w:val="single" w:sz="4" w:space="0" w:color="auto"/>
              <w:bottom w:val="single" w:sz="4" w:space="0" w:color="auto"/>
            </w:tcBorders>
          </w:tcPr>
          <w:p w:rsidR="00394886" w:rsidRDefault="00394886" w:rsidP="00B92130">
            <w:pPr>
              <w:rPr>
                <w:sz w:val="20"/>
              </w:rPr>
            </w:pPr>
            <w:r>
              <w:rPr>
                <w:sz w:val="20"/>
              </w:rPr>
              <w:t>Summa</w:t>
            </w:r>
          </w:p>
        </w:tc>
        <w:tc>
          <w:tcPr>
            <w:tcW w:w="1134" w:type="dxa"/>
            <w:tcBorders>
              <w:top w:val="single" w:sz="4" w:space="0" w:color="auto"/>
              <w:bottom w:val="single" w:sz="4" w:space="0" w:color="auto"/>
              <w:right w:val="single" w:sz="4" w:space="0" w:color="auto"/>
            </w:tcBorders>
            <w:shd w:val="clear" w:color="auto" w:fill="D9D9D9" w:themeFill="background1" w:themeFillShade="D9"/>
          </w:tcPr>
          <w:p w:rsidR="00394886" w:rsidRPr="000B56FB" w:rsidRDefault="00394886" w:rsidP="00B92130">
            <w:pPr>
              <w:rPr>
                <w:sz w:val="20"/>
              </w:rPr>
            </w:pPr>
            <w:r>
              <w:rPr>
                <w:sz w:val="20"/>
              </w:rPr>
              <w:t>1250</w:t>
            </w:r>
          </w:p>
        </w:tc>
        <w:tc>
          <w:tcPr>
            <w:tcW w:w="851" w:type="dxa"/>
            <w:tcBorders>
              <w:top w:val="single" w:sz="4" w:space="0" w:color="auto"/>
              <w:left w:val="single" w:sz="4" w:space="0" w:color="auto"/>
              <w:bottom w:val="single" w:sz="4" w:space="0" w:color="auto"/>
              <w:right w:val="single" w:sz="4" w:space="0" w:color="auto"/>
            </w:tcBorders>
          </w:tcPr>
          <w:p w:rsidR="00394886" w:rsidRPr="000B56FB" w:rsidRDefault="00FF65C2" w:rsidP="00B92130">
            <w:pPr>
              <w:rPr>
                <w:sz w:val="20"/>
              </w:rPr>
            </w:pPr>
            <w:r>
              <w:rPr>
                <w:sz w:val="20"/>
              </w:rPr>
              <w:t>75</w:t>
            </w:r>
            <w:r w:rsidR="00394886">
              <w:rPr>
                <w:sz w:val="20"/>
              </w:rPr>
              <w:t>0</w:t>
            </w:r>
          </w:p>
        </w:tc>
        <w:tc>
          <w:tcPr>
            <w:tcW w:w="992" w:type="dxa"/>
            <w:tcBorders>
              <w:top w:val="single" w:sz="4" w:space="0" w:color="auto"/>
              <w:left w:val="single" w:sz="4" w:space="0" w:color="auto"/>
              <w:bottom w:val="single" w:sz="4" w:space="0" w:color="auto"/>
              <w:right w:val="single" w:sz="4" w:space="0" w:color="auto"/>
            </w:tcBorders>
          </w:tcPr>
          <w:p w:rsidR="00394886" w:rsidRPr="000B56FB" w:rsidRDefault="00394886" w:rsidP="00B92130">
            <w:pPr>
              <w:rPr>
                <w:sz w:val="20"/>
              </w:rPr>
            </w:pPr>
            <w:r>
              <w:rPr>
                <w:sz w:val="20"/>
              </w:rPr>
              <w:t>500</w:t>
            </w:r>
          </w:p>
        </w:tc>
        <w:tc>
          <w:tcPr>
            <w:tcW w:w="992" w:type="dxa"/>
            <w:tcBorders>
              <w:top w:val="nil"/>
              <w:left w:val="single" w:sz="4" w:space="0" w:color="auto"/>
              <w:bottom w:val="nil"/>
              <w:right w:val="nil"/>
            </w:tcBorders>
          </w:tcPr>
          <w:p w:rsidR="00394886" w:rsidRDefault="00394886" w:rsidP="00B92130">
            <w:pPr>
              <w:rPr>
                <w:sz w:val="20"/>
              </w:rPr>
            </w:pPr>
          </w:p>
        </w:tc>
        <w:tc>
          <w:tcPr>
            <w:tcW w:w="993" w:type="dxa"/>
            <w:tcBorders>
              <w:top w:val="nil"/>
              <w:left w:val="nil"/>
              <w:bottom w:val="nil"/>
              <w:right w:val="nil"/>
            </w:tcBorders>
          </w:tcPr>
          <w:p w:rsidR="00394886" w:rsidRPr="000B56FB" w:rsidRDefault="00394886" w:rsidP="00B92130">
            <w:pPr>
              <w:rPr>
                <w:sz w:val="20"/>
              </w:rPr>
            </w:pPr>
          </w:p>
        </w:tc>
        <w:tc>
          <w:tcPr>
            <w:tcW w:w="1275" w:type="dxa"/>
            <w:tcBorders>
              <w:top w:val="nil"/>
              <w:left w:val="nil"/>
              <w:bottom w:val="nil"/>
              <w:right w:val="nil"/>
            </w:tcBorders>
          </w:tcPr>
          <w:p w:rsidR="00394886" w:rsidRPr="000B56FB" w:rsidRDefault="00394886" w:rsidP="00B92130">
            <w:pPr>
              <w:rPr>
                <w:sz w:val="20"/>
              </w:rPr>
            </w:pPr>
          </w:p>
        </w:tc>
        <w:tc>
          <w:tcPr>
            <w:tcW w:w="1276" w:type="dxa"/>
            <w:tcBorders>
              <w:top w:val="nil"/>
              <w:left w:val="nil"/>
              <w:bottom w:val="nil"/>
              <w:right w:val="nil"/>
            </w:tcBorders>
          </w:tcPr>
          <w:p w:rsidR="00394886" w:rsidRPr="000B56FB" w:rsidRDefault="00394886" w:rsidP="00B92130">
            <w:pPr>
              <w:rPr>
                <w:sz w:val="20"/>
              </w:rPr>
            </w:pPr>
          </w:p>
        </w:tc>
      </w:tr>
      <w:tr w:rsidR="006A5AAE" w:rsidRPr="007926A9" w:rsidTr="00D370E2">
        <w:tc>
          <w:tcPr>
            <w:tcW w:w="1242" w:type="dxa"/>
            <w:tcBorders>
              <w:top w:val="single" w:sz="4" w:space="0" w:color="auto"/>
              <w:left w:val="nil"/>
              <w:bottom w:val="nil"/>
              <w:right w:val="nil"/>
            </w:tcBorders>
          </w:tcPr>
          <w:p w:rsidR="006A5AAE" w:rsidRDefault="006A5AAE" w:rsidP="00B92130">
            <w:pPr>
              <w:rPr>
                <w:sz w:val="20"/>
              </w:rPr>
            </w:pPr>
          </w:p>
        </w:tc>
        <w:tc>
          <w:tcPr>
            <w:tcW w:w="1134" w:type="dxa"/>
            <w:tcBorders>
              <w:top w:val="single" w:sz="4" w:space="0" w:color="auto"/>
              <w:left w:val="nil"/>
              <w:bottom w:val="nil"/>
              <w:right w:val="single" w:sz="4" w:space="0" w:color="auto"/>
            </w:tcBorders>
          </w:tcPr>
          <w:p w:rsidR="006A5AAE" w:rsidRDefault="006A5AAE" w:rsidP="00B92130">
            <w:pPr>
              <w:rPr>
                <w:sz w:val="20"/>
              </w:rPr>
            </w:pPr>
          </w:p>
        </w:tc>
        <w:tc>
          <w:tcPr>
            <w:tcW w:w="851" w:type="dxa"/>
            <w:tcBorders>
              <w:top w:val="single" w:sz="4" w:space="0" w:color="auto"/>
              <w:left w:val="single" w:sz="4" w:space="0" w:color="auto"/>
              <w:bottom w:val="single" w:sz="4" w:space="0" w:color="auto"/>
              <w:right w:val="single" w:sz="4" w:space="0" w:color="auto"/>
            </w:tcBorders>
          </w:tcPr>
          <w:p w:rsidR="006A5AAE" w:rsidRDefault="006A5AAE" w:rsidP="006E1BEE">
            <w:pPr>
              <w:rPr>
                <w:sz w:val="20"/>
              </w:rPr>
            </w:pPr>
            <w:r>
              <w:rPr>
                <w:sz w:val="20"/>
              </w:rPr>
              <w:t>TOT</w:t>
            </w:r>
          </w:p>
        </w:tc>
        <w:tc>
          <w:tcPr>
            <w:tcW w:w="992" w:type="dxa"/>
            <w:tcBorders>
              <w:top w:val="single" w:sz="4" w:space="0" w:color="auto"/>
              <w:left w:val="single" w:sz="4" w:space="0" w:color="auto"/>
              <w:bottom w:val="single" w:sz="4" w:space="0" w:color="auto"/>
              <w:right w:val="single" w:sz="4" w:space="0" w:color="auto"/>
            </w:tcBorders>
          </w:tcPr>
          <w:p w:rsidR="006A5AAE" w:rsidRDefault="006A5AAE" w:rsidP="006E1BEE">
            <w:pPr>
              <w:rPr>
                <w:sz w:val="20"/>
              </w:rPr>
            </w:pPr>
            <w:r>
              <w:rPr>
                <w:sz w:val="20"/>
              </w:rPr>
              <w:t>1250</w:t>
            </w:r>
          </w:p>
        </w:tc>
        <w:tc>
          <w:tcPr>
            <w:tcW w:w="992" w:type="dxa"/>
            <w:tcBorders>
              <w:top w:val="nil"/>
              <w:left w:val="single" w:sz="4" w:space="0" w:color="auto"/>
              <w:bottom w:val="nil"/>
              <w:right w:val="nil"/>
            </w:tcBorders>
          </w:tcPr>
          <w:p w:rsidR="006A5AAE" w:rsidRDefault="006A5AAE" w:rsidP="00B92130">
            <w:pPr>
              <w:rPr>
                <w:sz w:val="20"/>
              </w:rPr>
            </w:pPr>
          </w:p>
        </w:tc>
        <w:tc>
          <w:tcPr>
            <w:tcW w:w="993" w:type="dxa"/>
            <w:tcBorders>
              <w:top w:val="nil"/>
              <w:left w:val="nil"/>
              <w:bottom w:val="nil"/>
              <w:right w:val="nil"/>
            </w:tcBorders>
          </w:tcPr>
          <w:p w:rsidR="006A5AAE" w:rsidRDefault="006A5AAE" w:rsidP="00B92130">
            <w:pPr>
              <w:rPr>
                <w:sz w:val="20"/>
              </w:rPr>
            </w:pPr>
          </w:p>
        </w:tc>
        <w:tc>
          <w:tcPr>
            <w:tcW w:w="1275" w:type="dxa"/>
            <w:tcBorders>
              <w:top w:val="nil"/>
              <w:left w:val="nil"/>
              <w:bottom w:val="nil"/>
              <w:right w:val="nil"/>
            </w:tcBorders>
          </w:tcPr>
          <w:p w:rsidR="006A5AAE" w:rsidRPr="000B56FB" w:rsidRDefault="006A5AAE" w:rsidP="00B92130">
            <w:pPr>
              <w:rPr>
                <w:sz w:val="20"/>
              </w:rPr>
            </w:pPr>
          </w:p>
        </w:tc>
        <w:tc>
          <w:tcPr>
            <w:tcW w:w="1276" w:type="dxa"/>
            <w:tcBorders>
              <w:top w:val="nil"/>
              <w:left w:val="nil"/>
              <w:bottom w:val="nil"/>
              <w:right w:val="nil"/>
            </w:tcBorders>
          </w:tcPr>
          <w:p w:rsidR="006A5AAE" w:rsidRPr="000B56FB" w:rsidRDefault="006A5AAE" w:rsidP="00B92130">
            <w:pPr>
              <w:rPr>
                <w:sz w:val="20"/>
              </w:rPr>
            </w:pPr>
          </w:p>
        </w:tc>
      </w:tr>
    </w:tbl>
    <w:bookmarkEnd w:id="1"/>
    <w:p w:rsidR="000B56FB" w:rsidRPr="000B56FB" w:rsidRDefault="000B56FB" w:rsidP="000B56FB">
      <w:pPr>
        <w:pStyle w:val="Brdtext"/>
        <w:rPr>
          <w:sz w:val="20"/>
        </w:rPr>
      </w:pPr>
      <w:r w:rsidRPr="000B56FB">
        <w:rPr>
          <w:sz w:val="20"/>
        </w:rPr>
        <w:t>Tabell. Exempel på projekt där två konsultbolag samarbetar. Det större, konsult A, erhåller 50 % offentlig finansiering, gränsen för tillämpad forskning. Konsult B uppfyller villkoren för små företag och kan därför ha en upp till 20 % större andel offentlig finansiering än A.</w:t>
      </w:r>
      <w:r w:rsidR="00F6526A">
        <w:rPr>
          <w:sz w:val="20"/>
        </w:rPr>
        <w:t xml:space="preserve"> Alla finansiärer tas med i tabellen, och deras kontanta medel fördelas i den övre delen av tabellen på konsulterna.</w:t>
      </w:r>
      <w:r w:rsidR="00D370E2">
        <w:rPr>
          <w:sz w:val="20"/>
        </w:rPr>
        <w:t xml:space="preserve"> </w:t>
      </w:r>
      <w:r w:rsidR="00D370E2">
        <w:rPr>
          <w:sz w:val="20"/>
        </w:rPr>
        <w:lastRenderedPageBreak/>
        <w:t xml:space="preserve">Andelen kontant finansiering för </w:t>
      </w:r>
      <w:r w:rsidR="00E56686">
        <w:rPr>
          <w:sz w:val="20"/>
        </w:rPr>
        <w:t xml:space="preserve">varje </w:t>
      </w:r>
      <w:r w:rsidR="00D370E2">
        <w:rPr>
          <w:sz w:val="20"/>
        </w:rPr>
        <w:t>företag kan utläsas som skillnaden mellan eget bidrag och stödgrundande projektkostnader.</w:t>
      </w:r>
    </w:p>
    <w:p w:rsidR="000B56FB" w:rsidRDefault="000B56FB" w:rsidP="000B56FB">
      <w:pPr>
        <w:pStyle w:val="Brdtext"/>
      </w:pPr>
    </w:p>
    <w:p w:rsidR="000B56FB" w:rsidRDefault="00CA122F" w:rsidP="000B56FB">
      <w:pPr>
        <w:pStyle w:val="Brdtext"/>
      </w:pPr>
      <w:r>
        <w:t>Högsta</w:t>
      </w:r>
      <w:r w:rsidR="000B56FB">
        <w:t xml:space="preserve"> tillåten offentlig stödnivå per aktör beror i huvudsak på vilken typ av arbete som avses, som sammanfattas härnedan: </w:t>
      </w:r>
    </w:p>
    <w:p w:rsidR="000B56FB" w:rsidRDefault="000B56FB" w:rsidP="000B56FB">
      <w:pPr>
        <w:pStyle w:val="Brdtext"/>
      </w:pPr>
    </w:p>
    <w:p w:rsidR="000B56FB" w:rsidRPr="000B56FB" w:rsidRDefault="000B56FB" w:rsidP="000B56FB">
      <w:pPr>
        <w:pStyle w:val="Liststycke"/>
        <w:numPr>
          <w:ilvl w:val="0"/>
          <w:numId w:val="10"/>
        </w:numPr>
        <w:spacing w:after="120"/>
        <w:ind w:left="714" w:hanging="357"/>
        <w:contextualSpacing w:val="0"/>
        <w:jc w:val="both"/>
        <w:rPr>
          <w:rFonts w:cs="Arial"/>
          <w:szCs w:val="24"/>
        </w:rPr>
      </w:pPr>
      <w:r w:rsidRPr="000B56FB">
        <w:rPr>
          <w:rFonts w:cs="Arial"/>
          <w:szCs w:val="24"/>
          <w:shd w:val="clear" w:color="auto" w:fill="FFFFFF"/>
        </w:rPr>
        <w:t>Offentliga finansieringsgraden till forskningsorganisationer får motsvara hela kostnaden för projektet (100 %).</w:t>
      </w:r>
    </w:p>
    <w:p w:rsidR="000B56FB" w:rsidRDefault="000B56FB" w:rsidP="000B56FB">
      <w:pPr>
        <w:pStyle w:val="Liststycke"/>
        <w:numPr>
          <w:ilvl w:val="0"/>
          <w:numId w:val="10"/>
        </w:numPr>
        <w:spacing w:after="120"/>
        <w:ind w:left="714" w:hanging="357"/>
        <w:contextualSpacing w:val="0"/>
        <w:jc w:val="both"/>
        <w:rPr>
          <w:rFonts w:cs="Arial"/>
          <w:szCs w:val="24"/>
        </w:rPr>
      </w:pPr>
      <w:r w:rsidRPr="000B56FB">
        <w:rPr>
          <w:rFonts w:cs="Arial"/>
          <w:szCs w:val="24"/>
        </w:rPr>
        <w:t xml:space="preserve">För tillämpad forskning får den offentliga finansieringen uppgå till </w:t>
      </w:r>
      <w:r w:rsidR="00CA122F">
        <w:rPr>
          <w:rFonts w:cs="Arial"/>
          <w:szCs w:val="24"/>
        </w:rPr>
        <w:t>högst</w:t>
      </w:r>
      <w:r w:rsidR="00093280">
        <w:rPr>
          <w:rFonts w:cs="Arial"/>
          <w:szCs w:val="24"/>
        </w:rPr>
        <w:t xml:space="preserve"> 50 %.</w:t>
      </w:r>
    </w:p>
    <w:p w:rsidR="007371AA" w:rsidRPr="00726341" w:rsidRDefault="007371AA" w:rsidP="007371AA">
      <w:pPr>
        <w:pStyle w:val="Liststycke"/>
        <w:numPr>
          <w:ilvl w:val="0"/>
          <w:numId w:val="10"/>
        </w:numPr>
        <w:spacing w:after="120"/>
        <w:ind w:left="714" w:hanging="357"/>
        <w:contextualSpacing w:val="0"/>
        <w:jc w:val="both"/>
        <w:rPr>
          <w:rFonts w:cs="Arial"/>
          <w:szCs w:val="24"/>
          <w:shd w:val="clear" w:color="auto" w:fill="FFFFFF"/>
        </w:rPr>
      </w:pPr>
      <w:r w:rsidRPr="00726341">
        <w:rPr>
          <w:rFonts w:cs="Arial"/>
          <w:szCs w:val="24"/>
        </w:rPr>
        <w:t xml:space="preserve">För experimentell utveckling får det offentliga stödet uppgå till 25 %. </w:t>
      </w:r>
    </w:p>
    <w:p w:rsidR="000B56FB" w:rsidRPr="00726341" w:rsidRDefault="000B56FB" w:rsidP="009C5B98">
      <w:pPr>
        <w:pStyle w:val="Liststycke"/>
        <w:numPr>
          <w:ilvl w:val="0"/>
          <w:numId w:val="10"/>
        </w:numPr>
        <w:spacing w:after="120"/>
        <w:ind w:left="714" w:hanging="357"/>
        <w:contextualSpacing w:val="0"/>
        <w:jc w:val="both"/>
        <w:rPr>
          <w:rFonts w:cs="Arial"/>
          <w:szCs w:val="24"/>
          <w:shd w:val="clear" w:color="auto" w:fill="FFFFFF"/>
        </w:rPr>
      </w:pPr>
      <w:r w:rsidRPr="00726341">
        <w:rPr>
          <w:rFonts w:cs="Arial"/>
          <w:szCs w:val="24"/>
          <w:shd w:val="clear" w:color="auto" w:fill="FFFFFF"/>
        </w:rPr>
        <w:t xml:space="preserve">Stödnivåerna får höjas med 20 respektive 10 procentenheter om stödet lämnas till små respektive medelstora företag. </w:t>
      </w:r>
    </w:p>
    <w:p w:rsidR="000B56FB" w:rsidRPr="000B56FB" w:rsidRDefault="000B56FB" w:rsidP="000B56FB">
      <w:pPr>
        <w:pStyle w:val="Liststycke"/>
        <w:numPr>
          <w:ilvl w:val="0"/>
          <w:numId w:val="10"/>
        </w:numPr>
        <w:spacing w:after="120"/>
        <w:ind w:left="714" w:hanging="357"/>
        <w:contextualSpacing w:val="0"/>
        <w:jc w:val="both"/>
        <w:rPr>
          <w:rFonts w:cs="Arial"/>
          <w:szCs w:val="24"/>
        </w:rPr>
      </w:pPr>
      <w:r w:rsidRPr="000B56FB">
        <w:rPr>
          <w:rFonts w:cs="Arial"/>
          <w:szCs w:val="24"/>
        </w:rPr>
        <w:t xml:space="preserve">Den </w:t>
      </w:r>
      <w:r w:rsidR="00CA122F">
        <w:rPr>
          <w:rFonts w:cs="Arial"/>
          <w:szCs w:val="24"/>
        </w:rPr>
        <w:t>högst</w:t>
      </w:r>
      <w:r w:rsidRPr="000B56FB">
        <w:rPr>
          <w:rFonts w:cs="Arial"/>
          <w:szCs w:val="24"/>
        </w:rPr>
        <w:t xml:space="preserve">a offentliga finansieringsnivån kan ökas med 15 % för tillämpad forskning om ett projekt inkluderar en vetenskaplig publikation. </w:t>
      </w:r>
    </w:p>
    <w:p w:rsidR="000B56FB" w:rsidRPr="000B56FB" w:rsidRDefault="000B56FB" w:rsidP="000B56FB">
      <w:pPr>
        <w:pStyle w:val="Liststycke"/>
        <w:numPr>
          <w:ilvl w:val="0"/>
          <w:numId w:val="10"/>
        </w:numPr>
        <w:spacing w:after="120"/>
        <w:ind w:left="714" w:hanging="357"/>
        <w:contextualSpacing w:val="0"/>
        <w:jc w:val="both"/>
        <w:rPr>
          <w:rFonts w:cs="Arial"/>
          <w:szCs w:val="24"/>
          <w:shd w:val="clear" w:color="auto" w:fill="FFFFFF"/>
        </w:rPr>
      </w:pPr>
      <w:r w:rsidRPr="000B56FB">
        <w:rPr>
          <w:rFonts w:cs="Arial"/>
          <w:szCs w:val="24"/>
          <w:shd w:val="clear" w:color="auto" w:fill="FFFFFF"/>
        </w:rPr>
        <w:t>Offentligt stöd ges in</w:t>
      </w:r>
      <w:r>
        <w:rPr>
          <w:rFonts w:cs="Arial"/>
          <w:szCs w:val="24"/>
          <w:shd w:val="clear" w:color="auto" w:fill="FFFFFF"/>
        </w:rPr>
        <w:t>te till ren produktutveckling.</w:t>
      </w:r>
    </w:p>
    <w:p w:rsidR="000B56FB" w:rsidRDefault="000B56FB" w:rsidP="000B56FB">
      <w:pPr>
        <w:pStyle w:val="Brdtext"/>
        <w:spacing w:after="120"/>
        <w:ind w:right="284"/>
      </w:pPr>
      <w:r>
        <w:t xml:space="preserve">För projektutförare som inte är forskningsorganisationer så avgörs den högsta </w:t>
      </w:r>
      <w:r w:rsidR="00FE5E64">
        <w:t>tillåtna</w:t>
      </w:r>
      <w:r>
        <w:t xml:space="preserve"> andelen offentlig finansiering av hur många av kriterierna ovan som kan uppfyllas. Högst tillåten nivå är dock 80 %. Notera också att olika delar inom ett och samma projekt kan klassas olika, t.ex. 70 % av projektet klassas som tillämpad forskning och 30 % som experimentell utveckling. Om så är fallet måste fördelningen mellan de olika projekttyperna anges för varje aktör ovan. Detta avgör den högsta tillåtna andelen offentlig finansiering. Det är Energimyndigheten som avgör hur olika delar av</w:t>
      </w:r>
      <w:r w:rsidR="006E75C3">
        <w:t xml:space="preserve"> projektet</w:t>
      </w:r>
      <w:r>
        <w:t xml:space="preserve"> ska klassas.</w:t>
      </w:r>
    </w:p>
    <w:p w:rsidR="000B56FB" w:rsidRDefault="000B56FB" w:rsidP="000B56FB">
      <w:pPr>
        <w:pStyle w:val="Brdtext"/>
        <w:numPr>
          <w:ilvl w:val="0"/>
          <w:numId w:val="11"/>
        </w:numPr>
        <w:spacing w:after="120"/>
        <w:ind w:left="714" w:right="284" w:hanging="357"/>
      </w:pPr>
      <w:r>
        <w:t xml:space="preserve">Man har möjlighet att söka enskilt stöd till en s.k. teknisk förstudie som förbereder för kommande projekt inom tillämpad forskning eller experimentell utveckling, för vilken den offentliga finansieringsgraden får uppgå till 65 respektive 40 %. Om stödet lämnas till små eller medelstora företag får stödnivåerna höjas till 75 respektive 50 %. Denna typ av projekt går </w:t>
      </w:r>
      <w:proofErr w:type="gramStart"/>
      <w:r>
        <w:t>ej</w:t>
      </w:r>
      <w:proofErr w:type="gramEnd"/>
      <w:r>
        <w:t xml:space="preserve"> att kombinera med andra kriterier.</w:t>
      </w:r>
    </w:p>
    <w:p w:rsidR="000B56FB" w:rsidRDefault="000B56FB" w:rsidP="000B56FB">
      <w:pPr>
        <w:pStyle w:val="Rubrik2"/>
      </w:pPr>
      <w:r>
        <w:t xml:space="preserve">Definition grundforskning: </w:t>
      </w:r>
    </w:p>
    <w:p w:rsidR="000B56FB" w:rsidRDefault="000B56FB" w:rsidP="000B56FB">
      <w:pPr>
        <w:pStyle w:val="Brdtext"/>
        <w:spacing w:after="120"/>
        <w:ind w:right="284"/>
      </w:pPr>
      <w:r>
        <w:t xml:space="preserve">Forskning som syftar till att förvärva ny kunskap om de grundläggande orsakerna till fenomen och iakttagbara fakta och som inte enbart är knuten till industriella eller affärsmässiga mål. </w:t>
      </w:r>
    </w:p>
    <w:p w:rsidR="000B56FB" w:rsidRDefault="000B56FB" w:rsidP="000B56FB">
      <w:pPr>
        <w:pStyle w:val="Rubrik2"/>
      </w:pPr>
      <w:r>
        <w:t xml:space="preserve">Definition tillämpad forskning: </w:t>
      </w:r>
    </w:p>
    <w:p w:rsidR="000B56FB" w:rsidRDefault="000B56FB" w:rsidP="000B56FB">
      <w:pPr>
        <w:pStyle w:val="Brdtext"/>
        <w:spacing w:after="120"/>
        <w:ind w:right="284"/>
      </w:pPr>
      <w:r>
        <w:t>Forskning som syftar till att utveckla ny kunskap, som ska kunna användas för att utveckla nya produkter, processer, även organisationsprocesser, eller nya tjänster, eller för att markant förbättra befintliga produkter, processer eller tjänster.</w:t>
      </w:r>
    </w:p>
    <w:p w:rsidR="000B56FB" w:rsidRDefault="000B56FB" w:rsidP="000B56FB">
      <w:pPr>
        <w:pStyle w:val="Rubrik2"/>
      </w:pPr>
      <w:r>
        <w:lastRenderedPageBreak/>
        <w:t>Definition experimentell utveckling:</w:t>
      </w:r>
    </w:p>
    <w:p w:rsidR="000B56FB" w:rsidRDefault="000B56FB" w:rsidP="000B56FB">
      <w:pPr>
        <w:pStyle w:val="Brdtext"/>
        <w:spacing w:after="120"/>
        <w:ind w:right="284"/>
      </w:pPr>
      <w:r>
        <w:t>Att förvärva, kombinera, forma och använda befintlig vetenskaplig, teknisk, näringslivsmässig eller annan relevant kunskap i syfte att utarbeta planer, arrangemang eller design för nya, ändrade eller förbättrade produkter, processer eller tjänster; utveckling av kommersiellt användbara prototyper och pilotprojekt; försöksproduktion och tester av produkter, processer och tjänster, under förutsättning att dessa inte kan användas eller ändras för att användas i industriella tillämpningar eller i kommersiellt syfte.</w:t>
      </w:r>
    </w:p>
    <w:p w:rsidR="000B56FB" w:rsidRDefault="000B56FB" w:rsidP="000B56FB">
      <w:pPr>
        <w:pStyle w:val="Rubrik2"/>
      </w:pPr>
      <w:r>
        <w:t xml:space="preserve">Definition teknisk förstudie: </w:t>
      </w:r>
    </w:p>
    <w:p w:rsidR="000B56FB" w:rsidRDefault="000B56FB" w:rsidP="000B56FB">
      <w:pPr>
        <w:pStyle w:val="Brdtext"/>
        <w:spacing w:after="120"/>
        <w:ind w:right="284"/>
      </w:pPr>
      <w:r>
        <w:t xml:space="preserve">Studie som syftar till att ge ett beslutsunderlag för att påbörja ett </w:t>
      </w:r>
      <w:proofErr w:type="gramStart"/>
      <w:r>
        <w:t>forsknings- /utvecklingsprojekt</w:t>
      </w:r>
      <w:proofErr w:type="gramEnd"/>
      <w:r>
        <w:t xml:space="preserve"> inom ett definierat område. Den tekniska förstudien bör avse ett relativt nytt område och ska bedrivas som ett avgränsat projekt. Resultatet av förstudien publiceras i en offentlig slutrapport och ska inte ha formen av en ansökan inom området, men kan ge </w:t>
      </w:r>
      <w:r w:rsidR="007371AA">
        <w:t>bakgrundsmaterial för en sådan.</w:t>
      </w:r>
    </w:p>
    <w:p w:rsidR="007371AA" w:rsidRDefault="007371AA" w:rsidP="007371AA">
      <w:pPr>
        <w:pStyle w:val="Rubrik2"/>
      </w:pPr>
      <w:r>
        <w:t>Med medelstora företag avses</w:t>
      </w:r>
    </w:p>
    <w:p w:rsidR="007371AA" w:rsidRDefault="007371AA" w:rsidP="007371AA">
      <w:pPr>
        <w:pStyle w:val="Brdtext"/>
        <w:spacing w:after="120"/>
        <w:ind w:right="284"/>
      </w:pPr>
      <w:r>
        <w:t>fristående företag och företag som tillsammans med partnerföretag eller anknutna företag</w:t>
      </w:r>
    </w:p>
    <w:p w:rsidR="007371AA" w:rsidRDefault="007371AA" w:rsidP="007371AA">
      <w:pPr>
        <w:pStyle w:val="Brdtext"/>
        <w:numPr>
          <w:ilvl w:val="0"/>
          <w:numId w:val="12"/>
        </w:numPr>
        <w:ind w:right="284"/>
      </w:pPr>
      <w:r>
        <w:t>har färre än 250 anställda, och</w:t>
      </w:r>
    </w:p>
    <w:p w:rsidR="007371AA" w:rsidRDefault="007371AA" w:rsidP="007371AA">
      <w:pPr>
        <w:pStyle w:val="Brdtext"/>
        <w:numPr>
          <w:ilvl w:val="0"/>
          <w:numId w:val="12"/>
        </w:numPr>
        <w:ind w:right="284"/>
      </w:pPr>
      <w:r>
        <w:t>antingen har en årsomsättning som motsvarar högst 50 miljoner euro eller en balansomslutning som motsvarar högst 43 miljoner euro per år.</w:t>
      </w:r>
    </w:p>
    <w:p w:rsidR="007371AA" w:rsidRDefault="007371AA" w:rsidP="007371AA">
      <w:pPr>
        <w:pStyle w:val="Rubrik2"/>
      </w:pPr>
      <w:r>
        <w:t>Med små företag avses</w:t>
      </w:r>
    </w:p>
    <w:p w:rsidR="007371AA" w:rsidRDefault="007371AA" w:rsidP="007371AA">
      <w:pPr>
        <w:pStyle w:val="Brdtext"/>
        <w:spacing w:after="120"/>
        <w:ind w:right="284"/>
      </w:pPr>
      <w:r>
        <w:t>fristående företag och företag som tillsammans med partnerföretag eller anknutna företag</w:t>
      </w:r>
    </w:p>
    <w:p w:rsidR="007371AA" w:rsidRDefault="007371AA" w:rsidP="007371AA">
      <w:pPr>
        <w:pStyle w:val="Brdtext"/>
        <w:numPr>
          <w:ilvl w:val="0"/>
          <w:numId w:val="13"/>
        </w:numPr>
        <w:ind w:right="284"/>
      </w:pPr>
      <w:r>
        <w:t>har färre än 50 anställda, och</w:t>
      </w:r>
    </w:p>
    <w:p w:rsidR="007371AA" w:rsidRDefault="007371AA" w:rsidP="007371AA">
      <w:pPr>
        <w:pStyle w:val="Brdtext"/>
        <w:numPr>
          <w:ilvl w:val="0"/>
          <w:numId w:val="13"/>
        </w:numPr>
        <w:ind w:right="284"/>
      </w:pPr>
      <w:r>
        <w:t>antingen har en omsättning eller en balansomslutning som motsvarar högst 10 miljoner euro per år.</w:t>
      </w:r>
    </w:p>
    <w:p w:rsidR="000B56FB" w:rsidRDefault="000B56FB" w:rsidP="000B56FB">
      <w:pPr>
        <w:pStyle w:val="Rubrik2"/>
      </w:pPr>
      <w:r>
        <w:t xml:space="preserve">Definition forskningsorganisationer: </w:t>
      </w:r>
    </w:p>
    <w:p w:rsidR="00E56686" w:rsidRDefault="00CA122F" w:rsidP="000B56FB">
      <w:pPr>
        <w:pStyle w:val="Brdtext"/>
        <w:spacing w:after="120"/>
        <w:ind w:right="284"/>
      </w:pPr>
      <w:r w:rsidRPr="00CA122F">
        <w:t xml:space="preserve">universitet, högskola eller forskningsinstitut, oavsett rättslig status, vars främsta syfte är att bedriva grundforskning, </w:t>
      </w:r>
      <w:r w:rsidR="00742BFF" w:rsidRPr="00CA122F">
        <w:t>tillämpad</w:t>
      </w:r>
      <w:r w:rsidRPr="00CA122F">
        <w:t xml:space="preserve"> forskning eller experimentell utveckling</w:t>
      </w:r>
      <w:r>
        <w:t xml:space="preserve">. </w:t>
      </w:r>
    </w:p>
    <w:p w:rsidR="00DA3933" w:rsidRPr="00DA3933" w:rsidRDefault="000B56FB" w:rsidP="00CA122F">
      <w:r>
        <w:t>Läs mer i förordningen SFS 2008:761</w:t>
      </w:r>
      <w:r>
        <w:rPr>
          <w:rStyle w:val="Fotnotsreferens"/>
        </w:rPr>
        <w:footnoteReference w:id="2"/>
      </w:r>
      <w:r w:rsidR="008C693C">
        <w:t>.</w:t>
      </w:r>
    </w:p>
    <w:sectPr w:rsidR="00DA3933" w:rsidRPr="00DA3933" w:rsidSect="00DC31FB">
      <w:headerReference w:type="default" r:id="rId7"/>
      <w:footerReference w:type="default" r:id="rId8"/>
      <w:headerReference w:type="first" r:id="rId9"/>
      <w:footerReference w:type="first" r:id="rId10"/>
      <w:pgSz w:w="11906" w:h="16838" w:code="9"/>
      <w:pgMar w:top="1701" w:right="1418" w:bottom="1701" w:left="1701"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64" w:rsidRDefault="00C27064">
      <w:r>
        <w:separator/>
      </w:r>
    </w:p>
  </w:endnote>
  <w:endnote w:type="continuationSeparator" w:id="0">
    <w:p w:rsidR="00C27064" w:rsidRDefault="00C2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CE" w:rsidRPr="00E66BEC" w:rsidRDefault="00DA3933">
    <w:pPr>
      <w:pStyle w:val="Sidfot"/>
      <w:tabs>
        <w:tab w:val="clear" w:pos="4536"/>
      </w:tabs>
    </w:pPr>
    <w:r>
      <w:rPr>
        <w:noProof/>
      </w:rPr>
      <w:drawing>
        <wp:anchor distT="0" distB="0" distL="114300" distR="114300" simplePos="0" relativeHeight="251660800" behindDoc="0" locked="0" layoutInCell="1" allowOverlap="1" wp14:anchorId="62FBA6A2" wp14:editId="6B346E50">
          <wp:simplePos x="0" y="0"/>
          <wp:positionH relativeFrom="column">
            <wp:posOffset>5968365</wp:posOffset>
          </wp:positionH>
          <wp:positionV relativeFrom="paragraph">
            <wp:posOffset>-413385</wp:posOffset>
          </wp:positionV>
          <wp:extent cx="259080" cy="629920"/>
          <wp:effectExtent l="0" t="0" r="762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ågan ensam 2-fär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 cy="629920"/>
                  </a:xfrm>
                  <a:prstGeom prst="rect">
                    <a:avLst/>
                  </a:prstGeom>
                </pic:spPr>
              </pic:pic>
            </a:graphicData>
          </a:graphic>
          <wp14:sizeRelH relativeFrom="margin">
            <wp14:pctWidth>0</wp14:pctWidth>
          </wp14:sizeRelH>
          <wp14:sizeRelV relativeFrom="margin">
            <wp14:pctHeight>0</wp14:pctHeight>
          </wp14:sizeRelV>
        </wp:anchor>
      </w:drawing>
    </w:r>
    <w:r w:rsidR="001434CE">
      <w:fldChar w:fldCharType="begin"/>
    </w:r>
    <w:r w:rsidR="001434CE" w:rsidRPr="00E66BEC">
      <w:instrText xml:space="preserve"> FILENAME \p  \* MERGEFORMAT </w:instrText>
    </w:r>
    <w:r w:rsidR="001434CE">
      <w:fldChar w:fldCharType="separate"/>
    </w:r>
    <w:r w:rsidR="00145983">
      <w:rPr>
        <w:noProof/>
      </w:rPr>
      <w:t>G:\4 Projekt\41 Samverkansprogram Energigasteknik\2013-2017\Komplettering_budgetredovisning_Samverkansprogram20141009.docx</w:t>
    </w:r>
    <w:r w:rsidR="001434C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90" w:rsidRDefault="00C40D90"/>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tblCellMar>
      <w:tblLook w:val="04A0" w:firstRow="1" w:lastRow="0" w:firstColumn="1" w:lastColumn="0" w:noHBand="0" w:noVBand="1"/>
    </w:tblPr>
    <w:tblGrid>
      <w:gridCol w:w="2927"/>
      <w:gridCol w:w="2926"/>
      <w:gridCol w:w="2934"/>
    </w:tblGrid>
    <w:tr w:rsidR="00C44FE0" w:rsidRPr="00C44FE0" w:rsidTr="00DA3933">
      <w:tc>
        <w:tcPr>
          <w:tcW w:w="2975" w:type="dxa"/>
          <w:tcBorders>
            <w:top w:val="single" w:sz="4" w:space="0" w:color="auto"/>
          </w:tcBorders>
        </w:tcPr>
        <w:p w:rsidR="00C44FE0" w:rsidRPr="00DA3933" w:rsidRDefault="00C44FE0" w:rsidP="00C44FE0">
          <w:pPr>
            <w:rPr>
              <w:i/>
              <w:sz w:val="16"/>
              <w:szCs w:val="16"/>
            </w:rPr>
          </w:pPr>
          <w:r w:rsidRPr="00DA3933">
            <w:rPr>
              <w:i/>
              <w:sz w:val="16"/>
              <w:szCs w:val="16"/>
            </w:rPr>
            <w:t>Postadress och Besöksadress</w:t>
          </w:r>
        </w:p>
        <w:p w:rsidR="00C44FE0" w:rsidRPr="00C44FE0" w:rsidRDefault="00C44FE0" w:rsidP="00C44FE0">
          <w:pPr>
            <w:rPr>
              <w:sz w:val="16"/>
              <w:szCs w:val="16"/>
            </w:rPr>
          </w:pPr>
          <w:r w:rsidRPr="00C44FE0">
            <w:rPr>
              <w:sz w:val="16"/>
              <w:szCs w:val="16"/>
            </w:rPr>
            <w:t>Scheelegatan 3</w:t>
          </w:r>
        </w:p>
        <w:p w:rsidR="00C44FE0" w:rsidRPr="00C44FE0" w:rsidRDefault="00C44FE0" w:rsidP="00C44FE0">
          <w:pPr>
            <w:rPr>
              <w:sz w:val="16"/>
              <w:szCs w:val="16"/>
            </w:rPr>
          </w:pPr>
          <w:r w:rsidRPr="00C44FE0">
            <w:rPr>
              <w:sz w:val="16"/>
              <w:szCs w:val="16"/>
            </w:rPr>
            <w:t>212 28 MALMÖ</w:t>
          </w:r>
        </w:p>
      </w:tc>
      <w:tc>
        <w:tcPr>
          <w:tcW w:w="2976" w:type="dxa"/>
        </w:tcPr>
        <w:p w:rsidR="00C44FE0" w:rsidRPr="00DA3933" w:rsidRDefault="00C44FE0" w:rsidP="00C44FE0">
          <w:pPr>
            <w:rPr>
              <w:i/>
              <w:sz w:val="16"/>
              <w:szCs w:val="16"/>
            </w:rPr>
          </w:pPr>
          <w:r w:rsidRPr="00DA3933">
            <w:rPr>
              <w:i/>
              <w:sz w:val="16"/>
              <w:szCs w:val="16"/>
            </w:rPr>
            <w:t>Telefonväxel</w:t>
          </w:r>
        </w:p>
        <w:p w:rsidR="00C44FE0" w:rsidRPr="00C44FE0" w:rsidRDefault="00C44FE0" w:rsidP="00C44FE0">
          <w:pPr>
            <w:rPr>
              <w:sz w:val="16"/>
              <w:szCs w:val="16"/>
            </w:rPr>
          </w:pPr>
          <w:r w:rsidRPr="00C44FE0">
            <w:rPr>
              <w:sz w:val="16"/>
              <w:szCs w:val="16"/>
            </w:rPr>
            <w:t>040-680 07 60</w:t>
          </w:r>
        </w:p>
        <w:p w:rsidR="00C44FE0" w:rsidRPr="00C44FE0" w:rsidRDefault="00C44FE0" w:rsidP="00C44FE0">
          <w:pPr>
            <w:rPr>
              <w:sz w:val="16"/>
              <w:szCs w:val="16"/>
            </w:rPr>
          </w:pPr>
        </w:p>
        <w:p w:rsidR="00C44FE0" w:rsidRPr="00DA3933" w:rsidRDefault="00C44FE0" w:rsidP="00C44FE0">
          <w:pPr>
            <w:rPr>
              <w:i/>
              <w:sz w:val="16"/>
              <w:szCs w:val="16"/>
            </w:rPr>
          </w:pPr>
          <w:r w:rsidRPr="00DA3933">
            <w:rPr>
              <w:i/>
              <w:sz w:val="16"/>
              <w:szCs w:val="16"/>
            </w:rPr>
            <w:t>Telefax</w:t>
          </w:r>
        </w:p>
        <w:p w:rsidR="00C44FE0" w:rsidRPr="00C44FE0" w:rsidRDefault="00C44FE0" w:rsidP="00511500">
          <w:pPr>
            <w:rPr>
              <w:sz w:val="16"/>
              <w:szCs w:val="16"/>
            </w:rPr>
          </w:pPr>
          <w:r w:rsidRPr="00C44FE0">
            <w:rPr>
              <w:sz w:val="16"/>
              <w:szCs w:val="16"/>
            </w:rPr>
            <w:t>0</w:t>
          </w:r>
          <w:r w:rsidR="00511500">
            <w:rPr>
              <w:sz w:val="16"/>
              <w:szCs w:val="16"/>
            </w:rPr>
            <w:t>735</w:t>
          </w:r>
          <w:r w:rsidRPr="00C44FE0">
            <w:rPr>
              <w:sz w:val="16"/>
              <w:szCs w:val="16"/>
            </w:rPr>
            <w:t>-</w:t>
          </w:r>
          <w:r w:rsidR="00511500">
            <w:rPr>
              <w:sz w:val="16"/>
              <w:szCs w:val="16"/>
            </w:rPr>
            <w:t>279104</w:t>
          </w:r>
        </w:p>
      </w:tc>
      <w:tc>
        <w:tcPr>
          <w:tcW w:w="2976" w:type="dxa"/>
        </w:tcPr>
        <w:p w:rsidR="00C44FE0" w:rsidRPr="00DA3933" w:rsidRDefault="00C44FE0" w:rsidP="00C44FE0">
          <w:pPr>
            <w:rPr>
              <w:i/>
              <w:sz w:val="16"/>
              <w:szCs w:val="16"/>
            </w:rPr>
          </w:pPr>
          <w:r w:rsidRPr="00DA3933">
            <w:rPr>
              <w:i/>
              <w:sz w:val="16"/>
              <w:szCs w:val="16"/>
            </w:rPr>
            <w:t>E-post</w:t>
          </w:r>
        </w:p>
        <w:p w:rsidR="00C44FE0" w:rsidRPr="00C44FE0" w:rsidRDefault="00C27064" w:rsidP="00C44FE0">
          <w:pPr>
            <w:rPr>
              <w:sz w:val="16"/>
              <w:szCs w:val="16"/>
            </w:rPr>
          </w:pPr>
          <w:hyperlink r:id="rId1" w:history="1">
            <w:r w:rsidR="00C44FE0" w:rsidRPr="00C44FE0">
              <w:rPr>
                <w:rStyle w:val="Hyperlnk"/>
                <w:sz w:val="16"/>
                <w:szCs w:val="16"/>
              </w:rPr>
              <w:t>info@sgc.se</w:t>
            </w:r>
          </w:hyperlink>
        </w:p>
        <w:p w:rsidR="00C44FE0" w:rsidRPr="00C44FE0" w:rsidRDefault="00C44FE0" w:rsidP="00C44FE0">
          <w:pPr>
            <w:rPr>
              <w:sz w:val="16"/>
              <w:szCs w:val="16"/>
            </w:rPr>
          </w:pPr>
        </w:p>
        <w:p w:rsidR="00C44FE0" w:rsidRPr="00DA3933" w:rsidRDefault="00C44FE0" w:rsidP="00C44FE0">
          <w:pPr>
            <w:rPr>
              <w:i/>
              <w:sz w:val="16"/>
              <w:szCs w:val="16"/>
            </w:rPr>
          </w:pPr>
          <w:r w:rsidRPr="00DA3933">
            <w:rPr>
              <w:i/>
              <w:sz w:val="16"/>
              <w:szCs w:val="16"/>
            </w:rPr>
            <w:t>Hemsida</w:t>
          </w:r>
        </w:p>
        <w:p w:rsidR="00C44FE0" w:rsidRPr="00C44FE0" w:rsidRDefault="00C27064">
          <w:pPr>
            <w:rPr>
              <w:sz w:val="16"/>
              <w:szCs w:val="16"/>
            </w:rPr>
          </w:pPr>
          <w:hyperlink r:id="rId2" w:history="1">
            <w:r w:rsidR="00C44FE0" w:rsidRPr="00C44FE0">
              <w:rPr>
                <w:rStyle w:val="Hyperlnk"/>
                <w:sz w:val="16"/>
                <w:szCs w:val="16"/>
              </w:rPr>
              <w:t>www.sgc.se</w:t>
            </w:r>
          </w:hyperlink>
        </w:p>
      </w:tc>
    </w:tr>
  </w:tbl>
  <w:p w:rsidR="00C44FE0" w:rsidRDefault="00C44FE0" w:rsidP="00C44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64" w:rsidRDefault="00C27064">
      <w:r>
        <w:separator/>
      </w:r>
    </w:p>
  </w:footnote>
  <w:footnote w:type="continuationSeparator" w:id="0">
    <w:p w:rsidR="00C27064" w:rsidRDefault="00C27064">
      <w:r>
        <w:continuationSeparator/>
      </w:r>
    </w:p>
  </w:footnote>
  <w:footnote w:id="1">
    <w:p w:rsidR="006640E0" w:rsidRPr="00FE5E64" w:rsidRDefault="006640E0">
      <w:pPr>
        <w:pStyle w:val="Fotnotstext"/>
        <w:rPr>
          <w:sz w:val="16"/>
          <w:szCs w:val="16"/>
        </w:rPr>
      </w:pPr>
      <w:r w:rsidRPr="00FE5E64">
        <w:rPr>
          <w:rStyle w:val="Fotnotsreferens"/>
          <w:sz w:val="16"/>
          <w:szCs w:val="16"/>
        </w:rPr>
        <w:footnoteRef/>
      </w:r>
      <w:r w:rsidRPr="00FE5E64">
        <w:rPr>
          <w:sz w:val="16"/>
          <w:szCs w:val="16"/>
        </w:rPr>
        <w:t xml:space="preserve"> Notera att </w:t>
      </w:r>
      <w:proofErr w:type="spellStart"/>
      <w:r w:rsidR="00696DC3">
        <w:rPr>
          <w:sz w:val="16"/>
          <w:szCs w:val="16"/>
        </w:rPr>
        <w:t>Energiforsk</w:t>
      </w:r>
      <w:r w:rsidRPr="00FE5E64">
        <w:rPr>
          <w:sz w:val="16"/>
          <w:szCs w:val="16"/>
        </w:rPr>
        <w:t>:s</w:t>
      </w:r>
      <w:proofErr w:type="spellEnd"/>
      <w:r w:rsidRPr="00FE5E64">
        <w:rPr>
          <w:sz w:val="16"/>
          <w:szCs w:val="16"/>
        </w:rPr>
        <w:t xml:space="preserve"> administrativa påslag på 8,182 %</w:t>
      </w:r>
      <w:r w:rsidR="0065074E" w:rsidRPr="00FE5E64">
        <w:rPr>
          <w:sz w:val="16"/>
          <w:szCs w:val="16"/>
        </w:rPr>
        <w:t xml:space="preserve"> av projektbudget</w:t>
      </w:r>
      <w:r w:rsidRPr="00FE5E64">
        <w:rPr>
          <w:sz w:val="16"/>
          <w:szCs w:val="16"/>
        </w:rPr>
        <w:t xml:space="preserve"> inte ska tas med i denna tabell, eftersom Energimyndigheten inte kan hantera detta inom E-portalens ram. Procentsatsen har Energimyndigheten och SGC kommit överens om i ett särskilt avtal om programhantering kring Samverkans</w:t>
      </w:r>
      <w:r w:rsidR="0065074E" w:rsidRPr="00FE5E64">
        <w:rPr>
          <w:sz w:val="16"/>
          <w:szCs w:val="16"/>
        </w:rPr>
        <w:t>program Energigasteknik.</w:t>
      </w:r>
    </w:p>
  </w:footnote>
  <w:footnote w:id="2">
    <w:p w:rsidR="000B56FB" w:rsidRDefault="000B56FB">
      <w:pPr>
        <w:pStyle w:val="Fotnotstext"/>
      </w:pPr>
      <w:r>
        <w:rPr>
          <w:rStyle w:val="Fotnotsreferens"/>
        </w:rPr>
        <w:footnoteRef/>
      </w:r>
      <w:r>
        <w:t xml:space="preserve"> </w:t>
      </w:r>
      <w:hyperlink r:id="rId1" w:history="1">
        <w:r w:rsidRPr="00F724BC">
          <w:rPr>
            <w:rStyle w:val="Hyperlnk"/>
          </w:rPr>
          <w:t>http://www.riksdagen.se/sv/Dokument-Lagar/Lagar/Svenskforfattningssamling/Forordning-2008761-om-statl_sfs-2008-761/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CE" w:rsidRDefault="001434CE">
    <w:pPr>
      <w:pStyle w:val="Sidhuvud2"/>
    </w:pPr>
    <w:r>
      <w:rPr>
        <w:lang w:val="sv-SE"/>
      </w:rPr>
      <mc:AlternateContent>
        <mc:Choice Requires="wps">
          <w:drawing>
            <wp:anchor distT="0" distB="0" distL="114300" distR="114300" simplePos="0" relativeHeight="251656704" behindDoc="0" locked="1" layoutInCell="0" allowOverlap="1" wp14:anchorId="064BD06E" wp14:editId="2587C7C1">
              <wp:simplePos x="0" y="0"/>
              <wp:positionH relativeFrom="column">
                <wp:posOffset>5505450</wp:posOffset>
              </wp:positionH>
              <wp:positionV relativeFrom="page">
                <wp:posOffset>10236200</wp:posOffset>
              </wp:positionV>
              <wp:extent cx="548640" cy="27368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4CE" w:rsidRPr="00DA3933" w:rsidRDefault="001434CE">
                          <w:pPr>
                            <w:rPr>
                              <w:sz w:val="20"/>
                            </w:rPr>
                          </w:pPr>
                          <w:r w:rsidRPr="00DA3933">
                            <w:rPr>
                              <w:rStyle w:val="Sidnummer"/>
                              <w:sz w:val="20"/>
                            </w:rPr>
                            <w:fldChar w:fldCharType="begin"/>
                          </w:r>
                          <w:r w:rsidRPr="00DA3933">
                            <w:rPr>
                              <w:rStyle w:val="Sidnummer"/>
                              <w:sz w:val="20"/>
                            </w:rPr>
                            <w:instrText xml:space="preserve"> PAGE </w:instrText>
                          </w:r>
                          <w:r w:rsidRPr="00DA3933">
                            <w:rPr>
                              <w:rStyle w:val="Sidnummer"/>
                              <w:sz w:val="20"/>
                            </w:rPr>
                            <w:fldChar w:fldCharType="separate"/>
                          </w:r>
                          <w:r w:rsidR="00473A46">
                            <w:rPr>
                              <w:rStyle w:val="Sidnummer"/>
                              <w:noProof/>
                              <w:sz w:val="20"/>
                            </w:rPr>
                            <w:t>3</w:t>
                          </w:r>
                          <w:r w:rsidRPr="00DA3933">
                            <w:rPr>
                              <w:rStyle w:val="Sidnummer"/>
                              <w:sz w:val="20"/>
                            </w:rPr>
                            <w:fldChar w:fldCharType="end"/>
                          </w:r>
                          <w:r w:rsidRPr="00DA3933">
                            <w:rPr>
                              <w:rStyle w:val="Sidnummer"/>
                              <w:sz w:val="20"/>
                            </w:rPr>
                            <w:t xml:space="preserve"> (</w:t>
                          </w:r>
                          <w:r w:rsidRPr="00DA3933">
                            <w:rPr>
                              <w:rStyle w:val="Sidnummer"/>
                              <w:sz w:val="20"/>
                            </w:rPr>
                            <w:fldChar w:fldCharType="begin"/>
                          </w:r>
                          <w:r w:rsidRPr="00DA3933">
                            <w:rPr>
                              <w:rStyle w:val="Sidnummer"/>
                              <w:sz w:val="20"/>
                            </w:rPr>
                            <w:instrText xml:space="preserve"> NUMPAGES </w:instrText>
                          </w:r>
                          <w:r w:rsidRPr="00DA3933">
                            <w:rPr>
                              <w:rStyle w:val="Sidnummer"/>
                              <w:sz w:val="20"/>
                            </w:rPr>
                            <w:fldChar w:fldCharType="separate"/>
                          </w:r>
                          <w:r w:rsidR="00473A46">
                            <w:rPr>
                              <w:rStyle w:val="Sidnummer"/>
                              <w:noProof/>
                              <w:sz w:val="20"/>
                            </w:rPr>
                            <w:t>3</w:t>
                          </w:r>
                          <w:r w:rsidRPr="00DA3933">
                            <w:rPr>
                              <w:rStyle w:val="Sidnummer"/>
                              <w:sz w:val="20"/>
                            </w:rPr>
                            <w:fldChar w:fldCharType="end"/>
                          </w:r>
                          <w:r w:rsidRPr="00DA3933">
                            <w:rPr>
                              <w:rStyle w:val="Sidnumme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BD06E" id="_x0000_t202" coordsize="21600,21600" o:spt="202" path="m,l,21600r21600,l21600,xe">
              <v:stroke joinstyle="miter"/>
              <v:path gradientshapeok="t" o:connecttype="rect"/>
            </v:shapetype>
            <v:shape id="Text Box 1" o:spid="_x0000_s1026" type="#_x0000_t202" style="position:absolute;left:0;text-align:left;margin-left:433.5pt;margin-top:806pt;width:43.2pt;height:2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Zpsg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" o:allowincell="f" filled="f" stroked="f">
              <v:textbox>
                <w:txbxContent>
                  <w:p w:rsidR="001434CE" w:rsidRPr="00DA3933" w:rsidRDefault="001434CE">
                    <w:pPr>
                      <w:rPr>
                        <w:sz w:val="20"/>
                      </w:rPr>
                    </w:pPr>
                    <w:r w:rsidRPr="00DA3933">
                      <w:rPr>
                        <w:rStyle w:val="Sidnummer"/>
                        <w:sz w:val="20"/>
                      </w:rPr>
                      <w:fldChar w:fldCharType="begin"/>
                    </w:r>
                    <w:r w:rsidRPr="00DA3933">
                      <w:rPr>
                        <w:rStyle w:val="Sidnummer"/>
                        <w:sz w:val="20"/>
                      </w:rPr>
                      <w:instrText xml:space="preserve"> PAGE </w:instrText>
                    </w:r>
                    <w:r w:rsidRPr="00DA3933">
                      <w:rPr>
                        <w:rStyle w:val="Sidnummer"/>
                        <w:sz w:val="20"/>
                      </w:rPr>
                      <w:fldChar w:fldCharType="separate"/>
                    </w:r>
                    <w:r w:rsidR="00473A46">
                      <w:rPr>
                        <w:rStyle w:val="Sidnummer"/>
                        <w:noProof/>
                        <w:sz w:val="20"/>
                      </w:rPr>
                      <w:t>3</w:t>
                    </w:r>
                    <w:r w:rsidRPr="00DA3933">
                      <w:rPr>
                        <w:rStyle w:val="Sidnummer"/>
                        <w:sz w:val="20"/>
                      </w:rPr>
                      <w:fldChar w:fldCharType="end"/>
                    </w:r>
                    <w:r w:rsidRPr="00DA3933">
                      <w:rPr>
                        <w:rStyle w:val="Sidnummer"/>
                        <w:sz w:val="20"/>
                      </w:rPr>
                      <w:t xml:space="preserve"> (</w:t>
                    </w:r>
                    <w:r w:rsidRPr="00DA3933">
                      <w:rPr>
                        <w:rStyle w:val="Sidnummer"/>
                        <w:sz w:val="20"/>
                      </w:rPr>
                      <w:fldChar w:fldCharType="begin"/>
                    </w:r>
                    <w:r w:rsidRPr="00DA3933">
                      <w:rPr>
                        <w:rStyle w:val="Sidnummer"/>
                        <w:sz w:val="20"/>
                      </w:rPr>
                      <w:instrText xml:space="preserve"> NUMPAGES </w:instrText>
                    </w:r>
                    <w:r w:rsidRPr="00DA3933">
                      <w:rPr>
                        <w:rStyle w:val="Sidnummer"/>
                        <w:sz w:val="20"/>
                      </w:rPr>
                      <w:fldChar w:fldCharType="separate"/>
                    </w:r>
                    <w:r w:rsidR="00473A46">
                      <w:rPr>
                        <w:rStyle w:val="Sidnummer"/>
                        <w:noProof/>
                        <w:sz w:val="20"/>
                      </w:rPr>
                      <w:t>3</w:t>
                    </w:r>
                    <w:r w:rsidRPr="00DA3933">
                      <w:rPr>
                        <w:rStyle w:val="Sidnummer"/>
                        <w:sz w:val="20"/>
                      </w:rPr>
                      <w:fldChar w:fldCharType="end"/>
                    </w:r>
                    <w:r w:rsidRPr="00DA3933">
                      <w:rPr>
                        <w:rStyle w:val="Sidnummer"/>
                        <w:sz w:val="20"/>
                      </w:rPr>
                      <w:t>)</w:t>
                    </w:r>
                  </w:p>
                </w:txbxContent>
              </v:textbox>
              <w10:wrap type="squar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CE" w:rsidRDefault="001434CE">
    <w:pPr>
      <w:pStyle w:val="Sidhuvud"/>
    </w:pPr>
    <w:r w:rsidRPr="00DC31FB">
      <w:rPr>
        <w:noProof/>
        <w:lang w:val="sv-SE"/>
      </w:rPr>
      <w:drawing>
        <wp:anchor distT="0" distB="0" distL="114300" distR="114300" simplePos="0" relativeHeight="251659776" behindDoc="0" locked="0" layoutInCell="1" allowOverlap="1" wp14:anchorId="65070F01" wp14:editId="5AD775AC">
          <wp:simplePos x="0" y="0"/>
          <wp:positionH relativeFrom="column">
            <wp:posOffset>-640080</wp:posOffset>
          </wp:positionH>
          <wp:positionV relativeFrom="paragraph">
            <wp:posOffset>28575</wp:posOffset>
          </wp:positionV>
          <wp:extent cx="1389600" cy="619200"/>
          <wp:effectExtent l="0" t="0" r="1270" b="0"/>
          <wp:wrapNone/>
          <wp:docPr id="30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6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3ABA">
      <w:t xml:space="preserve">Malmö </w:t>
    </w:r>
    <w:r w:rsidR="001639DF">
      <w:t>141009</w:t>
    </w:r>
  </w:p>
  <w:p w:rsidR="001434CE" w:rsidRDefault="001434CE">
    <w:pPr>
      <w:pStyle w:val="Namnhuvud"/>
    </w:pPr>
  </w:p>
  <w:p w:rsidR="001434CE" w:rsidRPr="0053329E" w:rsidRDefault="001434CE" w:rsidP="0053329E">
    <w:pPr>
      <w:pStyle w:val="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20BA"/>
    <w:multiLevelType w:val="hybridMultilevel"/>
    <w:tmpl w:val="807EF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1618F0"/>
    <w:multiLevelType w:val="multilevel"/>
    <w:tmpl w:val="8C1A45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DC3519"/>
    <w:multiLevelType w:val="hybridMultilevel"/>
    <w:tmpl w:val="7D1298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9207141"/>
    <w:multiLevelType w:val="hybridMultilevel"/>
    <w:tmpl w:val="41C47E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7381E88"/>
    <w:multiLevelType w:val="hybridMultilevel"/>
    <w:tmpl w:val="8C1A4530"/>
    <w:lvl w:ilvl="0" w:tplc="041D000F">
      <w:start w:val="1"/>
      <w:numFmt w:val="decimal"/>
      <w:lvlText w:val="%1."/>
      <w:lvlJc w:val="left"/>
      <w:pPr>
        <w:tabs>
          <w:tab w:val="num" w:pos="720"/>
        </w:tabs>
        <w:ind w:left="720" w:hanging="360"/>
      </w:pPr>
      <w:rPr>
        <w:rFonts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76E05E1"/>
    <w:multiLevelType w:val="hybridMultilevel"/>
    <w:tmpl w:val="79BE0F2C"/>
    <w:lvl w:ilvl="0" w:tplc="59768756">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A013A80"/>
    <w:multiLevelType w:val="hybridMultilevel"/>
    <w:tmpl w:val="0AFC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494CAD"/>
    <w:multiLevelType w:val="hybridMultilevel"/>
    <w:tmpl w:val="8AE268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9303E13"/>
    <w:multiLevelType w:val="hybridMultilevel"/>
    <w:tmpl w:val="32A2C32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5C0D1C3B"/>
    <w:multiLevelType w:val="hybridMultilevel"/>
    <w:tmpl w:val="86B08C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65972A38"/>
    <w:multiLevelType w:val="hybridMultilevel"/>
    <w:tmpl w:val="A2D2C5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6744A6C"/>
    <w:multiLevelType w:val="hybridMultilevel"/>
    <w:tmpl w:val="91B0A43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67FF79CD"/>
    <w:multiLevelType w:val="hybridMultilevel"/>
    <w:tmpl w:val="F572C2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2"/>
  </w:num>
  <w:num w:numId="4">
    <w:abstractNumId w:val="7"/>
  </w:num>
  <w:num w:numId="5">
    <w:abstractNumId w:val="4"/>
  </w:num>
  <w:num w:numId="6">
    <w:abstractNumId w:val="11"/>
  </w:num>
  <w:num w:numId="7">
    <w:abstractNumId w:val="1"/>
  </w:num>
  <w:num w:numId="8">
    <w:abstractNumId w:val="8"/>
  </w:num>
  <w:num w:numId="9">
    <w:abstractNumId w:val="5"/>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FB"/>
    <w:rsid w:val="00000979"/>
    <w:rsid w:val="00016A60"/>
    <w:rsid w:val="00045CE4"/>
    <w:rsid w:val="0006646A"/>
    <w:rsid w:val="00092693"/>
    <w:rsid w:val="00093280"/>
    <w:rsid w:val="000B061E"/>
    <w:rsid w:val="000B56FB"/>
    <w:rsid w:val="00101F5A"/>
    <w:rsid w:val="00120EA7"/>
    <w:rsid w:val="001220EC"/>
    <w:rsid w:val="0013017E"/>
    <w:rsid w:val="001434CE"/>
    <w:rsid w:val="00145983"/>
    <w:rsid w:val="00160271"/>
    <w:rsid w:val="001639DF"/>
    <w:rsid w:val="002214D6"/>
    <w:rsid w:val="002253F1"/>
    <w:rsid w:val="002535C0"/>
    <w:rsid w:val="00262A10"/>
    <w:rsid w:val="00272F53"/>
    <w:rsid w:val="0029315C"/>
    <w:rsid w:val="002940CA"/>
    <w:rsid w:val="002A74DA"/>
    <w:rsid w:val="003054D1"/>
    <w:rsid w:val="003160F6"/>
    <w:rsid w:val="00321319"/>
    <w:rsid w:val="0032384D"/>
    <w:rsid w:val="00394886"/>
    <w:rsid w:val="003F7767"/>
    <w:rsid w:val="004024A0"/>
    <w:rsid w:val="00443403"/>
    <w:rsid w:val="0045184E"/>
    <w:rsid w:val="00473A46"/>
    <w:rsid w:val="004D2031"/>
    <w:rsid w:val="004F7E58"/>
    <w:rsid w:val="00501CC7"/>
    <w:rsid w:val="00511500"/>
    <w:rsid w:val="00527207"/>
    <w:rsid w:val="0053329E"/>
    <w:rsid w:val="005923E2"/>
    <w:rsid w:val="005B3A4E"/>
    <w:rsid w:val="00605DCF"/>
    <w:rsid w:val="0065074E"/>
    <w:rsid w:val="006640E0"/>
    <w:rsid w:val="00674198"/>
    <w:rsid w:val="00695128"/>
    <w:rsid w:val="00696DC3"/>
    <w:rsid w:val="006A5AAE"/>
    <w:rsid w:val="006E2592"/>
    <w:rsid w:val="006E743E"/>
    <w:rsid w:val="006E75C3"/>
    <w:rsid w:val="006F2F59"/>
    <w:rsid w:val="006F346C"/>
    <w:rsid w:val="006F3DE7"/>
    <w:rsid w:val="00712590"/>
    <w:rsid w:val="00726341"/>
    <w:rsid w:val="00726AA5"/>
    <w:rsid w:val="007371AA"/>
    <w:rsid w:val="00742BFF"/>
    <w:rsid w:val="00750DFC"/>
    <w:rsid w:val="007E2F5B"/>
    <w:rsid w:val="007E55DA"/>
    <w:rsid w:val="00814501"/>
    <w:rsid w:val="00824593"/>
    <w:rsid w:val="00886E7E"/>
    <w:rsid w:val="00896B82"/>
    <w:rsid w:val="008B123F"/>
    <w:rsid w:val="008C3D9D"/>
    <w:rsid w:val="008C693C"/>
    <w:rsid w:val="009078D0"/>
    <w:rsid w:val="009333B2"/>
    <w:rsid w:val="0099170C"/>
    <w:rsid w:val="009C7333"/>
    <w:rsid w:val="009C73A0"/>
    <w:rsid w:val="009E3B72"/>
    <w:rsid w:val="00A0570E"/>
    <w:rsid w:val="00A32DB7"/>
    <w:rsid w:val="00A472E6"/>
    <w:rsid w:val="00A65B5B"/>
    <w:rsid w:val="00A717BC"/>
    <w:rsid w:val="00AA2017"/>
    <w:rsid w:val="00AB6B36"/>
    <w:rsid w:val="00AC1B79"/>
    <w:rsid w:val="00B04A6A"/>
    <w:rsid w:val="00B31E97"/>
    <w:rsid w:val="00B4756F"/>
    <w:rsid w:val="00B810DC"/>
    <w:rsid w:val="00B86692"/>
    <w:rsid w:val="00BD2BA3"/>
    <w:rsid w:val="00BE73BF"/>
    <w:rsid w:val="00C27064"/>
    <w:rsid w:val="00C40D90"/>
    <w:rsid w:val="00C44FE0"/>
    <w:rsid w:val="00C74186"/>
    <w:rsid w:val="00C91166"/>
    <w:rsid w:val="00CA122F"/>
    <w:rsid w:val="00CC4337"/>
    <w:rsid w:val="00CD1963"/>
    <w:rsid w:val="00D370E2"/>
    <w:rsid w:val="00D42105"/>
    <w:rsid w:val="00D645A8"/>
    <w:rsid w:val="00DA3933"/>
    <w:rsid w:val="00DC31FB"/>
    <w:rsid w:val="00DD1A2F"/>
    <w:rsid w:val="00DF525F"/>
    <w:rsid w:val="00E167C4"/>
    <w:rsid w:val="00E22C8E"/>
    <w:rsid w:val="00E56686"/>
    <w:rsid w:val="00E66BEC"/>
    <w:rsid w:val="00E83ABA"/>
    <w:rsid w:val="00EA12E3"/>
    <w:rsid w:val="00EF19DF"/>
    <w:rsid w:val="00F33635"/>
    <w:rsid w:val="00F34CC1"/>
    <w:rsid w:val="00F6526A"/>
    <w:rsid w:val="00F74FB4"/>
    <w:rsid w:val="00FE5E64"/>
    <w:rsid w:val="00FF6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EA4757-0BC9-4893-AEEA-B8979542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E0"/>
    <w:rPr>
      <w:rFonts w:ascii="Arial" w:hAnsi="Arial"/>
      <w:sz w:val="24"/>
    </w:rPr>
  </w:style>
  <w:style w:type="paragraph" w:styleId="Rubrik1">
    <w:name w:val="heading 1"/>
    <w:basedOn w:val="Normal"/>
    <w:next w:val="Normal"/>
    <w:qFormat/>
    <w:rsid w:val="00AB6B36"/>
    <w:pPr>
      <w:keepNext/>
      <w:spacing w:before="240"/>
      <w:outlineLvl w:val="0"/>
    </w:pPr>
    <w:rPr>
      <w:b/>
    </w:rPr>
  </w:style>
  <w:style w:type="paragraph" w:styleId="Rubrik2">
    <w:name w:val="heading 2"/>
    <w:basedOn w:val="Normal"/>
    <w:next w:val="Normal"/>
    <w:qFormat/>
    <w:rsid w:val="00B810DC"/>
    <w:pPr>
      <w:keepNext/>
      <w:spacing w:before="240" w:after="60"/>
      <w:outlineLvl w:val="1"/>
    </w:pPr>
    <w:rPr>
      <w:rFonts w:cs="Arial"/>
      <w:bCs/>
      <w:iCs/>
      <w:szCs w:val="28"/>
      <w:u w:val="single"/>
    </w:rPr>
  </w:style>
  <w:style w:type="paragraph" w:styleId="Rubrik3">
    <w:name w:val="heading 3"/>
    <w:basedOn w:val="Normal"/>
    <w:next w:val="Normal"/>
    <w:qFormat/>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amnhuvud"/>
    <w:rsid w:val="00AB6B36"/>
    <w:pPr>
      <w:tabs>
        <w:tab w:val="right" w:pos="9072"/>
      </w:tabs>
      <w:spacing w:before="440"/>
      <w:ind w:left="4990"/>
    </w:pPr>
    <w:rPr>
      <w:lang w:val="de-DE"/>
    </w:rPr>
  </w:style>
  <w:style w:type="paragraph" w:styleId="Sidfot">
    <w:name w:val="footer"/>
    <w:basedOn w:val="Normal"/>
    <w:pPr>
      <w:tabs>
        <w:tab w:val="center" w:pos="4536"/>
        <w:tab w:val="right" w:pos="9072"/>
      </w:tabs>
    </w:pPr>
    <w:rPr>
      <w:rFonts w:cs="Arial"/>
      <w:sz w:val="16"/>
    </w:rPr>
  </w:style>
  <w:style w:type="character" w:styleId="Sidnummer">
    <w:name w:val="page number"/>
    <w:basedOn w:val="Standardstycketeckensnitt"/>
  </w:style>
  <w:style w:type="paragraph" w:styleId="Brdtext">
    <w:name w:val="Body Text"/>
    <w:basedOn w:val="Normal"/>
    <w:rsid w:val="003160F6"/>
    <w:pPr>
      <w:tabs>
        <w:tab w:val="left" w:pos="6379"/>
      </w:tabs>
      <w:ind w:right="282"/>
    </w:pPr>
  </w:style>
  <w:style w:type="paragraph" w:customStyle="1" w:styleId="mvh">
    <w:name w:val="mvh"/>
    <w:basedOn w:val="Brdtext"/>
    <w:next w:val="mvh2"/>
    <w:semiHidden/>
    <w:pPr>
      <w:spacing w:before="480"/>
    </w:pPr>
  </w:style>
  <w:style w:type="paragraph" w:customStyle="1" w:styleId="mvh2">
    <w:name w:val="mvh2"/>
    <w:basedOn w:val="mvh"/>
    <w:next w:val="mvh3"/>
    <w:semiHidden/>
    <w:pPr>
      <w:spacing w:before="0"/>
    </w:pPr>
  </w:style>
  <w:style w:type="paragraph" w:customStyle="1" w:styleId="mvh3">
    <w:name w:val="mvh3"/>
    <w:basedOn w:val="mvh2"/>
    <w:semiHidden/>
    <w:pPr>
      <w:spacing w:after="120"/>
    </w:pPr>
  </w:style>
  <w:style w:type="paragraph" w:customStyle="1" w:styleId="Sidfotrubrik">
    <w:name w:val="Sidfotrubrik"/>
    <w:basedOn w:val="Sidfot"/>
    <w:semiHidden/>
    <w:pPr>
      <w:tabs>
        <w:tab w:val="clear" w:pos="4536"/>
        <w:tab w:val="left" w:pos="1701"/>
        <w:tab w:val="left" w:pos="3544"/>
        <w:tab w:val="left" w:pos="5387"/>
        <w:tab w:val="left" w:pos="6663"/>
        <w:tab w:val="left" w:pos="7938"/>
      </w:tabs>
      <w:ind w:left="-567" w:right="-737"/>
    </w:pPr>
    <w:rPr>
      <w:b/>
      <w:bCs/>
      <w:sz w:val="14"/>
    </w:rPr>
  </w:style>
  <w:style w:type="paragraph" w:customStyle="1" w:styleId="Sidfotbrd">
    <w:name w:val="Sidfotbröd"/>
    <w:basedOn w:val="Sidfotrubrik"/>
    <w:semiHidden/>
    <w:rPr>
      <w:b w:val="0"/>
    </w:rPr>
  </w:style>
  <w:style w:type="paragraph" w:customStyle="1" w:styleId="Angende">
    <w:name w:val="Angående"/>
    <w:basedOn w:val="Normal"/>
    <w:next w:val="Brdtext"/>
    <w:link w:val="AngendeChar"/>
    <w:pPr>
      <w:spacing w:after="240"/>
    </w:pPr>
    <w:rPr>
      <w:bCs/>
      <w:sz w:val="32"/>
    </w:rPr>
  </w:style>
  <w:style w:type="paragraph" w:customStyle="1" w:styleId="Sidhuvudblank">
    <w:name w:val="Sidhuvudblank"/>
    <w:basedOn w:val="Sidhuvud"/>
    <w:semiHidden/>
    <w:pPr>
      <w:spacing w:after="960"/>
    </w:pPr>
  </w:style>
  <w:style w:type="paragraph" w:customStyle="1" w:styleId="Maal">
    <w:name w:val="Maal"/>
    <w:basedOn w:val="Normal"/>
    <w:semiHidden/>
    <w:pPr>
      <w:tabs>
        <w:tab w:val="left" w:pos="1560"/>
        <w:tab w:val="left" w:pos="2127"/>
        <w:tab w:val="left" w:pos="2637"/>
        <w:tab w:val="left" w:pos="3204"/>
        <w:tab w:val="left" w:pos="4253"/>
        <w:tab w:val="left" w:pos="4536"/>
      </w:tabs>
      <w:spacing w:before="360"/>
    </w:pPr>
  </w:style>
  <w:style w:type="paragraph" w:customStyle="1" w:styleId="fragor">
    <w:name w:val="fragor"/>
    <w:basedOn w:val="Normal"/>
    <w:semiHidden/>
    <w:pPr>
      <w:keepNext/>
      <w:spacing w:before="320" w:after="60"/>
      <w:ind w:left="567" w:hanging="567"/>
    </w:pPr>
    <w:rPr>
      <w:sz w:val="20"/>
    </w:rPr>
  </w:style>
  <w:style w:type="paragraph" w:customStyle="1" w:styleId="Abcd">
    <w:name w:val="Abcd"/>
    <w:basedOn w:val="Normal"/>
    <w:semiHidden/>
    <w:pPr>
      <w:keepNext/>
      <w:tabs>
        <w:tab w:val="left" w:pos="1560"/>
        <w:tab w:val="left" w:pos="2127"/>
        <w:tab w:val="left" w:pos="2637"/>
        <w:tab w:val="left" w:pos="3204"/>
        <w:tab w:val="left" w:pos="4253"/>
        <w:tab w:val="left" w:pos="4536"/>
      </w:tabs>
    </w:pPr>
    <w:rPr>
      <w:sz w:val="20"/>
    </w:rPr>
  </w:style>
  <w:style w:type="paragraph" w:customStyle="1" w:styleId="Kryssa">
    <w:name w:val="Kryssa"/>
    <w:basedOn w:val="Normal"/>
    <w:semiHidden/>
    <w:pPr>
      <w:tabs>
        <w:tab w:val="left" w:pos="1134"/>
      </w:tabs>
    </w:pPr>
    <w:rPr>
      <w:sz w:val="16"/>
    </w:rPr>
  </w:style>
  <w:style w:type="paragraph" w:customStyle="1" w:styleId="Namnhuvud">
    <w:name w:val="Namnhuvud"/>
    <w:basedOn w:val="Normal"/>
    <w:next w:val="Logo"/>
    <w:semiHidden/>
    <w:rsid w:val="00712590"/>
    <w:pPr>
      <w:ind w:right="-1559" w:firstLine="4990"/>
    </w:pPr>
    <w:rPr>
      <w:szCs w:val="24"/>
      <w:lang w:val="de-DE"/>
    </w:rPr>
  </w:style>
  <w:style w:type="paragraph" w:customStyle="1" w:styleId="Sidhuvud2">
    <w:name w:val="Sidhuvud2"/>
    <w:basedOn w:val="Sidhuvud"/>
    <w:semiHidden/>
    <w:pPr>
      <w:ind w:right="-1559"/>
    </w:pPr>
    <w:rPr>
      <w:noProof/>
      <w:sz w:val="20"/>
    </w:rPr>
  </w:style>
  <w:style w:type="paragraph" w:customStyle="1" w:styleId="Logo">
    <w:name w:val="Logo"/>
    <w:basedOn w:val="Sidhuvud"/>
    <w:semiHidden/>
    <w:pPr>
      <w:spacing w:before="0" w:after="540"/>
      <w:ind w:left="0"/>
    </w:pPr>
  </w:style>
  <w:style w:type="paragraph" w:customStyle="1" w:styleId="NamnHuvudForvaltning">
    <w:name w:val="NamnHuvudForvaltning"/>
    <w:basedOn w:val="Logo"/>
    <w:semiHidden/>
    <w:rsid w:val="006E2592"/>
    <w:pPr>
      <w:pBdr>
        <w:top w:val="single" w:sz="4" w:space="1" w:color="auto"/>
      </w:pBdr>
      <w:spacing w:after="420" w:line="380" w:lineRule="atLeast"/>
      <w:ind w:left="-720" w:right="7173"/>
    </w:pPr>
    <w:rPr>
      <w:b/>
      <w:color w:val="333333"/>
      <w:spacing w:val="-2"/>
      <w:sz w:val="16"/>
      <w:szCs w:val="24"/>
    </w:rPr>
  </w:style>
  <w:style w:type="paragraph" w:styleId="Ballongtext">
    <w:name w:val="Balloon Text"/>
    <w:basedOn w:val="Normal"/>
    <w:semiHidden/>
    <w:rsid w:val="00E66BEC"/>
    <w:rPr>
      <w:rFonts w:ascii="Tahoma" w:hAnsi="Tahoma" w:cs="Tahoma"/>
      <w:sz w:val="16"/>
      <w:szCs w:val="16"/>
    </w:rPr>
  </w:style>
  <w:style w:type="character" w:styleId="Kommentarsreferens">
    <w:name w:val="annotation reference"/>
    <w:basedOn w:val="Standardstycketeckensnitt"/>
    <w:semiHidden/>
    <w:rsid w:val="004024A0"/>
    <w:rPr>
      <w:sz w:val="16"/>
      <w:szCs w:val="16"/>
    </w:rPr>
  </w:style>
  <w:style w:type="paragraph" w:styleId="Kommentarer">
    <w:name w:val="annotation text"/>
    <w:basedOn w:val="Normal"/>
    <w:semiHidden/>
    <w:rsid w:val="004024A0"/>
    <w:rPr>
      <w:sz w:val="20"/>
    </w:rPr>
  </w:style>
  <w:style w:type="paragraph" w:styleId="Kommentarsmne">
    <w:name w:val="annotation subject"/>
    <w:basedOn w:val="Kommentarer"/>
    <w:next w:val="Kommentarer"/>
    <w:semiHidden/>
    <w:rsid w:val="004024A0"/>
    <w:rPr>
      <w:b/>
      <w:bCs/>
    </w:rPr>
  </w:style>
  <w:style w:type="paragraph" w:customStyle="1" w:styleId="Titel">
    <w:name w:val="Titel"/>
    <w:basedOn w:val="Angende"/>
    <w:link w:val="TitelChar"/>
    <w:qFormat/>
    <w:rsid w:val="00000979"/>
  </w:style>
  <w:style w:type="character" w:customStyle="1" w:styleId="AngendeChar">
    <w:name w:val="Angående Char"/>
    <w:basedOn w:val="Standardstycketeckensnitt"/>
    <w:link w:val="Angende"/>
    <w:rsid w:val="00000979"/>
    <w:rPr>
      <w:rFonts w:ascii="Arial" w:hAnsi="Arial"/>
      <w:bCs/>
      <w:sz w:val="32"/>
    </w:rPr>
  </w:style>
  <w:style w:type="character" w:customStyle="1" w:styleId="TitelChar">
    <w:name w:val="Titel Char"/>
    <w:basedOn w:val="AngendeChar"/>
    <w:link w:val="Titel"/>
    <w:rsid w:val="00000979"/>
    <w:rPr>
      <w:rFonts w:ascii="Arial" w:hAnsi="Arial"/>
      <w:bCs/>
      <w:sz w:val="32"/>
    </w:rPr>
  </w:style>
  <w:style w:type="table" w:styleId="Tabellrutnt">
    <w:name w:val="Table Grid"/>
    <w:basedOn w:val="Normaltabell"/>
    <w:uiPriority w:val="59"/>
    <w:rsid w:val="00C4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44FE0"/>
    <w:rPr>
      <w:color w:val="0000FF" w:themeColor="hyperlink"/>
      <w:u w:val="single"/>
    </w:rPr>
  </w:style>
  <w:style w:type="paragraph" w:customStyle="1" w:styleId="Sifferlista">
    <w:name w:val="Sifferlista"/>
    <w:basedOn w:val="Normal"/>
    <w:qFormat/>
    <w:rsid w:val="00120EA7"/>
    <w:pPr>
      <w:numPr>
        <w:numId w:val="9"/>
      </w:numPr>
      <w:spacing w:before="120"/>
    </w:pPr>
  </w:style>
  <w:style w:type="paragraph" w:styleId="Liststycke">
    <w:name w:val="List Paragraph"/>
    <w:basedOn w:val="Normal"/>
    <w:link w:val="ListstyckeChar"/>
    <w:uiPriority w:val="34"/>
    <w:qFormat/>
    <w:rsid w:val="00120EA7"/>
    <w:pPr>
      <w:ind w:left="720"/>
      <w:contextualSpacing/>
    </w:pPr>
  </w:style>
  <w:style w:type="character" w:customStyle="1" w:styleId="ListstyckeChar">
    <w:name w:val="Liststycke Char"/>
    <w:basedOn w:val="Standardstycketeckensnitt"/>
    <w:link w:val="Liststycke"/>
    <w:uiPriority w:val="34"/>
    <w:rsid w:val="000B56FB"/>
    <w:rPr>
      <w:rFonts w:ascii="Arial" w:hAnsi="Arial"/>
      <w:sz w:val="24"/>
    </w:rPr>
  </w:style>
  <w:style w:type="paragraph" w:styleId="Fotnotstext">
    <w:name w:val="footnote text"/>
    <w:basedOn w:val="Normal"/>
    <w:link w:val="FotnotstextChar"/>
    <w:rsid w:val="000B56FB"/>
    <w:rPr>
      <w:sz w:val="20"/>
    </w:rPr>
  </w:style>
  <w:style w:type="character" w:customStyle="1" w:styleId="FotnotstextChar">
    <w:name w:val="Fotnotstext Char"/>
    <w:basedOn w:val="Standardstycketeckensnitt"/>
    <w:link w:val="Fotnotstext"/>
    <w:rsid w:val="000B56FB"/>
    <w:rPr>
      <w:rFonts w:ascii="Arial" w:hAnsi="Arial"/>
    </w:rPr>
  </w:style>
  <w:style w:type="character" w:styleId="Fotnotsreferens">
    <w:name w:val="footnote reference"/>
    <w:basedOn w:val="Standardstycketeckensnitt"/>
    <w:rsid w:val="000B56FB"/>
    <w:rPr>
      <w:vertAlign w:val="superscript"/>
    </w:rPr>
  </w:style>
  <w:style w:type="character" w:styleId="AnvndHyperlnk">
    <w:name w:val="FollowedHyperlink"/>
    <w:basedOn w:val="Standardstycketeckensnitt"/>
    <w:rsid w:val="00CA1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hyperlink" Target="http://www.sgc.se" TargetMode="External"/><Relationship Id="rId1" Type="http://schemas.openxmlformats.org/officeDocument/2006/relationships/hyperlink" Target="mailto:info@sgc.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iksdagen.se/sv/Dokument-Lagar/Lagar/Svenskforfattningssamling/Forordning-2008761-om-statl_sfs-2008-7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2%20Personal%20och%20administration\25%20Mallar\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DokumentMALL</Template>
  <TotalTime>1</TotalTime>
  <Pages>3</Pages>
  <Words>924</Words>
  <Characters>4900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Samhällsutveckling</vt:lpstr>
    </vt:vector>
  </TitlesOfParts>
  <Company>Björkö Mjukvaruinformation</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Samhällsutveckling</dc:title>
  <dc:creator>Mattias</dc:creator>
  <cp:lastModifiedBy>Anna-Karin Jannasch</cp:lastModifiedBy>
  <cp:revision>3</cp:revision>
  <cp:lastPrinted>2014-10-09T07:35:00Z</cp:lastPrinted>
  <dcterms:created xsi:type="dcterms:W3CDTF">2015-03-12T07:50:00Z</dcterms:created>
  <dcterms:modified xsi:type="dcterms:W3CDTF">2015-03-18T14:01:00Z</dcterms:modified>
</cp:coreProperties>
</file>