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644E" w14:textId="77777777" w:rsidR="00E749FD" w:rsidRPr="00E749FD" w:rsidRDefault="003668F7" w:rsidP="00E749FD">
      <w:pPr>
        <w:pStyle w:val="Ingetavstnd"/>
        <w:spacing w:before="1200" w:after="120"/>
        <w:rPr>
          <w:rFonts w:ascii="Arial" w:hAnsi="Arial" w:cs="Arial"/>
          <w:b/>
          <w:sz w:val="52"/>
          <w:szCs w:val="52"/>
        </w:rPr>
      </w:pPr>
      <w:bookmarkStart w:id="0" w:name="_Toc92299471"/>
      <w:bookmarkStart w:id="1" w:name="_Toc92299430"/>
      <w:bookmarkStart w:id="2" w:name="_Toc92299286"/>
      <w:bookmarkStart w:id="3" w:name="_Toc92299171"/>
      <w:bookmarkStart w:id="4" w:name="_Toc92299130"/>
      <w:bookmarkStart w:id="5" w:name="_Toc92298975"/>
      <w:bookmarkStart w:id="6" w:name="_Toc92287715"/>
      <w:bookmarkStart w:id="7" w:name="_Toc430277558"/>
      <w:bookmarkStart w:id="8" w:name="_Toc418595696"/>
      <w:bookmarkStart w:id="9" w:name="_Toc449949575"/>
      <w:bookmarkStart w:id="10" w:name="_Toc423431722"/>
      <w:r w:rsidRPr="00E749FD">
        <w:rPr>
          <w:rFonts w:ascii="Arial" w:hAnsi="Arial" w:cs="Arial"/>
          <w:b/>
          <w:sz w:val="52"/>
          <w:szCs w:val="52"/>
        </w:rPr>
        <w:t>KVALITETSDEKLARATION</w:t>
      </w:r>
    </w:p>
    <w:p w14:paraId="43D4E9F0" w14:textId="77777777" w:rsidR="00302206" w:rsidRPr="00A53682" w:rsidRDefault="00A53682" w:rsidP="00A53682">
      <w:pPr>
        <w:rPr>
          <w:rFonts w:ascii="Arial" w:hAnsi="Arial" w:cs="Arial"/>
          <w:b/>
          <w:sz w:val="44"/>
          <w:szCs w:val="44"/>
        </w:rPr>
      </w:pPr>
      <w:r w:rsidRPr="00A53682">
        <w:rPr>
          <w:rFonts w:ascii="Arial" w:hAnsi="Arial" w:cs="Arial"/>
          <w:b/>
          <w:sz w:val="44"/>
          <w:szCs w:val="44"/>
        </w:rPr>
        <w:t>Energianvändning i byggsektorn</w:t>
      </w:r>
    </w:p>
    <w:p w14:paraId="5A1F81B7" w14:textId="77777777" w:rsidR="00FE640C" w:rsidRDefault="00FE640C" w:rsidP="00F219F2"/>
    <w:p w14:paraId="05C0280B" w14:textId="77777777" w:rsidR="006F6376" w:rsidRPr="00A53682" w:rsidRDefault="003D7E93" w:rsidP="00A53682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Ä</w:t>
      </w:r>
      <w:r w:rsidR="00226144" w:rsidRPr="00C22920">
        <w:rPr>
          <w:rFonts w:cs="Arial"/>
          <w:sz w:val="22"/>
          <w:szCs w:val="22"/>
        </w:rPr>
        <w:t>mnesområde</w:t>
      </w:r>
    </w:p>
    <w:p w14:paraId="37CCEA50" w14:textId="77777777" w:rsidR="00740310" w:rsidRDefault="00A53682" w:rsidP="00A53682">
      <w:pPr>
        <w:pStyle w:val="Innehllsfrteckningsrubrik"/>
        <w:rPr>
          <w:rFonts w:ascii="Book Antiqua" w:hAnsi="Book Antiqua" w:cs="Arial"/>
          <w:b w:val="0"/>
          <w:sz w:val="22"/>
          <w:szCs w:val="22"/>
        </w:rPr>
      </w:pPr>
      <w:r w:rsidRPr="00A53682">
        <w:rPr>
          <w:rFonts w:ascii="Book Antiqua" w:hAnsi="Book Antiqua" w:cs="Arial"/>
          <w:b w:val="0"/>
          <w:sz w:val="22"/>
          <w:szCs w:val="22"/>
        </w:rPr>
        <w:t>Energi</w:t>
      </w:r>
    </w:p>
    <w:p w14:paraId="4B45E15E" w14:textId="77777777" w:rsidR="00A53682" w:rsidRPr="00A53682" w:rsidRDefault="00A53682" w:rsidP="00A53682">
      <w:pPr>
        <w:rPr>
          <w:lang w:bidi="en-US"/>
        </w:rPr>
      </w:pPr>
    </w:p>
    <w:p w14:paraId="52E3B8FA" w14:textId="77777777" w:rsidR="004450F5" w:rsidRPr="00C22920" w:rsidRDefault="004450F5" w:rsidP="004450F5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Statistikområde</w:t>
      </w:r>
    </w:p>
    <w:p w14:paraId="5D092181" w14:textId="27234323" w:rsidR="0029478A" w:rsidRDefault="004822C3" w:rsidP="006E5D32">
      <w:pPr>
        <w:rPr>
          <w:rFonts w:ascii="Arial" w:eastAsiaTheme="majorEastAsia" w:hAnsi="Arial" w:cs="Arial"/>
          <w:b/>
          <w:bCs/>
          <w:lang w:bidi="en-US"/>
        </w:rPr>
      </w:pPr>
      <w:r w:rsidRPr="004822C3">
        <w:rPr>
          <w:rFonts w:cs="Arial"/>
        </w:rPr>
        <w:t>Tillförsel och användning av energi</w:t>
      </w:r>
    </w:p>
    <w:p w14:paraId="0ED34D2A" w14:textId="77777777" w:rsidR="006E5D32" w:rsidRPr="0010603A" w:rsidRDefault="006E5D32" w:rsidP="006E5D32"/>
    <w:p w14:paraId="53FE64FC" w14:textId="77777777" w:rsidR="0074142D" w:rsidRPr="00C22920" w:rsidRDefault="004450F5" w:rsidP="0074142D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Produktkod</w:t>
      </w:r>
    </w:p>
    <w:p w14:paraId="6174EF49" w14:textId="77777777" w:rsidR="00A53682" w:rsidRPr="00A53682" w:rsidRDefault="00A53682" w:rsidP="007F58AE">
      <w:pPr>
        <w:pStyle w:val="Innehllsfrteckningsrubrik"/>
        <w:rPr>
          <w:rFonts w:ascii="Book Antiqua" w:hAnsi="Book Antiqua" w:cs="Arial"/>
          <w:b w:val="0"/>
          <w:sz w:val="22"/>
          <w:szCs w:val="22"/>
        </w:rPr>
      </w:pPr>
      <w:r w:rsidRPr="00A53682">
        <w:rPr>
          <w:rFonts w:ascii="Book Antiqua" w:hAnsi="Book Antiqua" w:cs="Arial"/>
          <w:b w:val="0"/>
          <w:sz w:val="22"/>
          <w:szCs w:val="22"/>
        </w:rPr>
        <w:t>EN0114</w:t>
      </w:r>
    </w:p>
    <w:p w14:paraId="5E0CB842" w14:textId="77777777" w:rsidR="00A53682" w:rsidRPr="00A53682" w:rsidRDefault="00A53682" w:rsidP="00A53682">
      <w:pPr>
        <w:rPr>
          <w:lang w:bidi="en-US"/>
        </w:rPr>
      </w:pPr>
    </w:p>
    <w:p w14:paraId="290595AB" w14:textId="77777777" w:rsidR="007F58AE" w:rsidRPr="00C22920" w:rsidRDefault="007F58AE" w:rsidP="007F58AE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Referenstid</w:t>
      </w:r>
    </w:p>
    <w:p w14:paraId="2A34A731" w14:textId="21457785" w:rsidR="00FC616D" w:rsidRDefault="004822C3" w:rsidP="006E5D32">
      <w:pPr>
        <w:rPr>
          <w:rFonts w:ascii="Arial" w:eastAsiaTheme="majorEastAsia" w:hAnsi="Arial" w:cstheme="majorBidi"/>
          <w:bCs/>
          <w:iCs/>
          <w:sz w:val="28"/>
          <w:szCs w:val="28"/>
          <w:lang w:bidi="en-US"/>
        </w:rPr>
      </w:pPr>
      <w:r>
        <w:t>2017</w:t>
      </w:r>
      <w:bookmarkStart w:id="11" w:name="_Toc350128446"/>
      <w:bookmarkStart w:id="12" w:name="_Toc323044831"/>
      <w:bookmarkStart w:id="13" w:name="_Toc389028314"/>
      <w:bookmarkStart w:id="14" w:name="_Toc423431707"/>
      <w:r w:rsidR="00126FBF">
        <w:rPr>
          <w:noProof/>
          <w:lang w:eastAsia="sv-SE"/>
        </w:rPr>
        <w:drawing>
          <wp:anchor distT="0" distB="0" distL="114300" distR="114300" simplePos="0" relativeHeight="251658240" behindDoc="0" locked="1" layoutInCell="1" allowOverlap="0" wp14:anchorId="6ED0C6EF" wp14:editId="5A6CA3D4">
            <wp:simplePos x="0" y="0"/>
            <wp:positionH relativeFrom="column">
              <wp:posOffset>0</wp:posOffset>
            </wp:positionH>
            <wp:positionV relativeFrom="page">
              <wp:posOffset>9037320</wp:posOffset>
            </wp:positionV>
            <wp:extent cx="2062800" cy="3060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6D">
        <w:rPr>
          <w:rFonts w:ascii="Arial" w:eastAsiaTheme="majorEastAsia" w:hAnsi="Arial" w:cstheme="majorBidi"/>
          <w:b/>
          <w:bCs/>
          <w:iCs/>
          <w:sz w:val="28"/>
          <w:szCs w:val="28"/>
          <w:lang w:bidi="en-US"/>
        </w:rPr>
        <w:br w:type="page"/>
      </w:r>
    </w:p>
    <w:bookmarkEnd w:id="11"/>
    <w:bookmarkEnd w:id="12"/>
    <w:bookmarkEnd w:id="13"/>
    <w:bookmarkEnd w:id="14"/>
    <w:p w14:paraId="40FED047" w14:textId="77777777" w:rsidR="00582C96" w:rsidRDefault="00582C96" w:rsidP="0026623A"/>
    <w:p w14:paraId="140CA5E7" w14:textId="7F53D7B2" w:rsidR="006E5D32" w:rsidRDefault="00DB3B2F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sv-SE"/>
        </w:rPr>
      </w:pPr>
      <w:r>
        <w:fldChar w:fldCharType="begin"/>
      </w:r>
      <w:r>
        <w:instrText xml:space="preserve"> TOC \h \z \t "Rubrik 1;2;Rubrik 2;3;Rubrik 3;4;Rubrik 4;4;Rubrik;1" </w:instrText>
      </w:r>
      <w:r>
        <w:fldChar w:fldCharType="separate"/>
      </w:r>
      <w:hyperlink w:anchor="_Toc535416124" w:history="1">
        <w:r w:rsidR="006E5D32" w:rsidRPr="00882DEB">
          <w:rPr>
            <w:rStyle w:val="Hyperlnk"/>
            <w:rFonts w:cs="Arial"/>
            <w:noProof/>
          </w:rPr>
          <w:t>Statistikens kvalitet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_Toc535416124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3</w:t>
        </w:r>
        <w:r w:rsidR="006E5D32">
          <w:rPr>
            <w:noProof/>
            <w:webHidden/>
          </w:rPr>
          <w:fldChar w:fldCharType="end"/>
        </w:r>
      </w:hyperlink>
    </w:p>
    <w:p w14:paraId="44454F0F" w14:textId="23726681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25" w:history="1">
        <w:r w:rsidR="006E5D32" w:rsidRPr="00882DEB">
          <w:rPr>
            <w:rStyle w:val="Hyperlnk"/>
          </w:rPr>
          <w:t>1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Relevans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_Toc535416125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3</w:t>
        </w:r>
        <w:r w:rsidR="006E5D32">
          <w:rPr>
            <w:webHidden/>
          </w:rPr>
          <w:fldChar w:fldCharType="end"/>
        </w:r>
      </w:hyperlink>
    </w:p>
    <w:p w14:paraId="31F6B882" w14:textId="51960FEF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26" w:history="1">
        <w:r w:rsidR="006E5D32" w:rsidRPr="00882DEB">
          <w:rPr>
            <w:rStyle w:val="Hyperlnk"/>
            <w:noProof/>
          </w:rPr>
          <w:t>1.1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Ändamål och informationsbehov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_Toc535416126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3</w:t>
        </w:r>
        <w:r w:rsidR="006E5D32">
          <w:rPr>
            <w:noProof/>
            <w:webHidden/>
          </w:rPr>
          <w:fldChar w:fldCharType="end"/>
        </w:r>
      </w:hyperlink>
    </w:p>
    <w:p w14:paraId="611126B2" w14:textId="21E0A374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27" w:history="1">
        <w:r w:rsidR="006E5D32" w:rsidRPr="00882DEB">
          <w:rPr>
            <w:rStyle w:val="Hyperlnk"/>
            <w:noProof/>
          </w:rPr>
          <w:t>1.1.1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Statistikens ändamål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_Toc535416127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3</w:t>
        </w:r>
        <w:r w:rsidR="006E5D32">
          <w:rPr>
            <w:noProof/>
            <w:webHidden/>
          </w:rPr>
          <w:fldChar w:fldCharType="end"/>
        </w:r>
      </w:hyperlink>
    </w:p>
    <w:p w14:paraId="6A0661D7" w14:textId="1FFF3165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28" w:history="1">
        <w:r w:rsidR="006E5D32" w:rsidRPr="00882DEB">
          <w:rPr>
            <w:rStyle w:val="Hyperlnk"/>
            <w:noProof/>
          </w:rPr>
          <w:t>1.1.2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Statistikanvändares informationsbehov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_Toc535416128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3</w:t>
        </w:r>
        <w:r w:rsidR="006E5D32">
          <w:rPr>
            <w:noProof/>
            <w:webHidden/>
          </w:rPr>
          <w:fldChar w:fldCharType="end"/>
        </w:r>
      </w:hyperlink>
    </w:p>
    <w:p w14:paraId="11E45385" w14:textId="4BF93742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29" w:history="1">
        <w:r w:rsidR="006E5D32" w:rsidRPr="00882DEB">
          <w:rPr>
            <w:rStyle w:val="Hyperlnk"/>
            <w:noProof/>
          </w:rPr>
          <w:t>1.2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Statistikens innehåll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_Toc535416129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3</w:t>
        </w:r>
        <w:r w:rsidR="006E5D32">
          <w:rPr>
            <w:noProof/>
            <w:webHidden/>
          </w:rPr>
          <w:fldChar w:fldCharType="end"/>
        </w:r>
      </w:hyperlink>
    </w:p>
    <w:p w14:paraId="7F64C3B2" w14:textId="08FB2041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30" w:history="1">
        <w:r w:rsidR="006E5D32" w:rsidRPr="00882DEB">
          <w:rPr>
            <w:rStyle w:val="Hyperlnk"/>
            <w:noProof/>
          </w:rPr>
          <w:t>1.2.1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Objekt och population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_Toc535416130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3</w:t>
        </w:r>
        <w:r w:rsidR="006E5D32">
          <w:rPr>
            <w:noProof/>
            <w:webHidden/>
          </w:rPr>
          <w:fldChar w:fldCharType="end"/>
        </w:r>
      </w:hyperlink>
    </w:p>
    <w:p w14:paraId="57B46E36" w14:textId="28746ECB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31" w:history="1">
        <w:r w:rsidR="006E5D32" w:rsidRPr="00882DEB">
          <w:rPr>
            <w:rStyle w:val="Hyperlnk"/>
            <w:noProof/>
          </w:rPr>
          <w:t>1.2.2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Variabler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_Toc535416131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3</w:t>
        </w:r>
        <w:r w:rsidR="006E5D32">
          <w:rPr>
            <w:noProof/>
            <w:webHidden/>
          </w:rPr>
          <w:fldChar w:fldCharType="end"/>
        </w:r>
      </w:hyperlink>
    </w:p>
    <w:p w14:paraId="3FF4F2D8" w14:textId="6B214037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32" w:history="1">
        <w:r w:rsidR="006E5D32" w:rsidRPr="00882DEB">
          <w:rPr>
            <w:rStyle w:val="Hyperlnk"/>
            <w:noProof/>
          </w:rPr>
          <w:t>1.2.3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Statistiska mått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_Toc535416132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4</w:t>
        </w:r>
        <w:r w:rsidR="006E5D32">
          <w:rPr>
            <w:noProof/>
            <w:webHidden/>
          </w:rPr>
          <w:fldChar w:fldCharType="end"/>
        </w:r>
      </w:hyperlink>
    </w:p>
    <w:p w14:paraId="33153185" w14:textId="78763A00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33" w:history="1">
        <w:r w:rsidR="006E5D32" w:rsidRPr="00882DEB">
          <w:rPr>
            <w:rStyle w:val="Hyperlnk"/>
            <w:noProof/>
          </w:rPr>
          <w:t>1.2.4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Redovisningsgrupper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_Toc535416133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4</w:t>
        </w:r>
        <w:r w:rsidR="006E5D32">
          <w:rPr>
            <w:noProof/>
            <w:webHidden/>
          </w:rPr>
          <w:fldChar w:fldCharType="end"/>
        </w:r>
      </w:hyperlink>
    </w:p>
    <w:p w14:paraId="4F19881E" w14:textId="7EEC2F1C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34" w:history="1">
        <w:r w:rsidR="006E5D32" w:rsidRPr="00882DEB">
          <w:rPr>
            <w:rStyle w:val="Hyperlnk"/>
            <w:noProof/>
          </w:rPr>
          <w:t>1.2.5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Referenstider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_Toc535416134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4</w:t>
        </w:r>
        <w:r w:rsidR="006E5D32">
          <w:rPr>
            <w:noProof/>
            <w:webHidden/>
          </w:rPr>
          <w:fldChar w:fldCharType="end"/>
        </w:r>
      </w:hyperlink>
    </w:p>
    <w:p w14:paraId="2187C7B5" w14:textId="42DFCB50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35" w:history="1">
        <w:r w:rsidR="006E5D32" w:rsidRPr="00882DEB">
          <w:rPr>
            <w:rStyle w:val="Hyperlnk"/>
          </w:rPr>
          <w:t>2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Tillförlitlighet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_Toc535416135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4</w:t>
        </w:r>
        <w:r w:rsidR="006E5D32">
          <w:rPr>
            <w:webHidden/>
          </w:rPr>
          <w:fldChar w:fldCharType="end"/>
        </w:r>
      </w:hyperlink>
    </w:p>
    <w:p w14:paraId="7105384D" w14:textId="27BC5C3E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36" w:history="1">
        <w:r w:rsidR="006E5D32" w:rsidRPr="00882DEB">
          <w:rPr>
            <w:rStyle w:val="Hyperlnk"/>
            <w:noProof/>
          </w:rPr>
          <w:t>2.1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Tillförlitlighet totalt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_Toc535416136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4</w:t>
        </w:r>
        <w:r w:rsidR="006E5D32">
          <w:rPr>
            <w:noProof/>
            <w:webHidden/>
          </w:rPr>
          <w:fldChar w:fldCharType="end"/>
        </w:r>
      </w:hyperlink>
    </w:p>
    <w:p w14:paraId="704DE219" w14:textId="0586F985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37" w:history="1">
        <w:r w:rsidR="006E5D32" w:rsidRPr="00882DEB">
          <w:rPr>
            <w:rStyle w:val="Hyperlnk"/>
            <w:noProof/>
          </w:rPr>
          <w:t>2.2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Osäkerhetskällor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_Toc535416137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4</w:t>
        </w:r>
        <w:r w:rsidR="006E5D32">
          <w:rPr>
            <w:noProof/>
            <w:webHidden/>
          </w:rPr>
          <w:fldChar w:fldCharType="end"/>
        </w:r>
      </w:hyperlink>
    </w:p>
    <w:p w14:paraId="76E7CA4C" w14:textId="33783E70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38" w:history="1">
        <w:r w:rsidR="006E5D32" w:rsidRPr="00882DEB">
          <w:rPr>
            <w:rStyle w:val="Hyperlnk"/>
            <w:noProof/>
          </w:rPr>
          <w:t>2.2.1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Urval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_Toc535416138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4</w:t>
        </w:r>
        <w:r w:rsidR="006E5D32">
          <w:rPr>
            <w:noProof/>
            <w:webHidden/>
          </w:rPr>
          <w:fldChar w:fldCharType="end"/>
        </w:r>
      </w:hyperlink>
    </w:p>
    <w:p w14:paraId="3548B122" w14:textId="017EF182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39" w:history="1">
        <w:r w:rsidR="006E5D32" w:rsidRPr="00882DEB">
          <w:rPr>
            <w:rStyle w:val="Hyperlnk"/>
            <w:noProof/>
          </w:rPr>
          <w:t>2.2.2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Ramtäckning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_Toc535416139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6</w:t>
        </w:r>
        <w:r w:rsidR="006E5D32">
          <w:rPr>
            <w:noProof/>
            <w:webHidden/>
          </w:rPr>
          <w:fldChar w:fldCharType="end"/>
        </w:r>
      </w:hyperlink>
    </w:p>
    <w:p w14:paraId="40C03201" w14:textId="2184BB8E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40" w:history="1">
        <w:r w:rsidR="006E5D32" w:rsidRPr="00882DEB">
          <w:rPr>
            <w:rStyle w:val="Hyperlnk"/>
            <w:noProof/>
          </w:rPr>
          <w:t>2.2.3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Mätning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_Toc535416140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6</w:t>
        </w:r>
        <w:r w:rsidR="006E5D32">
          <w:rPr>
            <w:noProof/>
            <w:webHidden/>
          </w:rPr>
          <w:fldChar w:fldCharType="end"/>
        </w:r>
      </w:hyperlink>
    </w:p>
    <w:p w14:paraId="284B233C" w14:textId="75AF0800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41" w:history="1">
        <w:r w:rsidR="006E5D32" w:rsidRPr="00882DEB">
          <w:rPr>
            <w:rStyle w:val="Hyperlnk"/>
            <w:noProof/>
          </w:rPr>
          <w:t>2.2.4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Bortfall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_Toc535416141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7</w:t>
        </w:r>
        <w:r w:rsidR="006E5D32">
          <w:rPr>
            <w:noProof/>
            <w:webHidden/>
          </w:rPr>
          <w:fldChar w:fldCharType="end"/>
        </w:r>
      </w:hyperlink>
    </w:p>
    <w:p w14:paraId="65938A96" w14:textId="775AB1C7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42" w:history="1">
        <w:r w:rsidR="006E5D32" w:rsidRPr="00882DEB">
          <w:rPr>
            <w:rStyle w:val="Hyperlnk"/>
            <w:noProof/>
          </w:rPr>
          <w:t>2.2.5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Bearbetning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_Toc535416142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8</w:t>
        </w:r>
        <w:r w:rsidR="006E5D32">
          <w:rPr>
            <w:noProof/>
            <w:webHidden/>
          </w:rPr>
          <w:fldChar w:fldCharType="end"/>
        </w:r>
      </w:hyperlink>
    </w:p>
    <w:p w14:paraId="68389BDE" w14:textId="427C82FA" w:rsidR="006E5D32" w:rsidRDefault="00464BF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535416143" w:history="1">
        <w:r w:rsidR="006E5D32" w:rsidRPr="00882DEB">
          <w:rPr>
            <w:rStyle w:val="Hyperlnk"/>
            <w:noProof/>
          </w:rPr>
          <w:t>2.2.6</w:t>
        </w:r>
        <w:r w:rsidR="006E5D3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Modellantaganden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_Toc535416143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8</w:t>
        </w:r>
        <w:r w:rsidR="006E5D32">
          <w:rPr>
            <w:noProof/>
            <w:webHidden/>
          </w:rPr>
          <w:fldChar w:fldCharType="end"/>
        </w:r>
      </w:hyperlink>
    </w:p>
    <w:p w14:paraId="5EC08BC2" w14:textId="344A2484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44" w:history="1">
        <w:r w:rsidR="006E5D32" w:rsidRPr="00882DEB">
          <w:rPr>
            <w:rStyle w:val="Hyperlnk"/>
            <w:noProof/>
          </w:rPr>
          <w:t>2.3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Preliminär statistik jämförd med slutlig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_Toc535416144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8</w:t>
        </w:r>
        <w:r w:rsidR="006E5D32">
          <w:rPr>
            <w:noProof/>
            <w:webHidden/>
          </w:rPr>
          <w:fldChar w:fldCharType="end"/>
        </w:r>
      </w:hyperlink>
    </w:p>
    <w:p w14:paraId="1BBE71D6" w14:textId="23C07B65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45" w:history="1">
        <w:r w:rsidR="006E5D32" w:rsidRPr="00882DEB">
          <w:rPr>
            <w:rStyle w:val="Hyperlnk"/>
          </w:rPr>
          <w:t>3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Aktualitet och punktlighet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_Toc535416145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9</w:t>
        </w:r>
        <w:r w:rsidR="006E5D32">
          <w:rPr>
            <w:webHidden/>
          </w:rPr>
          <w:fldChar w:fldCharType="end"/>
        </w:r>
      </w:hyperlink>
    </w:p>
    <w:p w14:paraId="7421E8D8" w14:textId="0022B149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46" w:history="1">
        <w:r w:rsidR="006E5D32" w:rsidRPr="00882DEB">
          <w:rPr>
            <w:rStyle w:val="Hyperlnk"/>
            <w:noProof/>
          </w:rPr>
          <w:t>3.1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Framställningstid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_Toc535416146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53EE98F5" w14:textId="03EA7FA9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47" w:history="1">
        <w:r w:rsidR="006E5D32" w:rsidRPr="00882DEB">
          <w:rPr>
            <w:rStyle w:val="Hyperlnk"/>
            <w:noProof/>
          </w:rPr>
          <w:t>3.2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Frekvens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_Toc535416147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036EDDD4" w14:textId="5D8BE53F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48" w:history="1">
        <w:r w:rsidR="006E5D32" w:rsidRPr="00882DEB">
          <w:rPr>
            <w:rStyle w:val="Hyperlnk"/>
            <w:noProof/>
          </w:rPr>
          <w:t>3.3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Punktlighet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_Toc535416148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4F40B3EE" w14:textId="2BF47590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49" w:history="1">
        <w:r w:rsidR="006E5D32" w:rsidRPr="00882DEB">
          <w:rPr>
            <w:rStyle w:val="Hyperlnk"/>
          </w:rPr>
          <w:t>4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Tillgänglighet och tydlighet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_Toc535416149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9</w:t>
        </w:r>
        <w:r w:rsidR="006E5D32">
          <w:rPr>
            <w:webHidden/>
          </w:rPr>
          <w:fldChar w:fldCharType="end"/>
        </w:r>
      </w:hyperlink>
    </w:p>
    <w:p w14:paraId="004387DC" w14:textId="4B7BB881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50" w:history="1">
        <w:r w:rsidR="006E5D32" w:rsidRPr="00882DEB">
          <w:rPr>
            <w:rStyle w:val="Hyperlnk"/>
            <w:noProof/>
          </w:rPr>
          <w:t>4.1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Tillgång till statistiken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_Toc535416150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39BFA098" w14:textId="4E682033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51" w:history="1">
        <w:r w:rsidR="006E5D32" w:rsidRPr="00882DEB">
          <w:rPr>
            <w:rStyle w:val="Hyperlnk"/>
            <w:noProof/>
          </w:rPr>
          <w:t>4.2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Möjlighet till ytterligare statistik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_Toc535416151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0780BE5E" w14:textId="3F71FFA2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52" w:history="1">
        <w:r w:rsidR="006E5D32" w:rsidRPr="00882DEB">
          <w:rPr>
            <w:rStyle w:val="Hyperlnk"/>
            <w:noProof/>
          </w:rPr>
          <w:t>4.3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Presentation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_Toc535416152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7113C129" w14:textId="3EEE40BB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53" w:history="1">
        <w:r w:rsidR="006E5D32" w:rsidRPr="00882DEB">
          <w:rPr>
            <w:rStyle w:val="Hyperlnk"/>
            <w:noProof/>
          </w:rPr>
          <w:t>4.4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Dokumentation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_Toc535416153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1DE637C2" w14:textId="1F43B045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54" w:history="1">
        <w:r w:rsidR="006E5D32" w:rsidRPr="00882DEB">
          <w:rPr>
            <w:rStyle w:val="Hyperlnk"/>
          </w:rPr>
          <w:t>5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Jämförbarhet och samanvändbarhet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_Toc535416154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9</w:t>
        </w:r>
        <w:r w:rsidR="006E5D32">
          <w:rPr>
            <w:webHidden/>
          </w:rPr>
          <w:fldChar w:fldCharType="end"/>
        </w:r>
      </w:hyperlink>
    </w:p>
    <w:p w14:paraId="23F5DCAE" w14:textId="5ACBBD5B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55" w:history="1">
        <w:r w:rsidR="006E5D32" w:rsidRPr="00882DEB">
          <w:rPr>
            <w:rStyle w:val="Hyperlnk"/>
            <w:noProof/>
          </w:rPr>
          <w:t>5.1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Jämförbarhet över tid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_Toc535416155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2A1FB277" w14:textId="7DAC0F81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56" w:history="1">
        <w:r w:rsidR="006E5D32" w:rsidRPr="00882DEB">
          <w:rPr>
            <w:rStyle w:val="Hyperlnk"/>
            <w:noProof/>
          </w:rPr>
          <w:t>5.2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Jämförbarhet mellan grupper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_Toc535416156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1D0E3C00" w14:textId="72A6EA62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57" w:history="1">
        <w:r w:rsidR="006E5D32" w:rsidRPr="00882DEB">
          <w:rPr>
            <w:rStyle w:val="Hyperlnk"/>
            <w:noProof/>
          </w:rPr>
          <w:t>5.3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Samanvändbarhet i övrigt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_Toc535416157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46208B64" w14:textId="00D91784" w:rsidR="006E5D32" w:rsidRDefault="00464BF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535416158" w:history="1">
        <w:r w:rsidR="006E5D32" w:rsidRPr="00882DEB">
          <w:rPr>
            <w:rStyle w:val="Hyperlnk"/>
            <w:noProof/>
          </w:rPr>
          <w:t>5.4</w:t>
        </w:r>
        <w:r w:rsidR="006E5D32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  <w:noProof/>
          </w:rPr>
          <w:t>Numerisk överensstämmelse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_Toc535416158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9</w:t>
        </w:r>
        <w:r w:rsidR="006E5D32">
          <w:rPr>
            <w:noProof/>
            <w:webHidden/>
          </w:rPr>
          <w:fldChar w:fldCharType="end"/>
        </w:r>
      </w:hyperlink>
    </w:p>
    <w:p w14:paraId="6990486D" w14:textId="29B8C7FC" w:rsidR="006E5D32" w:rsidRDefault="00464BF1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sv-SE"/>
        </w:rPr>
      </w:pPr>
      <w:hyperlink w:anchor="_Toc535416159" w:history="1">
        <w:r w:rsidR="006E5D32" w:rsidRPr="00882DEB">
          <w:rPr>
            <w:rStyle w:val="Hyperlnk"/>
            <w:rFonts w:eastAsia="Times New Roman" w:cs="Arial"/>
            <w:noProof/>
            <w:lang w:eastAsia="sv-SE"/>
          </w:rPr>
          <w:t>Allmänna uppgifter</w:t>
        </w:r>
        <w:r w:rsidR="006E5D32">
          <w:rPr>
            <w:noProof/>
            <w:webHidden/>
          </w:rPr>
          <w:tab/>
        </w:r>
        <w:r w:rsidR="006E5D32">
          <w:rPr>
            <w:noProof/>
            <w:webHidden/>
          </w:rPr>
          <w:fldChar w:fldCharType="begin"/>
        </w:r>
        <w:r w:rsidR="006E5D32">
          <w:rPr>
            <w:noProof/>
            <w:webHidden/>
          </w:rPr>
          <w:instrText xml:space="preserve"> PAGEREF _Toc535416159 \h </w:instrText>
        </w:r>
        <w:r w:rsidR="006E5D32">
          <w:rPr>
            <w:noProof/>
            <w:webHidden/>
          </w:rPr>
        </w:r>
        <w:r w:rsidR="006E5D32">
          <w:rPr>
            <w:noProof/>
            <w:webHidden/>
          </w:rPr>
          <w:fldChar w:fldCharType="separate"/>
        </w:r>
        <w:r w:rsidR="006E5D32">
          <w:rPr>
            <w:noProof/>
            <w:webHidden/>
          </w:rPr>
          <w:t>10</w:t>
        </w:r>
        <w:r w:rsidR="006E5D32">
          <w:rPr>
            <w:noProof/>
            <w:webHidden/>
          </w:rPr>
          <w:fldChar w:fldCharType="end"/>
        </w:r>
      </w:hyperlink>
    </w:p>
    <w:p w14:paraId="5F377A47" w14:textId="5C9834C6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0" w:history="1">
        <w:r w:rsidR="006E5D32" w:rsidRPr="00882DEB">
          <w:rPr>
            <w:rStyle w:val="Hyperlnk"/>
          </w:rPr>
          <w:t>A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Klassificeringen Sveriges officiella statistik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_Toc535416160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10</w:t>
        </w:r>
        <w:r w:rsidR="006E5D32">
          <w:rPr>
            <w:webHidden/>
          </w:rPr>
          <w:fldChar w:fldCharType="end"/>
        </w:r>
      </w:hyperlink>
    </w:p>
    <w:p w14:paraId="6E5AD938" w14:textId="1EC25A46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1" w:history="1">
        <w:r w:rsidR="006E5D32" w:rsidRPr="00882DEB">
          <w:rPr>
            <w:rStyle w:val="Hyperlnk"/>
          </w:rPr>
          <w:t>B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Sekretess och personuppgiftsbehandling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_Toc535416161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10</w:t>
        </w:r>
        <w:r w:rsidR="006E5D32">
          <w:rPr>
            <w:webHidden/>
          </w:rPr>
          <w:fldChar w:fldCharType="end"/>
        </w:r>
      </w:hyperlink>
    </w:p>
    <w:p w14:paraId="2E4C3AF9" w14:textId="47584C4C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2" w:history="1">
        <w:r w:rsidR="006E5D32" w:rsidRPr="00882DEB">
          <w:rPr>
            <w:rStyle w:val="Hyperlnk"/>
          </w:rPr>
          <w:t>C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Bevarande och gallring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_Toc535416162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10</w:t>
        </w:r>
        <w:r w:rsidR="006E5D32">
          <w:rPr>
            <w:webHidden/>
          </w:rPr>
          <w:fldChar w:fldCharType="end"/>
        </w:r>
      </w:hyperlink>
    </w:p>
    <w:p w14:paraId="3D7F1F39" w14:textId="5CAF8D84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3" w:history="1">
        <w:r w:rsidR="006E5D32" w:rsidRPr="00882DEB">
          <w:rPr>
            <w:rStyle w:val="Hyperlnk"/>
          </w:rPr>
          <w:t>D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Uppgiftsskyldighet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_Toc535416163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10</w:t>
        </w:r>
        <w:r w:rsidR="006E5D32">
          <w:rPr>
            <w:webHidden/>
          </w:rPr>
          <w:fldChar w:fldCharType="end"/>
        </w:r>
      </w:hyperlink>
    </w:p>
    <w:p w14:paraId="50DDB375" w14:textId="0D11B01E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4" w:history="1">
        <w:r w:rsidR="006E5D32" w:rsidRPr="00882DEB">
          <w:rPr>
            <w:rStyle w:val="Hyperlnk"/>
          </w:rPr>
          <w:t>E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EU-reglering och internationell rapportering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_Toc535416164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10</w:t>
        </w:r>
        <w:r w:rsidR="006E5D32">
          <w:rPr>
            <w:webHidden/>
          </w:rPr>
          <w:fldChar w:fldCharType="end"/>
        </w:r>
      </w:hyperlink>
    </w:p>
    <w:p w14:paraId="643A82F7" w14:textId="43EA3060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5" w:history="1">
        <w:r w:rsidR="006E5D32" w:rsidRPr="00882DEB">
          <w:rPr>
            <w:rStyle w:val="Hyperlnk"/>
          </w:rPr>
          <w:t>F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Historik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_Toc535416165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10</w:t>
        </w:r>
        <w:r w:rsidR="006E5D32">
          <w:rPr>
            <w:webHidden/>
          </w:rPr>
          <w:fldChar w:fldCharType="end"/>
        </w:r>
      </w:hyperlink>
    </w:p>
    <w:p w14:paraId="33BF3A6A" w14:textId="280A4B15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6" w:history="1">
        <w:r w:rsidR="006E5D32" w:rsidRPr="00882DEB">
          <w:rPr>
            <w:rStyle w:val="Hyperlnk"/>
          </w:rPr>
          <w:t>G</w:t>
        </w:r>
        <w:r w:rsidR="006E5D32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6E5D32" w:rsidRPr="00882DEB">
          <w:rPr>
            <w:rStyle w:val="Hyperlnk"/>
          </w:rPr>
          <w:t>Kontaktuppgifter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_Toc535416166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10</w:t>
        </w:r>
        <w:r w:rsidR="006E5D32">
          <w:rPr>
            <w:webHidden/>
          </w:rPr>
          <w:fldChar w:fldCharType="end"/>
        </w:r>
      </w:hyperlink>
    </w:p>
    <w:p w14:paraId="4A30B193" w14:textId="002054DF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7" w:history="1">
        <w:r w:rsidR="006E5D32" w:rsidRPr="00882DEB">
          <w:rPr>
            <w:rStyle w:val="Hyperlnk"/>
            <w:lang w:eastAsia="sv-SE"/>
          </w:rPr>
          <w:t>Bilaga 1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_Toc535416167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12</w:t>
        </w:r>
        <w:r w:rsidR="006E5D32">
          <w:rPr>
            <w:webHidden/>
          </w:rPr>
          <w:fldChar w:fldCharType="end"/>
        </w:r>
      </w:hyperlink>
    </w:p>
    <w:p w14:paraId="49192FAA" w14:textId="09900AF6" w:rsidR="006E5D32" w:rsidRDefault="00464BF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535416168" w:history="1">
        <w:r w:rsidR="006E5D32" w:rsidRPr="00882DEB">
          <w:rPr>
            <w:rStyle w:val="Hyperlnk"/>
            <w:lang w:eastAsia="sv-SE"/>
          </w:rPr>
          <w:t>Bilaga 2</w:t>
        </w:r>
        <w:r w:rsidR="006E5D32">
          <w:rPr>
            <w:webHidden/>
          </w:rPr>
          <w:tab/>
        </w:r>
        <w:r w:rsidR="006E5D32">
          <w:rPr>
            <w:webHidden/>
          </w:rPr>
          <w:fldChar w:fldCharType="begin"/>
        </w:r>
        <w:r w:rsidR="006E5D32">
          <w:rPr>
            <w:webHidden/>
          </w:rPr>
          <w:instrText xml:space="preserve"> PAGEREF _Toc535416168 \h </w:instrText>
        </w:r>
        <w:r w:rsidR="006E5D32">
          <w:rPr>
            <w:webHidden/>
          </w:rPr>
        </w:r>
        <w:r w:rsidR="006E5D32">
          <w:rPr>
            <w:webHidden/>
          </w:rPr>
          <w:fldChar w:fldCharType="separate"/>
        </w:r>
        <w:r w:rsidR="006E5D32">
          <w:rPr>
            <w:webHidden/>
          </w:rPr>
          <w:t>13</w:t>
        </w:r>
        <w:r w:rsidR="006E5D32">
          <w:rPr>
            <w:webHidden/>
          </w:rPr>
          <w:fldChar w:fldCharType="end"/>
        </w:r>
      </w:hyperlink>
    </w:p>
    <w:p w14:paraId="1439D406" w14:textId="05B1E0E0" w:rsidR="0074142D" w:rsidRDefault="00DB3B2F" w:rsidP="0026623A">
      <w:r>
        <w:fldChar w:fldCharType="end"/>
      </w:r>
    </w:p>
    <w:p w14:paraId="0987A29B" w14:textId="77777777" w:rsidR="002F7EEC" w:rsidRPr="00FF0CB7" w:rsidRDefault="003E2BDB" w:rsidP="00E749FD">
      <w:pPr>
        <w:pStyle w:val="Rubrik"/>
        <w:spacing w:before="240"/>
        <w:rPr>
          <w:rFonts w:ascii="Arial" w:hAnsi="Arial" w:cs="Arial"/>
          <w:b/>
          <w:sz w:val="28"/>
          <w:szCs w:val="28"/>
        </w:rPr>
      </w:pPr>
      <w:bookmarkStart w:id="15" w:name="_Toc467250852"/>
      <w:bookmarkStart w:id="16" w:name="_Toc467251684"/>
      <w:bookmarkStart w:id="17" w:name="_Toc467482221"/>
      <w:bookmarkStart w:id="18" w:name="_Toc535416124"/>
      <w:r w:rsidRPr="00FF0CB7">
        <w:rPr>
          <w:rFonts w:ascii="Arial" w:hAnsi="Arial" w:cs="Arial"/>
          <w:b/>
          <w:sz w:val="28"/>
          <w:szCs w:val="28"/>
        </w:rPr>
        <w:lastRenderedPageBreak/>
        <w:t>Statistikens kvalitet</w:t>
      </w:r>
      <w:bookmarkEnd w:id="15"/>
      <w:bookmarkEnd w:id="16"/>
      <w:bookmarkEnd w:id="17"/>
      <w:bookmarkEnd w:id="18"/>
    </w:p>
    <w:p w14:paraId="3375BF2B" w14:textId="77777777" w:rsidR="00561468" w:rsidRPr="00FF0CB7" w:rsidRDefault="00F7495F" w:rsidP="0077704B">
      <w:pPr>
        <w:pStyle w:val="Rubrik1"/>
        <w:ind w:left="680" w:hanging="680"/>
        <w:rPr>
          <w:bCs w:val="0"/>
          <w:sz w:val="24"/>
          <w:szCs w:val="24"/>
        </w:rPr>
      </w:pPr>
      <w:bookmarkStart w:id="19" w:name="_Toc467250853"/>
      <w:bookmarkStart w:id="20" w:name="_Toc467251685"/>
      <w:bookmarkStart w:id="21" w:name="_Toc467482222"/>
      <w:bookmarkStart w:id="22" w:name="_Toc535416125"/>
      <w:r w:rsidRPr="00FF0CB7">
        <w:rPr>
          <w:sz w:val="24"/>
          <w:szCs w:val="24"/>
        </w:rPr>
        <w:t>1</w:t>
      </w:r>
      <w:r w:rsidR="00561468" w:rsidRPr="00FF0CB7">
        <w:rPr>
          <w:sz w:val="24"/>
          <w:szCs w:val="24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F0CB7">
        <w:rPr>
          <w:bCs w:val="0"/>
          <w:sz w:val="24"/>
          <w:szCs w:val="24"/>
        </w:rPr>
        <w:t>Relevans</w:t>
      </w:r>
      <w:bookmarkEnd w:id="9"/>
      <w:bookmarkEnd w:id="19"/>
      <w:bookmarkEnd w:id="20"/>
      <w:bookmarkEnd w:id="21"/>
      <w:bookmarkEnd w:id="22"/>
    </w:p>
    <w:p w14:paraId="4733AA90" w14:textId="77777777" w:rsidR="00F51100" w:rsidRPr="00F51100" w:rsidRDefault="00F51100" w:rsidP="00F51100"/>
    <w:p w14:paraId="76F22334" w14:textId="77777777" w:rsidR="00561468" w:rsidRDefault="00FC1132" w:rsidP="005E1F2C">
      <w:pPr>
        <w:pStyle w:val="Rubrik2"/>
        <w:numPr>
          <w:ilvl w:val="1"/>
          <w:numId w:val="6"/>
        </w:numPr>
        <w:spacing w:before="240" w:after="40"/>
        <w:rPr>
          <w:rStyle w:val="Rubrik2Char"/>
          <w:b/>
          <w:szCs w:val="20"/>
        </w:rPr>
      </w:pPr>
      <w:bookmarkStart w:id="23" w:name="_Toc467250854"/>
      <w:bookmarkStart w:id="24" w:name="_Toc467251686"/>
      <w:bookmarkStart w:id="25" w:name="_Toc467482223"/>
      <w:bookmarkStart w:id="26" w:name="_Toc535416126"/>
      <w:r w:rsidRPr="005A484A">
        <w:rPr>
          <w:rStyle w:val="Rubrik2Char"/>
          <w:b/>
          <w:szCs w:val="20"/>
        </w:rPr>
        <w:t>Ändamål och informationsbehov</w:t>
      </w:r>
      <w:bookmarkEnd w:id="23"/>
      <w:bookmarkEnd w:id="24"/>
      <w:bookmarkEnd w:id="25"/>
      <w:bookmarkEnd w:id="26"/>
    </w:p>
    <w:p w14:paraId="423D895C" w14:textId="77777777" w:rsidR="00F7495F" w:rsidRPr="005A484A" w:rsidRDefault="00765AD6" w:rsidP="0077704B">
      <w:pPr>
        <w:pStyle w:val="Rubrik3"/>
        <w:spacing w:before="240" w:after="40"/>
        <w:ind w:left="680" w:hanging="680"/>
        <w:rPr>
          <w:szCs w:val="18"/>
        </w:rPr>
      </w:pPr>
      <w:bookmarkStart w:id="27" w:name="_Toc467250855"/>
      <w:bookmarkStart w:id="28" w:name="_Toc467251687"/>
      <w:bookmarkStart w:id="29" w:name="_Toc467482224"/>
      <w:bookmarkStart w:id="30" w:name="_Toc535416127"/>
      <w:bookmarkStart w:id="31" w:name="_Toc449949577"/>
      <w:bookmarkStart w:id="32" w:name="_Toc92287717"/>
      <w:bookmarkStart w:id="33" w:name="_Toc92298977"/>
      <w:bookmarkStart w:id="34" w:name="_Toc92299132"/>
      <w:bookmarkStart w:id="35" w:name="_Toc92299173"/>
      <w:bookmarkStart w:id="36" w:name="_Toc92299288"/>
      <w:bookmarkStart w:id="37" w:name="_Toc92299432"/>
      <w:bookmarkStart w:id="38" w:name="_Toc92299473"/>
      <w:bookmarkStart w:id="39" w:name="_Toc418595698"/>
      <w:bookmarkStart w:id="40" w:name="_Toc430277560"/>
      <w:r w:rsidRPr="005A484A">
        <w:rPr>
          <w:szCs w:val="18"/>
        </w:rPr>
        <w:t>1.1.1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Statistikens ändamål</w:t>
      </w:r>
      <w:bookmarkEnd w:id="27"/>
      <w:bookmarkEnd w:id="28"/>
      <w:bookmarkEnd w:id="29"/>
      <w:bookmarkEnd w:id="30"/>
    </w:p>
    <w:p w14:paraId="4DCB77D8" w14:textId="2881E9DE" w:rsidR="00536738" w:rsidRPr="005E1F2C" w:rsidRDefault="00536738" w:rsidP="00536738">
      <w:r w:rsidRPr="00536738">
        <w:t xml:space="preserve">Statistiken syftar till att </w:t>
      </w:r>
      <w:r w:rsidR="006E5D32">
        <w:t xml:space="preserve">sammanställa och </w:t>
      </w:r>
      <w:r w:rsidRPr="00536738">
        <w:t xml:space="preserve">belysa </w:t>
      </w:r>
      <w:r w:rsidR="00482735" w:rsidRPr="00536738">
        <w:t>e</w:t>
      </w:r>
      <w:r w:rsidR="00482735">
        <w:t>n</w:t>
      </w:r>
      <w:r w:rsidR="00482735" w:rsidRPr="00536738">
        <w:t>ergianvändningen</w:t>
      </w:r>
      <w:r w:rsidRPr="00536738">
        <w:t xml:space="preserve"> i byggsektorn</w:t>
      </w:r>
      <w:r w:rsidR="006E5D32">
        <w:t xml:space="preserve"> och ta fram nyckeltal</w:t>
      </w:r>
      <w:r w:rsidRPr="00536738">
        <w:t>. Uppgif</w:t>
      </w:r>
      <w:r w:rsidR="00521784">
        <w:softHyphen/>
      </w:r>
      <w:r w:rsidRPr="00536738">
        <w:t xml:space="preserve">terna används bland annat för utrednings- och uppföljningsändamål, för internationell statistikrapportering samt </w:t>
      </w:r>
      <w:r w:rsidR="00E15819">
        <w:t xml:space="preserve">som </w:t>
      </w:r>
      <w:r w:rsidRPr="00536738">
        <w:t>underlag för de årliga officiella energibalanserna. Byggsektorn ingår som en delkomponent i energibalanserna och avser byggsektorns energianvändning exklusive vägtransporter</w:t>
      </w:r>
      <w:r w:rsidR="00E15819">
        <w:t>.</w:t>
      </w:r>
      <w:r w:rsidRPr="00536738">
        <w:t xml:space="preserve"> </w:t>
      </w:r>
    </w:p>
    <w:p w14:paraId="48B5E9BD" w14:textId="77777777" w:rsidR="00F7495F" w:rsidRPr="005A484A" w:rsidRDefault="00765AD6" w:rsidP="0077704B">
      <w:pPr>
        <w:pStyle w:val="Rubrik3"/>
        <w:spacing w:before="240" w:after="40"/>
        <w:ind w:left="680" w:hanging="680"/>
        <w:rPr>
          <w:szCs w:val="18"/>
        </w:rPr>
      </w:pPr>
      <w:bookmarkStart w:id="41" w:name="_Toc467250856"/>
      <w:bookmarkStart w:id="42" w:name="_Toc467251688"/>
      <w:bookmarkStart w:id="43" w:name="_Toc467482225"/>
      <w:bookmarkStart w:id="44" w:name="_Toc535416128"/>
      <w:r w:rsidRPr="005A484A">
        <w:rPr>
          <w:szCs w:val="18"/>
        </w:rPr>
        <w:t>1.1.2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Statistikanvändares informationsbehov</w:t>
      </w:r>
      <w:bookmarkEnd w:id="41"/>
      <w:bookmarkEnd w:id="42"/>
      <w:bookmarkEnd w:id="43"/>
      <w:bookmarkEnd w:id="44"/>
    </w:p>
    <w:p w14:paraId="05D4C717" w14:textId="54894017" w:rsidR="00536738" w:rsidRPr="00536738" w:rsidRDefault="00536738" w:rsidP="00536738">
      <w:r w:rsidRPr="00536738">
        <w:t xml:space="preserve">Statistiken </w:t>
      </w:r>
      <w:r w:rsidR="00F24987">
        <w:t xml:space="preserve">avses </w:t>
      </w:r>
      <w:r w:rsidRPr="00536738">
        <w:t>främst möta behovet av underlag till de årliga energi</w:t>
      </w:r>
      <w:r w:rsidR="00521784">
        <w:softHyphen/>
      </w:r>
      <w:r w:rsidRPr="00536738">
        <w:t>balan</w:t>
      </w:r>
      <w:r w:rsidR="00521784">
        <w:softHyphen/>
      </w:r>
      <w:r w:rsidRPr="00536738">
        <w:t>serna</w:t>
      </w:r>
      <w:r w:rsidR="00E15819">
        <w:t>,</w:t>
      </w:r>
      <w:r w:rsidRPr="00536738">
        <w:t xml:space="preserve"> som belyser byggsektorns slutliga energianvändning fördelat på olika energibärare </w:t>
      </w:r>
      <w:r w:rsidR="00F24987">
        <w:t>och</w:t>
      </w:r>
      <w:r w:rsidRPr="00536738">
        <w:t xml:space="preserve"> i relation till energianvändningen inom andra sektorer.</w:t>
      </w:r>
    </w:p>
    <w:p w14:paraId="76DD0B92" w14:textId="77777777" w:rsidR="002D7622" w:rsidRPr="005A484A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45" w:name="_Toc467250857"/>
      <w:bookmarkStart w:id="46" w:name="_Toc467251689"/>
      <w:bookmarkStart w:id="47" w:name="_Toc467482226"/>
      <w:bookmarkStart w:id="48" w:name="_Toc535416129"/>
      <w:r w:rsidRPr="005A484A">
        <w:rPr>
          <w:szCs w:val="20"/>
        </w:rPr>
        <w:t>1.2</w:t>
      </w:r>
      <w:r w:rsidRPr="005A484A">
        <w:rPr>
          <w:szCs w:val="20"/>
        </w:rPr>
        <w:tab/>
      </w:r>
      <w:r w:rsidR="00FC1132" w:rsidRPr="005A484A">
        <w:rPr>
          <w:szCs w:val="20"/>
        </w:rPr>
        <w:t>Statistikens innehåll</w:t>
      </w:r>
      <w:bookmarkEnd w:id="31"/>
      <w:bookmarkEnd w:id="45"/>
      <w:bookmarkEnd w:id="46"/>
      <w:bookmarkEnd w:id="47"/>
      <w:bookmarkEnd w:id="48"/>
    </w:p>
    <w:p w14:paraId="1911C6EB" w14:textId="7064E6B3" w:rsidR="00AA2F45" w:rsidRPr="00AA2F45" w:rsidRDefault="005E1F2C" w:rsidP="00AA2F45">
      <w:r>
        <w:t xml:space="preserve">De statistiska målstorheterna utgörs av summor som beskriver </w:t>
      </w:r>
      <w:r w:rsidR="00F24987">
        <w:t xml:space="preserve">den svenska </w:t>
      </w:r>
      <w:r w:rsidR="00FB2880">
        <w:t>bygg</w:t>
      </w:r>
      <w:r w:rsidR="00E15819">
        <w:softHyphen/>
      </w:r>
      <w:r w:rsidR="00FB2880">
        <w:t>branschens</w:t>
      </w:r>
      <w:r>
        <w:t xml:space="preserve"> energianvändning </w:t>
      </w:r>
      <w:r w:rsidR="00F24987">
        <w:t xml:space="preserve">under 2017 </w:t>
      </w:r>
      <w:r w:rsidR="00FB2880">
        <w:t xml:space="preserve">med avseende på </w:t>
      </w:r>
      <w:r>
        <w:t>omfattning och karaktär</w:t>
      </w:r>
      <w:r w:rsidR="00FB2880">
        <w:t>.</w:t>
      </w:r>
      <w:r>
        <w:t xml:space="preserve"> </w:t>
      </w:r>
    </w:p>
    <w:p w14:paraId="22B87462" w14:textId="77777777" w:rsidR="00765AD6" w:rsidRPr="005A484A" w:rsidRDefault="00765AD6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49" w:name="_Toc457985731"/>
      <w:bookmarkStart w:id="50" w:name="_Toc458005264"/>
      <w:bookmarkStart w:id="51" w:name="_Toc467255598"/>
      <w:bookmarkStart w:id="52" w:name="_Toc467482227"/>
      <w:bookmarkStart w:id="53" w:name="_Toc53541613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5A484A">
        <w:rPr>
          <w:szCs w:val="18"/>
        </w:rPr>
        <w:t>1.2.1</w:t>
      </w:r>
      <w:r w:rsidRPr="005A484A">
        <w:rPr>
          <w:szCs w:val="18"/>
        </w:rPr>
        <w:tab/>
        <w:t>Objekt och population</w:t>
      </w:r>
      <w:bookmarkEnd w:id="49"/>
      <w:bookmarkEnd w:id="50"/>
      <w:bookmarkEnd w:id="51"/>
      <w:bookmarkEnd w:id="52"/>
      <w:bookmarkEnd w:id="53"/>
    </w:p>
    <w:p w14:paraId="1955922B" w14:textId="77777777" w:rsidR="00AA2F45" w:rsidRPr="00FB2880" w:rsidRDefault="00FB2880" w:rsidP="00AA2F45">
      <w:r>
        <w:t xml:space="preserve">Intressepopulationen utgörs av alla objekt som haft </w:t>
      </w:r>
      <w:r w:rsidRPr="00C57D0D">
        <w:t>byggverksamhet under 2017</w:t>
      </w:r>
      <w:r>
        <w:t xml:space="preserve">.  </w:t>
      </w:r>
    </w:p>
    <w:p w14:paraId="02D548CD" w14:textId="1DD878F7" w:rsidR="00FB2880" w:rsidRDefault="00FB2880" w:rsidP="00FB2880">
      <w:r w:rsidRPr="00FB2880">
        <w:t>Målpopulationen</w:t>
      </w:r>
      <w:r>
        <w:t xml:space="preserve"> utgörs av</w:t>
      </w:r>
      <w:r w:rsidRPr="00C57D0D">
        <w:t xml:space="preserve"> </w:t>
      </w:r>
      <w:r w:rsidR="001214B4">
        <w:t xml:space="preserve">målobjekten </w:t>
      </w:r>
      <w:r w:rsidRPr="00C57D0D">
        <w:t xml:space="preserve">arbetsställen med primär verksamhet </w:t>
      </w:r>
      <w:r>
        <w:t xml:space="preserve">2017 </w:t>
      </w:r>
      <w:r w:rsidRPr="00C57D0D">
        <w:t xml:space="preserve">inom byggbranschen (SNI 41-43) </w:t>
      </w:r>
      <w:r>
        <w:t>tillhörande</w:t>
      </w:r>
      <w:r w:rsidRPr="00C57D0D">
        <w:t xml:space="preserve"> företag med primär verk</w:t>
      </w:r>
      <w:r w:rsidR="00521784">
        <w:softHyphen/>
      </w:r>
      <w:r w:rsidRPr="00C57D0D">
        <w:t>sam</w:t>
      </w:r>
      <w:r w:rsidR="00521784">
        <w:softHyphen/>
      </w:r>
      <w:r w:rsidRPr="00C57D0D">
        <w:t>het</w:t>
      </w:r>
      <w:r>
        <w:t xml:space="preserve"> 2017</w:t>
      </w:r>
      <w:r w:rsidRPr="00C57D0D">
        <w:t xml:space="preserve"> inom byggbranschen. </w:t>
      </w:r>
      <w:r w:rsidR="00C268F6">
        <w:t xml:space="preserve">Arbetsställen </w:t>
      </w:r>
      <w:r w:rsidR="001B58AC">
        <w:t>i byggbranschen ingående i företag utanför byggbranschen exkluderas från målpopulationen. Detta gäller även byggverksamhet tillhörande s</w:t>
      </w:r>
      <w:r w:rsidR="00C268F6">
        <w:t>tatlig och kommunal sektor</w:t>
      </w:r>
      <w:r w:rsidR="001B58AC">
        <w:t>. Denna begränsning</w:t>
      </w:r>
      <w:r w:rsidR="004031C4">
        <w:t xml:space="preserve"> </w:t>
      </w:r>
      <w:r w:rsidR="001B58AC">
        <w:t>av målpopulationen</w:t>
      </w:r>
      <w:r w:rsidR="004031C4">
        <w:t xml:space="preserve"> genomförs med hänsyn till att det inte är mättekniskt möjligt att använda ett </w:t>
      </w:r>
      <w:r w:rsidR="00744E54">
        <w:t>gemensamt</w:t>
      </w:r>
      <w:r w:rsidR="004031C4">
        <w:t xml:space="preserve"> mätinstrument för alla objekt och</w:t>
      </w:r>
      <w:r w:rsidR="001B58AC">
        <w:t xml:space="preserve"> medför ett relevansfel i statistiken. Relvansfelets storlek är inte bedömt. </w:t>
      </w:r>
    </w:p>
    <w:p w14:paraId="4B569765" w14:textId="70D6F1B6" w:rsidR="00FB2880" w:rsidRPr="00C57D0D" w:rsidRDefault="00FB2880" w:rsidP="00FB2880">
      <w:r>
        <w:t>Observationsobjekt</w:t>
      </w:r>
      <w:r w:rsidR="001214B4">
        <w:t>en är av samma typ, arbetsställe, som målobjekten, medan uppgiftskällorna utgörs av</w:t>
      </w:r>
      <w:r>
        <w:t xml:space="preserve"> företag inom byggbranschen. Företagen ombeds att exkludera </w:t>
      </w:r>
      <w:r w:rsidR="00482735">
        <w:t>energianvändning</w:t>
      </w:r>
      <w:r>
        <w:t xml:space="preserve"> hänförlig till arbetsställen utanför målpopula</w:t>
      </w:r>
      <w:r w:rsidR="00E15819">
        <w:softHyphen/>
      </w:r>
      <w:r>
        <w:t>tionen</w:t>
      </w:r>
      <w:r w:rsidR="00203E80">
        <w:t xml:space="preserve"> i sin rapportering</w:t>
      </w:r>
      <w:r>
        <w:t xml:space="preserve">.  </w:t>
      </w:r>
    </w:p>
    <w:p w14:paraId="62E5D8F8" w14:textId="77777777" w:rsidR="00561468" w:rsidRPr="005A484A" w:rsidRDefault="00FA5E96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54" w:name="_Toc418595700"/>
      <w:bookmarkStart w:id="55" w:name="_Toc430277562"/>
      <w:bookmarkStart w:id="56" w:name="_Toc449949579"/>
      <w:bookmarkStart w:id="57" w:name="_Toc467250859"/>
      <w:bookmarkStart w:id="58" w:name="_Toc467251691"/>
      <w:bookmarkStart w:id="59" w:name="_Toc467482228"/>
      <w:bookmarkStart w:id="60" w:name="_Toc535416131"/>
      <w:r w:rsidRPr="005A484A">
        <w:rPr>
          <w:szCs w:val="18"/>
        </w:rPr>
        <w:t>1.2.2</w:t>
      </w:r>
      <w:r w:rsidRPr="005A484A">
        <w:rPr>
          <w:szCs w:val="18"/>
        </w:rPr>
        <w:tab/>
      </w:r>
      <w:r w:rsidR="00FC1132" w:rsidRPr="005A484A">
        <w:rPr>
          <w:szCs w:val="18"/>
        </w:rPr>
        <w:t>Variabler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7846EF51" w14:textId="2782D768" w:rsidR="001E5BCB" w:rsidRDefault="00F25F1D" w:rsidP="00AA2F45">
      <w:r>
        <w:t>Målvariablerna är cirka fyrtio</w:t>
      </w:r>
      <w:r w:rsidR="00203E80">
        <w:t xml:space="preserve"> stycken till antalet och avser </w:t>
      </w:r>
      <w:r w:rsidR="00203E80" w:rsidRPr="006E5D32">
        <w:t>den</w:t>
      </w:r>
      <w:r w:rsidR="00203E80" w:rsidRPr="00974DCE">
        <w:rPr>
          <w:i/>
        </w:rPr>
        <w:t xml:space="preserve"> faktiska energi</w:t>
      </w:r>
      <w:r w:rsidR="00203E80" w:rsidRPr="00974DCE">
        <w:rPr>
          <w:i/>
        </w:rPr>
        <w:softHyphen/>
        <w:t>användningen</w:t>
      </w:r>
      <w:r w:rsidR="00203E80">
        <w:t xml:space="preserve"> fördelat </w:t>
      </w:r>
      <w:r>
        <w:t xml:space="preserve">huvudsakligen </w:t>
      </w:r>
      <w:r w:rsidR="00203E80">
        <w:t xml:space="preserve">efter energi- och bränsleslag. </w:t>
      </w:r>
      <w:r w:rsidR="004031C4">
        <w:t>Intressevariabler</w:t>
      </w:r>
      <w:r w:rsidR="00923025">
        <w:t>na</w:t>
      </w:r>
      <w:r w:rsidR="004031C4">
        <w:t xml:space="preserve"> och målvariabler</w:t>
      </w:r>
      <w:r w:rsidR="00923025">
        <w:t>na</w:t>
      </w:r>
      <w:r w:rsidR="004031C4">
        <w:t xml:space="preserve"> motsvarar varandra väl</w:t>
      </w:r>
      <w:r w:rsidR="00A6091B">
        <w:t xml:space="preserve">. </w:t>
      </w:r>
      <w:r w:rsidR="00203E80">
        <w:t>För en fullständig förteckning av målvariablerna</w:t>
      </w:r>
      <w:r w:rsidR="00E15819">
        <w:t>,</w:t>
      </w:r>
      <w:r w:rsidR="00203E80">
        <w:t xml:space="preserve"> se bilaga </w:t>
      </w:r>
      <w:r w:rsidR="00A6091B">
        <w:t>1</w:t>
      </w:r>
      <w:r w:rsidR="00E15819">
        <w:t>.</w:t>
      </w:r>
      <w:r w:rsidR="00203E80">
        <w:t xml:space="preserve"> </w:t>
      </w:r>
    </w:p>
    <w:p w14:paraId="7158B85C" w14:textId="138ED70E" w:rsidR="00203E80" w:rsidRPr="00AA2F45" w:rsidRDefault="00203E80" w:rsidP="00AA2F45">
      <w:r>
        <w:t>Observationsvariablerna är definierade som målvariablerna med den skill</w:t>
      </w:r>
      <w:r w:rsidR="00E15819">
        <w:softHyphen/>
      </w:r>
      <w:r>
        <w:t>naden att energianvändning</w:t>
      </w:r>
      <w:r w:rsidR="00974DCE">
        <w:t>en</w:t>
      </w:r>
      <w:r>
        <w:t xml:space="preserve"> som efterfrågas i enkäten avser den</w:t>
      </w:r>
      <w:r w:rsidR="00974DCE">
        <w:t xml:space="preserve"> </w:t>
      </w:r>
      <w:r w:rsidR="00974DCE" w:rsidRPr="00974DCE">
        <w:rPr>
          <w:i/>
        </w:rPr>
        <w:t>energian</w:t>
      </w:r>
      <w:r w:rsidR="00E15819">
        <w:rPr>
          <w:i/>
        </w:rPr>
        <w:softHyphen/>
      </w:r>
      <w:r w:rsidR="00974DCE" w:rsidRPr="00974DCE">
        <w:rPr>
          <w:i/>
        </w:rPr>
        <w:t>vänd</w:t>
      </w:r>
      <w:r w:rsidR="00E15819">
        <w:rPr>
          <w:i/>
        </w:rPr>
        <w:softHyphen/>
      </w:r>
      <w:r w:rsidR="00974DCE" w:rsidRPr="00974DCE">
        <w:rPr>
          <w:i/>
        </w:rPr>
        <w:t>ning som man haft kostnader för</w:t>
      </w:r>
      <w:r w:rsidR="00974DCE">
        <w:t>.</w:t>
      </w:r>
      <w:r>
        <w:t xml:space="preserve"> </w:t>
      </w:r>
      <w:r w:rsidR="005B56C1">
        <w:t xml:space="preserve">Det görs ingen justering för </w:t>
      </w:r>
      <w:r w:rsidR="005B56C1">
        <w:lastRenderedPageBreak/>
        <w:t xml:space="preserve">observationsvariablerna avseende denna </w:t>
      </w:r>
      <w:r w:rsidR="00021024">
        <w:t>skillnad</w:t>
      </w:r>
      <w:r w:rsidR="005B56C1">
        <w:t xml:space="preserve"> då </w:t>
      </w:r>
      <w:r w:rsidR="00021024">
        <w:t>skillnaden</w:t>
      </w:r>
      <w:r w:rsidR="005B56C1">
        <w:t xml:space="preserve"> bedöms som liten.</w:t>
      </w:r>
      <w:r w:rsidR="0010603A">
        <w:t xml:space="preserve"> </w:t>
      </w:r>
      <w:r w:rsidR="00DA6D0E">
        <w:t xml:space="preserve">Det </w:t>
      </w:r>
      <w:r w:rsidR="00F25F1D">
        <w:t xml:space="preserve">är i huvudsak </w:t>
      </w:r>
      <w:r w:rsidR="00DA6D0E">
        <w:t>mättekniska skäl bakom denna skillnad. Bedömningen är att det är lättare för uppgifts</w:t>
      </w:r>
      <w:r w:rsidR="00DA6D0E">
        <w:softHyphen/>
        <w:t>lämnarna att redovisa energianvändning som man haft kostnader för. Dessa kostnader återfinns som regel i företagens bokföring och/eller framgår på fakturor. Ett ytterligare skäl är att denna ansats bedöms minska risken för att samma energi</w:t>
      </w:r>
      <w:r w:rsidR="00521784">
        <w:softHyphen/>
      </w:r>
      <w:r w:rsidR="00DA6D0E">
        <w:t>användning tas upp mer än en gång av olika uppgiftslämnare.</w:t>
      </w:r>
    </w:p>
    <w:p w14:paraId="33619271" w14:textId="77777777" w:rsidR="00FC1132" w:rsidRPr="005A484A" w:rsidRDefault="007C346C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1" w:name="_Toc467250860"/>
      <w:bookmarkStart w:id="62" w:name="_Toc467251692"/>
      <w:bookmarkStart w:id="63" w:name="_Toc467482229"/>
      <w:bookmarkStart w:id="64" w:name="_Toc535416132"/>
      <w:r w:rsidRPr="005A484A">
        <w:rPr>
          <w:szCs w:val="18"/>
        </w:rPr>
        <w:t>1.2.3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Statistiska mått</w:t>
      </w:r>
      <w:bookmarkEnd w:id="61"/>
      <w:bookmarkEnd w:id="62"/>
      <w:bookmarkEnd w:id="63"/>
      <w:bookmarkEnd w:id="64"/>
    </w:p>
    <w:p w14:paraId="413BD789" w14:textId="29195F6C" w:rsidR="00974DCE" w:rsidRDefault="00974DCE" w:rsidP="00974DCE">
      <w:r w:rsidRPr="00446AB0">
        <w:t>De</w:t>
      </w:r>
      <w:r w:rsidR="00446AB0" w:rsidRPr="00446AB0">
        <w:t>t</w:t>
      </w:r>
      <w:r w:rsidRPr="00446AB0">
        <w:t xml:space="preserve"> sammanfattande mått som </w:t>
      </w:r>
      <w:r w:rsidR="00446AB0" w:rsidRPr="00446AB0">
        <w:t>används</w:t>
      </w:r>
      <w:r w:rsidRPr="00446AB0">
        <w:t xml:space="preserve"> i målstorheterna är summa</w:t>
      </w:r>
      <w:r w:rsidR="00446AB0" w:rsidRPr="00446AB0">
        <w:t>.</w:t>
      </w:r>
    </w:p>
    <w:p w14:paraId="2781E6A0" w14:textId="77777777" w:rsidR="00FC1132" w:rsidRPr="005A484A" w:rsidRDefault="007C346C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5" w:name="_Toc467250861"/>
      <w:bookmarkStart w:id="66" w:name="_Toc467251693"/>
      <w:bookmarkStart w:id="67" w:name="_Toc467482230"/>
      <w:bookmarkStart w:id="68" w:name="_Toc535416133"/>
      <w:r w:rsidRPr="005A484A">
        <w:rPr>
          <w:szCs w:val="18"/>
        </w:rPr>
        <w:t>1.2.4</w:t>
      </w:r>
      <w:r w:rsidRPr="005A484A">
        <w:rPr>
          <w:szCs w:val="18"/>
        </w:rPr>
        <w:tab/>
      </w:r>
      <w:r w:rsidR="00FC1132" w:rsidRPr="005A484A">
        <w:rPr>
          <w:szCs w:val="18"/>
        </w:rPr>
        <w:t>Redovisningsgrupper</w:t>
      </w:r>
      <w:bookmarkEnd w:id="65"/>
      <w:bookmarkEnd w:id="66"/>
      <w:bookmarkEnd w:id="67"/>
      <w:bookmarkEnd w:id="68"/>
    </w:p>
    <w:p w14:paraId="3D795FB7" w14:textId="5969A791" w:rsidR="00036A51" w:rsidRPr="00036A51" w:rsidRDefault="00974DCE" w:rsidP="00036A51">
      <w:r>
        <w:t xml:space="preserve">All redovisning avser målpopulationen som helhet. </w:t>
      </w:r>
      <w:r w:rsidR="005B56C1">
        <w:t>Energianvändningen redovisas uppdelat på kategorierna byggnader och verksamhet.</w:t>
      </w:r>
      <w:r w:rsidR="0078554A">
        <w:t xml:space="preserve"> </w:t>
      </w:r>
      <w:proofErr w:type="spellStart"/>
      <w:r w:rsidR="0078554A">
        <w:t>Fordonsgas</w:t>
      </w:r>
      <w:proofErr w:type="spellEnd"/>
      <w:r w:rsidR="0078554A">
        <w:t xml:space="preserve"> och naturgas redovisas gemensamt under beteckningen naturgas.</w:t>
      </w:r>
    </w:p>
    <w:p w14:paraId="357E6A17" w14:textId="77777777" w:rsidR="00FC1132" w:rsidRPr="005A484A" w:rsidRDefault="007C346C" w:rsidP="0077704B">
      <w:pPr>
        <w:pStyle w:val="Rubrik3"/>
        <w:spacing w:before="240" w:after="40"/>
        <w:ind w:left="680" w:hanging="680"/>
        <w:rPr>
          <w:szCs w:val="18"/>
        </w:rPr>
      </w:pPr>
      <w:bookmarkStart w:id="69" w:name="_Toc467250862"/>
      <w:bookmarkStart w:id="70" w:name="_Toc467251694"/>
      <w:bookmarkStart w:id="71" w:name="_Toc467482231"/>
      <w:bookmarkStart w:id="72" w:name="_Toc535416134"/>
      <w:r w:rsidRPr="005A484A">
        <w:rPr>
          <w:szCs w:val="18"/>
        </w:rPr>
        <w:t>1.2.5</w:t>
      </w:r>
      <w:r w:rsidRPr="005A484A">
        <w:rPr>
          <w:szCs w:val="18"/>
        </w:rPr>
        <w:tab/>
      </w:r>
      <w:r w:rsidR="00FC1132" w:rsidRPr="005A484A">
        <w:rPr>
          <w:szCs w:val="18"/>
        </w:rPr>
        <w:t>Referenstider</w:t>
      </w:r>
      <w:bookmarkEnd w:id="69"/>
      <w:bookmarkEnd w:id="70"/>
      <w:bookmarkEnd w:id="71"/>
      <w:bookmarkEnd w:id="72"/>
    </w:p>
    <w:p w14:paraId="4DB8B76A" w14:textId="6CA2923A" w:rsidR="00974DCE" w:rsidRDefault="00974DCE" w:rsidP="00A21E99">
      <w:pPr>
        <w:overflowPunct w:val="0"/>
        <w:autoSpaceDE w:val="0"/>
        <w:autoSpaceDN w:val="0"/>
        <w:adjustRightInd w:val="0"/>
        <w:textAlignment w:val="baseline"/>
      </w:pPr>
      <w:r>
        <w:t>De statistiska målstorheterna hänför sig till kalenderåret</w:t>
      </w:r>
      <w:r w:rsidR="001214B4">
        <w:t xml:space="preserve"> 2017</w:t>
      </w:r>
      <w:r>
        <w:t>.</w:t>
      </w:r>
    </w:p>
    <w:p w14:paraId="29D99D5F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73" w:name="_Toc467250863"/>
      <w:bookmarkStart w:id="74" w:name="_Toc467251695"/>
      <w:bookmarkStart w:id="75" w:name="_Toc467482232"/>
      <w:bookmarkStart w:id="76" w:name="_Toc535416135"/>
      <w:bookmarkEnd w:id="10"/>
      <w:r w:rsidRPr="00FF0CB7">
        <w:rPr>
          <w:sz w:val="24"/>
          <w:szCs w:val="24"/>
        </w:rPr>
        <w:t>2</w:t>
      </w:r>
      <w:r w:rsidRPr="00FF0CB7">
        <w:rPr>
          <w:sz w:val="24"/>
          <w:szCs w:val="24"/>
        </w:rPr>
        <w:tab/>
        <w:t>Tillförlitlighet</w:t>
      </w:r>
      <w:bookmarkEnd w:id="73"/>
      <w:bookmarkEnd w:id="74"/>
      <w:bookmarkEnd w:id="75"/>
      <w:bookmarkEnd w:id="76"/>
    </w:p>
    <w:p w14:paraId="1C7714F0" w14:textId="77777777" w:rsidR="00FA5E96" w:rsidRPr="005A484A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77" w:name="_Toc92287716"/>
      <w:bookmarkStart w:id="78" w:name="_Toc92298976"/>
      <w:bookmarkStart w:id="79" w:name="_Toc92299131"/>
      <w:bookmarkStart w:id="80" w:name="_Toc92299172"/>
      <w:bookmarkStart w:id="81" w:name="_Toc92299287"/>
      <w:bookmarkStart w:id="82" w:name="_Toc92299431"/>
      <w:bookmarkStart w:id="83" w:name="_Toc92299472"/>
      <w:bookmarkStart w:id="84" w:name="_Toc418595697"/>
      <w:bookmarkStart w:id="85" w:name="_Toc430277559"/>
      <w:bookmarkStart w:id="86" w:name="_Toc449949576"/>
      <w:bookmarkStart w:id="87" w:name="_Toc467250864"/>
      <w:bookmarkStart w:id="88" w:name="_Toc467251696"/>
      <w:bookmarkStart w:id="89" w:name="_Toc467482233"/>
      <w:bookmarkStart w:id="90" w:name="_Toc535416136"/>
      <w:r w:rsidRPr="005A484A">
        <w:rPr>
          <w:szCs w:val="22"/>
        </w:rPr>
        <w:t>2.1</w:t>
      </w:r>
      <w:r w:rsidRPr="005A484A">
        <w:rPr>
          <w:szCs w:val="22"/>
        </w:rPr>
        <w:tab/>
        <w:t xml:space="preserve">Tillförlitlighet </w:t>
      </w:r>
      <w:bookmarkEnd w:id="77"/>
      <w:bookmarkEnd w:id="78"/>
      <w:bookmarkEnd w:id="79"/>
      <w:bookmarkEnd w:id="80"/>
      <w:bookmarkEnd w:id="81"/>
      <w:bookmarkEnd w:id="82"/>
      <w:bookmarkEnd w:id="83"/>
      <w:r w:rsidRPr="005A484A">
        <w:rPr>
          <w:szCs w:val="22"/>
        </w:rPr>
        <w:t>totalt</w:t>
      </w:r>
      <w:bookmarkEnd w:id="84"/>
      <w:bookmarkEnd w:id="85"/>
      <w:bookmarkEnd w:id="86"/>
      <w:bookmarkEnd w:id="87"/>
      <w:bookmarkEnd w:id="88"/>
      <w:bookmarkEnd w:id="89"/>
      <w:bookmarkEnd w:id="90"/>
    </w:p>
    <w:p w14:paraId="1FDDE63E" w14:textId="4629D829" w:rsidR="002B2B07" w:rsidRPr="00AA2F45" w:rsidRDefault="002B2B07" w:rsidP="00AA2F45">
      <w:r>
        <w:t xml:space="preserve">Den </w:t>
      </w:r>
      <w:r w:rsidR="00B47AFE">
        <w:t>statistik</w:t>
      </w:r>
      <w:r>
        <w:t xml:space="preserve"> som redovisas är behäftad med </w:t>
      </w:r>
      <w:r w:rsidR="00E15819">
        <w:t xml:space="preserve">urvals-, </w:t>
      </w:r>
      <w:r w:rsidR="005B56C1">
        <w:t xml:space="preserve">modell-, </w:t>
      </w:r>
      <w:r>
        <w:t>mät-</w:t>
      </w:r>
      <w:r w:rsidR="00D4669B">
        <w:t>,</w:t>
      </w:r>
      <w:r>
        <w:t xml:space="preserve"> täcknings-</w:t>
      </w:r>
      <w:r w:rsidR="00A35724">
        <w:t xml:space="preserve"> och bortfallsfel</w:t>
      </w:r>
      <w:r>
        <w:t xml:space="preserve">. Skattningen av den totala energianvändningen har en högre tillförlitlighet </w:t>
      </w:r>
      <w:r w:rsidR="00E15819">
        <w:t>än skattningarna för</w:t>
      </w:r>
      <w:r>
        <w:t xml:space="preserve"> </w:t>
      </w:r>
      <w:r w:rsidR="005B56C1">
        <w:t>kategorierna</w:t>
      </w:r>
      <w:r>
        <w:t xml:space="preserve">. </w:t>
      </w:r>
    </w:p>
    <w:p w14:paraId="39BD9C2D" w14:textId="77777777" w:rsidR="00FA5E96" w:rsidRPr="005A484A" w:rsidRDefault="00582C96" w:rsidP="0077704B">
      <w:pPr>
        <w:pStyle w:val="Rubrik2"/>
        <w:spacing w:before="240" w:after="40"/>
        <w:ind w:left="680" w:hanging="680"/>
        <w:rPr>
          <w:szCs w:val="20"/>
        </w:rPr>
      </w:pPr>
      <w:bookmarkStart w:id="91" w:name="_Toc467250865"/>
      <w:bookmarkStart w:id="92" w:name="_Toc467251697"/>
      <w:bookmarkStart w:id="93" w:name="_Toc467482234"/>
      <w:bookmarkStart w:id="94" w:name="_Toc535416137"/>
      <w:r w:rsidRPr="005A484A">
        <w:rPr>
          <w:szCs w:val="20"/>
        </w:rPr>
        <w:t>2</w:t>
      </w:r>
      <w:r w:rsidR="00FA5E96" w:rsidRPr="005A484A">
        <w:rPr>
          <w:szCs w:val="20"/>
        </w:rPr>
        <w:t>.2</w:t>
      </w:r>
      <w:r w:rsidR="00FA5E96" w:rsidRPr="005A484A">
        <w:rPr>
          <w:szCs w:val="20"/>
        </w:rPr>
        <w:tab/>
        <w:t>Osäkerhetskällor</w:t>
      </w:r>
      <w:bookmarkEnd w:id="91"/>
      <w:bookmarkEnd w:id="92"/>
      <w:bookmarkEnd w:id="93"/>
      <w:bookmarkEnd w:id="94"/>
    </w:p>
    <w:p w14:paraId="3A1D2CE2" w14:textId="623538ED" w:rsidR="00AA2F45" w:rsidRPr="00AA2F45" w:rsidRDefault="00E4033A" w:rsidP="00AA2F45">
      <w:r>
        <w:t xml:space="preserve">De </w:t>
      </w:r>
      <w:r w:rsidR="00D9551F">
        <w:t>dominerande</w:t>
      </w:r>
      <w:r>
        <w:t xml:space="preserve"> osäkerhetskällorna för statistiken utgörs av</w:t>
      </w:r>
      <w:r w:rsidR="00D9551F">
        <w:t xml:space="preserve"> </w:t>
      </w:r>
      <w:r w:rsidR="005B56C1">
        <w:t xml:space="preserve">modellantaganden, </w:t>
      </w:r>
      <w:r w:rsidR="00D9551F">
        <w:t>urval och</w:t>
      </w:r>
      <w:r>
        <w:t xml:space="preserve"> </w:t>
      </w:r>
      <w:r w:rsidR="00521784">
        <w:t>mätning</w:t>
      </w:r>
      <w:r w:rsidR="00D9551F">
        <w:t>.</w:t>
      </w:r>
    </w:p>
    <w:p w14:paraId="6A6BE290" w14:textId="77777777" w:rsidR="00FA5E96" w:rsidRPr="00406035" w:rsidRDefault="00FA5E96" w:rsidP="00406035">
      <w:pPr>
        <w:pStyle w:val="Rubrik3"/>
        <w:spacing w:before="240" w:after="40"/>
        <w:ind w:left="680" w:hanging="680"/>
        <w:rPr>
          <w:szCs w:val="18"/>
        </w:rPr>
      </w:pPr>
      <w:bookmarkStart w:id="95" w:name="_Toc418595699"/>
      <w:bookmarkStart w:id="96" w:name="_Toc430277561"/>
      <w:bookmarkStart w:id="97" w:name="_Toc449949578"/>
      <w:bookmarkStart w:id="98" w:name="_Toc467250866"/>
      <w:bookmarkStart w:id="99" w:name="_Toc467251698"/>
      <w:bookmarkStart w:id="100" w:name="_Toc535416138"/>
      <w:r w:rsidRPr="00406035">
        <w:rPr>
          <w:szCs w:val="18"/>
        </w:rPr>
        <w:t>2.2.1</w:t>
      </w:r>
      <w:r w:rsidRPr="00406035">
        <w:rPr>
          <w:szCs w:val="18"/>
        </w:rPr>
        <w:tab/>
      </w:r>
      <w:r w:rsidRPr="005901D7">
        <w:rPr>
          <w:szCs w:val="18"/>
        </w:rPr>
        <w:t>Ur</w:t>
      </w:r>
      <w:r w:rsidRPr="005901D7">
        <w:rPr>
          <w:bCs w:val="0"/>
        </w:rPr>
        <w:t>v</w:t>
      </w:r>
      <w:r w:rsidRPr="005901D7">
        <w:rPr>
          <w:szCs w:val="18"/>
        </w:rPr>
        <w:t>al</w:t>
      </w:r>
      <w:bookmarkEnd w:id="95"/>
      <w:bookmarkEnd w:id="96"/>
      <w:bookmarkEnd w:id="97"/>
      <w:bookmarkEnd w:id="98"/>
      <w:bookmarkEnd w:id="99"/>
      <w:bookmarkEnd w:id="100"/>
    </w:p>
    <w:p w14:paraId="47DFA17A" w14:textId="5CB3902E" w:rsidR="009340CA" w:rsidRDefault="009340CA" w:rsidP="00FE640C">
      <w:r>
        <w:t xml:space="preserve">Rampopulationen skapas utifrån novemberversionen </w:t>
      </w:r>
      <w:r w:rsidR="00AF1350">
        <w:t>2017</w:t>
      </w:r>
      <w:r>
        <w:t xml:space="preserve"> av SCB:s </w:t>
      </w:r>
      <w:r w:rsidR="00AF1350">
        <w:t>f</w:t>
      </w:r>
      <w:r>
        <w:t>öretagsdatabas (FDB) och består av samtliga arbetsställen inom SNI 41-43 tillhörande aktiva företag inom SNI</w:t>
      </w:r>
      <w:r w:rsidR="00B82D6C">
        <w:t xml:space="preserve"> </w:t>
      </w:r>
      <w:r>
        <w:t xml:space="preserve">41-43. </w:t>
      </w:r>
    </w:p>
    <w:p w14:paraId="6942A620" w14:textId="08472453" w:rsidR="00FE640C" w:rsidRDefault="009340CA" w:rsidP="00FE640C">
      <w:r>
        <w:t>Urvalsramen består av en delmängd av de aktiva företagen inom SNI</w:t>
      </w:r>
      <w:r w:rsidR="00B82D6C">
        <w:t xml:space="preserve"> </w:t>
      </w:r>
      <w:proofErr w:type="gramStart"/>
      <w:r>
        <w:t>41-43</w:t>
      </w:r>
      <w:proofErr w:type="gramEnd"/>
      <w:r>
        <w:t xml:space="preserve">. Följande enheter utesluts ur urvalsramen: </w:t>
      </w:r>
    </w:p>
    <w:p w14:paraId="3CEC0D8A" w14:textId="2F896CB6" w:rsidR="00C13777" w:rsidRDefault="00806E89" w:rsidP="00C13777">
      <w:pPr>
        <w:pStyle w:val="Punktlista"/>
        <w:tabs>
          <w:tab w:val="clear" w:pos="360"/>
          <w:tab w:val="num" w:pos="720"/>
        </w:tabs>
        <w:spacing w:after="0" w:line="240" w:lineRule="auto"/>
        <w:ind w:left="720"/>
      </w:pPr>
      <w:r>
        <w:t>företag inom SNI 43.2 Elinstallationer, VVS arbeten och andra bygginstallationer,</w:t>
      </w:r>
      <w:r w:rsidR="00C13777" w:rsidRPr="00C57D0D">
        <w:t xml:space="preserve"> </w:t>
      </w:r>
    </w:p>
    <w:p w14:paraId="46D040E6" w14:textId="461C4B52" w:rsidR="00C13777" w:rsidRDefault="00E15819" w:rsidP="00337890">
      <w:pPr>
        <w:pStyle w:val="Punktlista"/>
        <w:tabs>
          <w:tab w:val="clear" w:pos="360"/>
          <w:tab w:val="num" w:pos="720"/>
        </w:tabs>
        <w:spacing w:after="0" w:line="240" w:lineRule="auto"/>
        <w:ind w:left="720"/>
      </w:pPr>
      <w:r>
        <w:t>f</w:t>
      </w:r>
      <w:r w:rsidR="00C13777" w:rsidRPr="00C57D0D">
        <w:t xml:space="preserve">öretag med </w:t>
      </w:r>
      <w:r w:rsidR="00C13777">
        <w:t>färre än fem anställda</w:t>
      </w:r>
      <w:r>
        <w:t>.</w:t>
      </w:r>
    </w:p>
    <w:p w14:paraId="3E568242" w14:textId="77777777" w:rsidR="007074D4" w:rsidRDefault="007074D4" w:rsidP="007074D4">
      <w:pPr>
        <w:pStyle w:val="Punktlista"/>
        <w:numPr>
          <w:ilvl w:val="0"/>
          <w:numId w:val="0"/>
        </w:numPr>
        <w:spacing w:after="0" w:line="240" w:lineRule="auto"/>
        <w:ind w:left="360"/>
      </w:pPr>
    </w:p>
    <w:p w14:paraId="17FBE6F7" w14:textId="449A5F64" w:rsidR="00CC34A2" w:rsidRDefault="00174764" w:rsidP="00174764">
      <w:pPr>
        <w:overflowPunct w:val="0"/>
        <w:autoSpaceDE w:val="0"/>
        <w:autoSpaceDN w:val="0"/>
        <w:adjustRightInd w:val="0"/>
        <w:textAlignment w:val="baseline"/>
      </w:pPr>
      <w:r w:rsidRPr="000E38F3">
        <w:t xml:space="preserve">Exkluderandet av enheter från urvalsramen </w:t>
      </w:r>
      <w:r w:rsidR="000E38F3" w:rsidRPr="000E38F3">
        <w:t>medför</w:t>
      </w:r>
      <w:r w:rsidRPr="000E38F3">
        <w:t xml:space="preserve"> en systematisk under</w:t>
      </w:r>
      <w:r w:rsidR="004C5CFB">
        <w:softHyphen/>
      </w:r>
      <w:r w:rsidRPr="000E38F3">
        <w:t>skattning av målstorheterna.</w:t>
      </w:r>
      <w:r>
        <w:t xml:space="preserve"> </w:t>
      </w:r>
      <w:r w:rsidR="00CC34A2">
        <w:t>För att få en uppfattning om underskattningen</w:t>
      </w:r>
      <w:r w:rsidR="000E38F3">
        <w:t xml:space="preserve">s </w:t>
      </w:r>
      <w:r w:rsidR="00DA45BA">
        <w:t>storlek</w:t>
      </w:r>
      <w:r w:rsidR="00CC34A2">
        <w:t xml:space="preserve"> </w:t>
      </w:r>
      <w:r w:rsidR="00771244">
        <w:t>jämförs</w:t>
      </w:r>
      <w:r w:rsidR="00CC34A2">
        <w:t xml:space="preserve"> </w:t>
      </w:r>
      <w:r w:rsidR="00105E01">
        <w:t xml:space="preserve">bränsleanvändningen för </w:t>
      </w:r>
      <w:r w:rsidR="00105E01" w:rsidRPr="00771244">
        <w:rPr>
          <w:i/>
        </w:rPr>
        <w:t>transporter</w:t>
      </w:r>
      <w:r w:rsidR="00105E01">
        <w:t xml:space="preserve"> med Fordonsregistret.</w:t>
      </w:r>
    </w:p>
    <w:p w14:paraId="506BA54F" w14:textId="61C2896A" w:rsidR="00CC34A2" w:rsidRDefault="00CC34A2" w:rsidP="00174764">
      <w:pPr>
        <w:overflowPunct w:val="0"/>
        <w:autoSpaceDE w:val="0"/>
        <w:autoSpaceDN w:val="0"/>
        <w:adjustRightInd w:val="0"/>
        <w:textAlignment w:val="baseline"/>
      </w:pPr>
      <w:r>
        <w:t xml:space="preserve">Från Fordonsregistret </w:t>
      </w:r>
      <w:r w:rsidR="00771244">
        <w:t>hämtas</w:t>
      </w:r>
      <w:r>
        <w:t xml:space="preserve"> uppgifter </w:t>
      </w:r>
      <w:r w:rsidR="00C557A4">
        <w:t>om</w:t>
      </w:r>
      <w:r>
        <w:t xml:space="preserve"> fordonstyp, gen</w:t>
      </w:r>
      <w:r w:rsidR="00DB54B9">
        <w:t>omsnittlig bränsle</w:t>
      </w:r>
      <w:r w:rsidR="004C5CFB">
        <w:softHyphen/>
      </w:r>
      <w:r w:rsidR="00DB54B9">
        <w:t>användning</w:t>
      </w:r>
      <w:r>
        <w:t xml:space="preserve">, organisationsnummer och antal körda mil </w:t>
      </w:r>
      <w:r w:rsidR="000E38F3">
        <w:t xml:space="preserve">för </w:t>
      </w:r>
      <w:r w:rsidR="00DB54B9">
        <w:t>samtliga</w:t>
      </w:r>
      <w:r w:rsidR="000E38F3">
        <w:t xml:space="preserve"> transportfordon tillhörande SNI 41-43</w:t>
      </w:r>
      <w:r>
        <w:t xml:space="preserve">. </w:t>
      </w:r>
    </w:p>
    <w:p w14:paraId="55F0BCD7" w14:textId="15B7CD83" w:rsidR="0017598F" w:rsidRDefault="00624B4C" w:rsidP="00174764">
      <w:pPr>
        <w:overflowPunct w:val="0"/>
        <w:autoSpaceDE w:val="0"/>
        <w:autoSpaceDN w:val="0"/>
        <w:adjustRightInd w:val="0"/>
        <w:textAlignment w:val="baseline"/>
      </w:pPr>
      <w:r>
        <w:t>I t</w:t>
      </w:r>
      <w:r w:rsidR="00C557A4">
        <w:t xml:space="preserve">abell </w:t>
      </w:r>
      <w:r w:rsidR="003850A8">
        <w:t xml:space="preserve">1 </w:t>
      </w:r>
      <w:r w:rsidR="00DA45BA">
        <w:t>redo</w:t>
      </w:r>
      <w:r w:rsidR="00771244">
        <w:t>visas</w:t>
      </w:r>
      <w:r w:rsidR="00452AFC">
        <w:t xml:space="preserve"> i kolumn K3,</w:t>
      </w:r>
      <w:r w:rsidR="00DA45BA">
        <w:t xml:space="preserve"> för</w:t>
      </w:r>
      <w:r w:rsidR="008F3CAE">
        <w:t xml:space="preserve"> </w:t>
      </w:r>
      <w:r>
        <w:t>de vanligast förekommande</w:t>
      </w:r>
      <w:r w:rsidR="00C557A4">
        <w:t xml:space="preserve"> </w:t>
      </w:r>
      <w:r w:rsidR="00771244">
        <w:t>drivmedlen</w:t>
      </w:r>
      <w:r>
        <w:t xml:space="preserve"> bensin och diese</w:t>
      </w:r>
      <w:r w:rsidR="000B1770">
        <w:t>l</w:t>
      </w:r>
      <w:r w:rsidR="00452AFC">
        <w:t>,</w:t>
      </w:r>
      <w:r w:rsidR="00C557A4">
        <w:t xml:space="preserve"> </w:t>
      </w:r>
      <w:r w:rsidR="003850A8">
        <w:t xml:space="preserve">den totala skattade </w:t>
      </w:r>
      <w:r w:rsidR="006403E6">
        <w:t>bränsleanvändningen</w:t>
      </w:r>
      <w:r w:rsidR="00AF1350">
        <w:t xml:space="preserve"> i liter</w:t>
      </w:r>
      <w:r w:rsidR="003850A8">
        <w:t xml:space="preserve">. I kolumn </w:t>
      </w:r>
      <w:r w:rsidR="003850A8">
        <w:lastRenderedPageBreak/>
        <w:t xml:space="preserve">K4 redovisas </w:t>
      </w:r>
      <w:r w:rsidR="006403E6">
        <w:t>bränsleanvändningen</w:t>
      </w:r>
      <w:r w:rsidR="003850A8">
        <w:t xml:space="preserve"> </w:t>
      </w:r>
      <w:r w:rsidR="00DA45BA">
        <w:t>från</w:t>
      </w:r>
      <w:r w:rsidR="008F3CAE">
        <w:t xml:space="preserve"> Fordonsregistret för de exkluderade företagen. </w:t>
      </w:r>
      <w:r w:rsidR="00556E0D">
        <w:t>Bränsleanvändningen</w:t>
      </w:r>
      <w:r w:rsidR="00992DDB">
        <w:t xml:space="preserve"> </w:t>
      </w:r>
      <w:r w:rsidR="00556E0D">
        <w:t xml:space="preserve">för de exkluderade företagen utgör </w:t>
      </w:r>
      <w:r w:rsidR="00992DDB">
        <w:t xml:space="preserve">62 </w:t>
      </w:r>
      <w:r w:rsidR="00E15819">
        <w:t>procent</w:t>
      </w:r>
      <w:r w:rsidR="00992DDB">
        <w:t xml:space="preserve"> av </w:t>
      </w:r>
      <w:r w:rsidR="00C557A4">
        <w:t xml:space="preserve">den </w:t>
      </w:r>
      <w:r w:rsidR="006617B5">
        <w:t>sammantagna</w:t>
      </w:r>
      <w:r w:rsidR="00C557A4">
        <w:t xml:space="preserve"> </w:t>
      </w:r>
      <w:r w:rsidR="00992DDB">
        <w:t xml:space="preserve">användningen för bensin och </w:t>
      </w:r>
      <w:r w:rsidR="006617B5">
        <w:t>43</w:t>
      </w:r>
      <w:r w:rsidR="00E15819">
        <w:t xml:space="preserve"> procent</w:t>
      </w:r>
      <w:r w:rsidR="00992DDB">
        <w:t xml:space="preserve"> för diesel. </w:t>
      </w:r>
      <w:r w:rsidR="00771244">
        <w:t>Jämförelsen visar att d</w:t>
      </w:r>
      <w:r w:rsidR="00BA64D1">
        <w:t xml:space="preserve">e </w:t>
      </w:r>
      <w:r w:rsidR="00D70A48">
        <w:t>exkluderade</w:t>
      </w:r>
      <w:r w:rsidR="002768B4">
        <w:t xml:space="preserve"> företagen</w:t>
      </w:r>
      <w:r w:rsidR="00BA64D1">
        <w:t xml:space="preserve"> har</w:t>
      </w:r>
      <w:r w:rsidR="002768B4">
        <w:t xml:space="preserve"> </w:t>
      </w:r>
      <w:r w:rsidR="006403E6">
        <w:t>betydande</w:t>
      </w:r>
      <w:r w:rsidR="002768B4">
        <w:t xml:space="preserve"> inverkan på </w:t>
      </w:r>
      <w:r w:rsidR="007A308D">
        <w:t>den totala bränsleanvändningen</w:t>
      </w:r>
      <w:r w:rsidR="00771244">
        <w:t xml:space="preserve"> för transporter</w:t>
      </w:r>
      <w:r w:rsidR="002768B4">
        <w:t>.</w:t>
      </w:r>
    </w:p>
    <w:p w14:paraId="35864F27" w14:textId="056A20A7" w:rsidR="001201BD" w:rsidRPr="00EF7E07" w:rsidRDefault="001201BD" w:rsidP="00EF7E07">
      <w:pPr>
        <w:rPr>
          <w:i/>
        </w:rPr>
      </w:pPr>
      <w:r w:rsidRPr="00EF7E07">
        <w:rPr>
          <w:i/>
        </w:rPr>
        <w:t xml:space="preserve">Tabell 1. </w:t>
      </w:r>
      <w:r w:rsidR="00EF7E07">
        <w:rPr>
          <w:i/>
        </w:rPr>
        <w:t>Skattad total b</w:t>
      </w:r>
      <w:r w:rsidRPr="00EF7E07">
        <w:rPr>
          <w:i/>
        </w:rPr>
        <w:t>ränsleanvändning för</w:t>
      </w:r>
      <w:r w:rsidR="00025360" w:rsidRPr="00EF7E07">
        <w:rPr>
          <w:i/>
        </w:rPr>
        <w:t xml:space="preserve"> transporter </w:t>
      </w:r>
      <w:r w:rsidR="00FE2A72">
        <w:rPr>
          <w:i/>
        </w:rPr>
        <w:t>och bränsleanvändning från</w:t>
      </w:r>
      <w:r w:rsidR="00EF7E07">
        <w:rPr>
          <w:i/>
        </w:rPr>
        <w:t xml:space="preserve"> </w:t>
      </w:r>
      <w:r w:rsidRPr="00EF7E07">
        <w:rPr>
          <w:i/>
        </w:rPr>
        <w:t>Fordonsregistret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0"/>
        <w:gridCol w:w="960"/>
        <w:gridCol w:w="1540"/>
        <w:gridCol w:w="1840"/>
      </w:tblGrid>
      <w:tr w:rsidR="00C557A4" w:rsidRPr="00287A5A" w14:paraId="00D6A0F3" w14:textId="77777777" w:rsidTr="00287A5A">
        <w:trPr>
          <w:trHeight w:val="255"/>
        </w:trPr>
        <w:tc>
          <w:tcPr>
            <w:tcW w:w="1700" w:type="dxa"/>
            <w:noWrap/>
            <w:hideMark/>
          </w:tcPr>
          <w:p w14:paraId="00AE7756" w14:textId="77777777" w:rsidR="00C557A4" w:rsidRPr="00287A5A" w:rsidRDefault="00C557A4" w:rsidP="00287A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K1</w:t>
            </w:r>
          </w:p>
        </w:tc>
        <w:tc>
          <w:tcPr>
            <w:tcW w:w="960" w:type="dxa"/>
            <w:noWrap/>
            <w:hideMark/>
          </w:tcPr>
          <w:p w14:paraId="4024DB1F" w14:textId="77777777" w:rsidR="00C557A4" w:rsidRPr="00287A5A" w:rsidRDefault="00C557A4" w:rsidP="00287A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K2</w:t>
            </w:r>
          </w:p>
        </w:tc>
        <w:tc>
          <w:tcPr>
            <w:tcW w:w="1540" w:type="dxa"/>
            <w:noWrap/>
            <w:hideMark/>
          </w:tcPr>
          <w:p w14:paraId="60F71149" w14:textId="77777777" w:rsidR="00C557A4" w:rsidRPr="00287A5A" w:rsidRDefault="00C557A4" w:rsidP="00287A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K3</w:t>
            </w:r>
          </w:p>
        </w:tc>
        <w:tc>
          <w:tcPr>
            <w:tcW w:w="1840" w:type="dxa"/>
            <w:noWrap/>
            <w:hideMark/>
          </w:tcPr>
          <w:p w14:paraId="3507A1CA" w14:textId="16000895" w:rsidR="00C557A4" w:rsidRPr="00287A5A" w:rsidRDefault="00C557A4" w:rsidP="00287A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K4</w:t>
            </w:r>
          </w:p>
        </w:tc>
      </w:tr>
      <w:tr w:rsidR="00C557A4" w:rsidRPr="00287A5A" w14:paraId="230218CF" w14:textId="77777777" w:rsidTr="00287A5A">
        <w:trPr>
          <w:trHeight w:val="255"/>
        </w:trPr>
        <w:tc>
          <w:tcPr>
            <w:tcW w:w="1700" w:type="dxa"/>
            <w:noWrap/>
            <w:hideMark/>
          </w:tcPr>
          <w:p w14:paraId="44E92BBC" w14:textId="5F8AADBA" w:rsidR="00C557A4" w:rsidRPr="00287A5A" w:rsidRDefault="001C0609" w:rsidP="00287A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</w:t>
            </w:r>
            <w:r w:rsidR="00C557A4" w:rsidRPr="00287A5A">
              <w:t>ensin</w:t>
            </w:r>
          </w:p>
        </w:tc>
        <w:tc>
          <w:tcPr>
            <w:tcW w:w="960" w:type="dxa"/>
            <w:noWrap/>
            <w:hideMark/>
          </w:tcPr>
          <w:p w14:paraId="403F95E4" w14:textId="77777777" w:rsidR="00C557A4" w:rsidRPr="00287A5A" w:rsidRDefault="00C557A4" w:rsidP="00287A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liter</w:t>
            </w:r>
          </w:p>
        </w:tc>
        <w:tc>
          <w:tcPr>
            <w:tcW w:w="1540" w:type="dxa"/>
            <w:noWrap/>
            <w:vAlign w:val="center"/>
            <w:hideMark/>
          </w:tcPr>
          <w:p w14:paraId="62661734" w14:textId="2C492CFD" w:rsidR="00C557A4" w:rsidRPr="00287A5A" w:rsidRDefault="00A54C94" w:rsidP="00287A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09137B">
              <w:t>16 004 334</w:t>
            </w:r>
          </w:p>
        </w:tc>
        <w:tc>
          <w:tcPr>
            <w:tcW w:w="1840" w:type="dxa"/>
            <w:noWrap/>
            <w:vAlign w:val="center"/>
            <w:hideMark/>
          </w:tcPr>
          <w:p w14:paraId="50568A3D" w14:textId="77777777" w:rsidR="00C557A4" w:rsidRPr="00287A5A" w:rsidRDefault="00C557A4" w:rsidP="00287A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87A5A">
              <w:t>26 878 612</w:t>
            </w:r>
          </w:p>
        </w:tc>
      </w:tr>
      <w:tr w:rsidR="00C557A4" w:rsidRPr="00287A5A" w14:paraId="7CA47FFE" w14:textId="77777777" w:rsidTr="00287A5A">
        <w:trPr>
          <w:trHeight w:val="255"/>
        </w:trPr>
        <w:tc>
          <w:tcPr>
            <w:tcW w:w="1700" w:type="dxa"/>
            <w:noWrap/>
            <w:hideMark/>
          </w:tcPr>
          <w:p w14:paraId="227E898E" w14:textId="75C51F45" w:rsidR="00C557A4" w:rsidRPr="00287A5A" w:rsidRDefault="001C0609" w:rsidP="00287A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</w:t>
            </w:r>
            <w:r w:rsidR="00C557A4" w:rsidRPr="00287A5A">
              <w:t>iesel</w:t>
            </w:r>
          </w:p>
        </w:tc>
        <w:tc>
          <w:tcPr>
            <w:tcW w:w="960" w:type="dxa"/>
            <w:noWrap/>
            <w:hideMark/>
          </w:tcPr>
          <w:p w14:paraId="6B6FC395" w14:textId="77777777" w:rsidR="00C557A4" w:rsidRPr="00287A5A" w:rsidRDefault="00C557A4" w:rsidP="00287A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liter</w:t>
            </w:r>
          </w:p>
        </w:tc>
        <w:tc>
          <w:tcPr>
            <w:tcW w:w="1540" w:type="dxa"/>
            <w:noWrap/>
            <w:vAlign w:val="center"/>
            <w:hideMark/>
          </w:tcPr>
          <w:p w14:paraId="39AF1168" w14:textId="0E4FBF87" w:rsidR="00C557A4" w:rsidRPr="00287A5A" w:rsidRDefault="00A54C94" w:rsidP="00287A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09137B">
              <w:t>190 249 945</w:t>
            </w:r>
          </w:p>
        </w:tc>
        <w:tc>
          <w:tcPr>
            <w:tcW w:w="1840" w:type="dxa"/>
            <w:noWrap/>
            <w:vAlign w:val="center"/>
            <w:hideMark/>
          </w:tcPr>
          <w:p w14:paraId="659E1550" w14:textId="77777777" w:rsidR="00C557A4" w:rsidRPr="00287A5A" w:rsidRDefault="00C557A4" w:rsidP="00287A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87A5A">
              <w:t>139 998 762</w:t>
            </w:r>
          </w:p>
        </w:tc>
      </w:tr>
    </w:tbl>
    <w:p w14:paraId="28C0B493" w14:textId="4753E25F" w:rsidR="00CC34A2" w:rsidRDefault="004C5CFB" w:rsidP="00174764">
      <w:pPr>
        <w:overflowPunct w:val="0"/>
        <w:autoSpaceDE w:val="0"/>
        <w:autoSpaceDN w:val="0"/>
        <w:adjustRightInd w:val="0"/>
        <w:textAlignment w:val="baseline"/>
      </w:pPr>
      <w:r>
        <w:t>Beteckningar</w:t>
      </w:r>
      <w:r w:rsidR="00CC34A2">
        <w:t>:</w:t>
      </w:r>
    </w:p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568"/>
      </w:tblGrid>
      <w:tr w:rsidR="001201BD" w:rsidRPr="001201BD" w14:paraId="63436F04" w14:textId="77777777" w:rsidTr="001201B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BDC" w14:textId="77777777" w:rsidR="001201BD" w:rsidRPr="001201BD" w:rsidRDefault="001201BD" w:rsidP="00120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K1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1257" w14:textId="59B6EA2B" w:rsidR="001201BD" w:rsidRPr="001201BD" w:rsidRDefault="00771244" w:rsidP="00120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Drivmedel</w:t>
            </w:r>
          </w:p>
        </w:tc>
      </w:tr>
      <w:tr w:rsidR="001201BD" w:rsidRPr="001201BD" w14:paraId="46380316" w14:textId="77777777" w:rsidTr="001201B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D5F" w14:textId="77777777" w:rsidR="001201BD" w:rsidRPr="001201BD" w:rsidRDefault="001201BD" w:rsidP="00120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K2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75515" w14:textId="77777777" w:rsidR="001201BD" w:rsidRPr="001201BD" w:rsidRDefault="001201BD" w:rsidP="00120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Enhet</w:t>
            </w:r>
          </w:p>
        </w:tc>
      </w:tr>
      <w:tr w:rsidR="006E1153" w:rsidRPr="001201BD" w14:paraId="61898583" w14:textId="77777777" w:rsidTr="001201B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3197" w14:textId="77777777" w:rsidR="006E1153" w:rsidRPr="001201BD" w:rsidRDefault="006E1153" w:rsidP="006E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K3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5C74" w14:textId="70DD4E3D" w:rsidR="006E1153" w:rsidRPr="001201BD" w:rsidRDefault="006E1153" w:rsidP="006E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Skattad total bränslea</w:t>
            </w: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nvändning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avseende transporter</w:t>
            </w:r>
          </w:p>
        </w:tc>
      </w:tr>
      <w:tr w:rsidR="006E1153" w:rsidRPr="001201BD" w14:paraId="2E2A68E9" w14:textId="77777777" w:rsidTr="001201B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51C0" w14:textId="01EA0127" w:rsidR="006E1153" w:rsidRPr="001201BD" w:rsidRDefault="006E1153" w:rsidP="006E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K4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FD4D" w14:textId="782030CC" w:rsidR="006E1153" w:rsidRPr="001201BD" w:rsidRDefault="006E1153" w:rsidP="006E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Bränslea</w:t>
            </w: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nvändning från Fordonsregistret för företag under cut-off</w:t>
            </w:r>
            <w:r w:rsidR="00E15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-</w:t>
            </w: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gräns eller tillhörande VVS</w:t>
            </w:r>
          </w:p>
        </w:tc>
      </w:tr>
    </w:tbl>
    <w:p w14:paraId="26E16038" w14:textId="77777777" w:rsidR="00AF1350" w:rsidRDefault="00AF1350" w:rsidP="00FE640C"/>
    <w:p w14:paraId="277CB19E" w14:textId="05FCFD98" w:rsidR="00DA6D0E" w:rsidRDefault="00C13777" w:rsidP="00FE640C">
      <w:r>
        <w:t xml:space="preserve">Från urvalsramen dras ett stratifierat </w:t>
      </w:r>
      <w:r w:rsidR="00AF1350">
        <w:t>obundet slumpmässigt urval (</w:t>
      </w:r>
      <w:r>
        <w:t>OSU</w:t>
      </w:r>
      <w:r w:rsidR="00AF1350">
        <w:t>),</w:t>
      </w:r>
      <w:r>
        <w:t xml:space="preserve"> där stratifiering gjorts efter storlek och tvåsiffrig SNI</w:t>
      </w:r>
      <w:r w:rsidR="00AF1350">
        <w:t>-kod</w:t>
      </w:r>
      <w:r>
        <w:t xml:space="preserve">. </w:t>
      </w:r>
      <w:r w:rsidR="003A0AA9">
        <w:t>Urval</w:t>
      </w:r>
      <w:r w:rsidR="00AF1350">
        <w:t>et</w:t>
      </w:r>
      <w:r w:rsidR="003A0AA9">
        <w:t xml:space="preserve"> leder i huvu</w:t>
      </w:r>
      <w:r w:rsidR="00DA6D0E">
        <w:t>d</w:t>
      </w:r>
      <w:r w:rsidR="00521784">
        <w:softHyphen/>
      </w:r>
      <w:r w:rsidR="00DA6D0E">
        <w:t xml:space="preserve">sak till en </w:t>
      </w:r>
      <w:r w:rsidR="00DA6D0E" w:rsidRPr="006E5D32">
        <w:rPr>
          <w:i/>
        </w:rPr>
        <w:t>slumpmässig</w:t>
      </w:r>
      <w:r w:rsidR="00DA6D0E">
        <w:t xml:space="preserve"> osäker</w:t>
      </w:r>
      <w:r w:rsidR="003A0AA9">
        <w:t>het i statistiken</w:t>
      </w:r>
      <w:r w:rsidR="006A23B7" w:rsidRPr="00EF7E07">
        <w:t>.</w:t>
      </w:r>
    </w:p>
    <w:p w14:paraId="75B6B49D" w14:textId="2C09C69A" w:rsidR="00DA6D0E" w:rsidRPr="00EF7E07" w:rsidRDefault="00025360" w:rsidP="00FE640C">
      <w:pPr>
        <w:rPr>
          <w:i/>
        </w:rPr>
      </w:pPr>
      <w:r w:rsidRPr="00EF7E07">
        <w:rPr>
          <w:i/>
        </w:rPr>
        <w:t>Tabell 2</w:t>
      </w:r>
      <w:r w:rsidR="00DA6D0E" w:rsidRPr="00EF7E07">
        <w:rPr>
          <w:i/>
        </w:rPr>
        <w:t xml:space="preserve">. </w:t>
      </w:r>
      <w:r w:rsidR="00422ECF" w:rsidRPr="00EF7E07">
        <w:rPr>
          <w:i/>
        </w:rPr>
        <w:t>Urvalsramens storlek (N</w:t>
      </w:r>
      <w:r w:rsidR="00422ECF" w:rsidRPr="006E5D32">
        <w:rPr>
          <w:i/>
          <w:vertAlign w:val="subscript"/>
        </w:rPr>
        <w:t>h</w:t>
      </w:r>
      <w:r w:rsidR="00422ECF" w:rsidRPr="00EF7E07">
        <w:rPr>
          <w:i/>
        </w:rPr>
        <w:t>)</w:t>
      </w:r>
      <w:r w:rsidR="00DA6D0E" w:rsidRPr="00EF7E07">
        <w:rPr>
          <w:i/>
        </w:rPr>
        <w:t xml:space="preserve"> och urvalsstorlekar</w:t>
      </w:r>
      <w:r w:rsidR="00422ECF" w:rsidRPr="00EF7E07">
        <w:rPr>
          <w:i/>
        </w:rPr>
        <w:t xml:space="preserve"> (n</w:t>
      </w:r>
      <w:r w:rsidR="00422ECF" w:rsidRPr="006E5D32">
        <w:rPr>
          <w:i/>
          <w:vertAlign w:val="subscript"/>
        </w:rPr>
        <w:t>h</w:t>
      </w:r>
      <w:r w:rsidR="00422ECF" w:rsidRPr="00EF7E07">
        <w:rPr>
          <w:i/>
        </w:rPr>
        <w:t>)</w:t>
      </w:r>
      <w:r w:rsidR="00DA6D0E" w:rsidRPr="00EF7E07">
        <w:rPr>
          <w:i/>
        </w:rPr>
        <w:t xml:space="preserve"> per stratum</w:t>
      </w:r>
    </w:p>
    <w:tbl>
      <w:tblPr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829"/>
        <w:gridCol w:w="851"/>
        <w:gridCol w:w="850"/>
        <w:gridCol w:w="709"/>
        <w:gridCol w:w="851"/>
        <w:gridCol w:w="567"/>
        <w:gridCol w:w="708"/>
        <w:gridCol w:w="709"/>
      </w:tblGrid>
      <w:tr w:rsidR="00DA6D0E" w:rsidRPr="00DA6D0E" w14:paraId="5309D34C" w14:textId="77777777" w:rsidTr="00422ECF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067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Bransch</w:t>
            </w:r>
          </w:p>
        </w:tc>
        <w:tc>
          <w:tcPr>
            <w:tcW w:w="6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BE8" w14:textId="77777777" w:rsidR="00DA6D0E" w:rsidRPr="00DA6D0E" w:rsidRDefault="00DA6D0E" w:rsidP="00D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Företagsstorlek</w:t>
            </w:r>
          </w:p>
        </w:tc>
      </w:tr>
      <w:tr w:rsidR="00422ECF" w:rsidRPr="00DA6D0E" w14:paraId="2D358ACA" w14:textId="77777777" w:rsidTr="00422ECF">
        <w:trPr>
          <w:trHeight w:val="30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F9BB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3CB8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Små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B1E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Mellanstora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382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Stora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E241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</w:t>
            </w:r>
          </w:p>
        </w:tc>
      </w:tr>
      <w:tr w:rsidR="00422ECF" w:rsidRPr="00DA6D0E" w14:paraId="6F8A752B" w14:textId="77777777" w:rsidTr="00422ECF">
        <w:trPr>
          <w:trHeight w:val="90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438B" w14:textId="77777777" w:rsidR="00422ECF" w:rsidRPr="00DA6D0E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155E" w14:textId="77777777" w:rsidR="00422ECF" w:rsidRPr="006E5D32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6E5D3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6E5D32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AA50" w14:textId="77777777" w:rsidR="00422ECF" w:rsidRPr="006E5D32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6E5D3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6E5D32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9FE0" w14:textId="77777777" w:rsidR="00422ECF" w:rsidRPr="006E5D32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6E5D3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6E5D32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FB90" w14:textId="77777777" w:rsidR="00422ECF" w:rsidRPr="006E5D32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6E5D3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6E5D32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9D14" w14:textId="77777777" w:rsidR="00422ECF" w:rsidRPr="006E5D32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6E5D3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6E5D32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D2F9" w14:textId="77777777" w:rsidR="00422ECF" w:rsidRPr="006E5D32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6E5D3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6E5D32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519B" w14:textId="77777777" w:rsidR="00422ECF" w:rsidRPr="006E5D32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6E5D3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6E5D32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7528" w14:textId="77777777" w:rsidR="00422ECF" w:rsidRPr="006E5D32" w:rsidRDefault="00422ECF" w:rsidP="00422E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6E5D3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6E5D32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</w:tr>
      <w:tr w:rsidR="00422ECF" w:rsidRPr="00DA6D0E" w14:paraId="1A8581EF" w14:textId="77777777" w:rsidTr="00422ECF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335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0F9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D8D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60C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BC86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312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A78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886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43C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616</w:t>
            </w:r>
          </w:p>
        </w:tc>
      </w:tr>
      <w:tr w:rsidR="00422ECF" w:rsidRPr="00DA6D0E" w14:paraId="506FAA65" w14:textId="77777777" w:rsidTr="00422ECF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7EA3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603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BB88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187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676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2A7F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482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5CE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A416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114</w:t>
            </w:r>
          </w:p>
        </w:tc>
      </w:tr>
      <w:tr w:rsidR="00422ECF" w:rsidRPr="00DA6D0E" w14:paraId="26AA9E1E" w14:textId="77777777" w:rsidTr="00422ECF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CCB1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80A4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5 216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BAFE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A95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1 019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479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E3B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0BA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806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C11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403</w:t>
            </w:r>
          </w:p>
        </w:tc>
      </w:tr>
      <w:tr w:rsidR="00422ECF" w:rsidRPr="00DA6D0E" w14:paraId="07753435" w14:textId="77777777" w:rsidTr="00422ECF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046" w14:textId="77777777" w:rsidR="00DA6D0E" w:rsidRPr="00DA6D0E" w:rsidRDefault="00DA6D0E" w:rsidP="00D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34B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7 828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371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607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1DAC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53C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3243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0AA7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9 682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275" w14:textId="77777777" w:rsidR="00DA6D0E" w:rsidRPr="00DA6D0E" w:rsidRDefault="00DA6D0E" w:rsidP="00D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1 133</w:t>
            </w:r>
          </w:p>
        </w:tc>
      </w:tr>
    </w:tbl>
    <w:p w14:paraId="366098D7" w14:textId="77777777" w:rsidR="00DA6D0E" w:rsidRPr="00FE640C" w:rsidRDefault="00DA6D0E" w:rsidP="00FE640C"/>
    <w:p w14:paraId="3A0134B3" w14:textId="478241E8" w:rsidR="006A23B7" w:rsidRDefault="00800AD9" w:rsidP="00A21E99">
      <w:pPr>
        <w:overflowPunct w:val="0"/>
        <w:autoSpaceDE w:val="0"/>
        <w:autoSpaceDN w:val="0"/>
        <w:adjustRightInd w:val="0"/>
        <w:textAlignment w:val="baseline"/>
      </w:pPr>
      <w:r>
        <w:t>I tabellen nedan görs</w:t>
      </w:r>
      <w:r w:rsidR="00446AB0" w:rsidRPr="00446AB0">
        <w:t xml:space="preserve"> en kvantifiering av den</w:t>
      </w:r>
      <w:r w:rsidR="00AF1350">
        <w:t xml:space="preserve"> slumpmässiga</w:t>
      </w:r>
      <w:r w:rsidR="00446AB0" w:rsidRPr="00446AB0">
        <w:t xml:space="preserve"> osäkerhet</w:t>
      </w:r>
      <w:r w:rsidR="00AF1350">
        <w:t>en</w:t>
      </w:r>
      <w:r w:rsidR="00446AB0" w:rsidRPr="00446AB0">
        <w:t xml:space="preserve"> </w:t>
      </w:r>
      <w:r>
        <w:t xml:space="preserve">för några </w:t>
      </w:r>
      <w:r w:rsidR="00AF1350">
        <w:t>skattningar av målstorheter.</w:t>
      </w:r>
    </w:p>
    <w:p w14:paraId="6C0F731F" w14:textId="34FD531F" w:rsidR="00800AD9" w:rsidRPr="00446AB0" w:rsidRDefault="00800AD9" w:rsidP="00800AD9">
      <w:pPr>
        <w:rPr>
          <w:i/>
        </w:rPr>
      </w:pPr>
      <w:r w:rsidRPr="00446AB0">
        <w:rPr>
          <w:i/>
        </w:rPr>
        <w:t>Tabell</w:t>
      </w:r>
      <w:r w:rsidR="00EF7E07">
        <w:rPr>
          <w:i/>
        </w:rPr>
        <w:t xml:space="preserve"> 3</w:t>
      </w:r>
      <w:r>
        <w:rPr>
          <w:i/>
        </w:rPr>
        <w:t>.</w:t>
      </w:r>
      <w:r w:rsidRPr="00446AB0">
        <w:rPr>
          <w:i/>
        </w:rPr>
        <w:t xml:space="preserve"> Skattningar av </w:t>
      </w:r>
      <w:r w:rsidR="00E15819">
        <w:rPr>
          <w:i/>
        </w:rPr>
        <w:t>t</w:t>
      </w:r>
      <w:r w:rsidRPr="00446AB0">
        <w:rPr>
          <w:i/>
        </w:rPr>
        <w:t xml:space="preserve">otal energianvändning </w:t>
      </w:r>
      <w:r>
        <w:rPr>
          <w:i/>
        </w:rPr>
        <w:t>respektive ene</w:t>
      </w:r>
      <w:r w:rsidR="00771244">
        <w:rPr>
          <w:i/>
        </w:rPr>
        <w:t>rgianvändning från bensin och d</w:t>
      </w:r>
      <w:r>
        <w:rPr>
          <w:i/>
        </w:rPr>
        <w:t>iesel</w:t>
      </w:r>
      <w:r w:rsidRPr="00446AB0">
        <w:rPr>
          <w:i/>
        </w:rPr>
        <w:t xml:space="preserve"> med tillhörande </w:t>
      </w:r>
      <w:r>
        <w:rPr>
          <w:i/>
        </w:rPr>
        <w:t>skattningar av urvalsosäkerhet</w:t>
      </w:r>
    </w:p>
    <w:tbl>
      <w:tblPr>
        <w:tblW w:w="7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1418"/>
        <w:gridCol w:w="2119"/>
      </w:tblGrid>
      <w:tr w:rsidR="000D2BFA" w:rsidRPr="000D2BFA" w14:paraId="308807DF" w14:textId="77777777" w:rsidTr="000D2BFA">
        <w:trPr>
          <w:trHeight w:val="300"/>
        </w:trPr>
        <w:tc>
          <w:tcPr>
            <w:tcW w:w="2263" w:type="dxa"/>
            <w:shd w:val="clear" w:color="auto" w:fill="auto"/>
            <w:hideMark/>
          </w:tcPr>
          <w:p w14:paraId="0AEA34C0" w14:textId="77777777" w:rsidR="000D2BFA" w:rsidRPr="000D2BFA" w:rsidRDefault="000D2BFA" w:rsidP="000D2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Bränsle</w:t>
            </w:r>
          </w:p>
        </w:tc>
        <w:tc>
          <w:tcPr>
            <w:tcW w:w="1843" w:type="dxa"/>
            <w:shd w:val="clear" w:color="auto" w:fill="auto"/>
            <w:hideMark/>
          </w:tcPr>
          <w:p w14:paraId="55F660F9" w14:textId="756A9DEE" w:rsidR="000D2BFA" w:rsidRPr="000D2BFA" w:rsidRDefault="000D2BFA" w:rsidP="000D2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Punktskattning (M</w:t>
            </w:r>
            <w:r w:rsidR="004C5CF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h)</w:t>
            </w:r>
          </w:p>
        </w:tc>
        <w:tc>
          <w:tcPr>
            <w:tcW w:w="1418" w:type="dxa"/>
            <w:shd w:val="clear" w:color="auto" w:fill="auto"/>
            <w:hideMark/>
          </w:tcPr>
          <w:p w14:paraId="67F30546" w14:textId="2AF983E1" w:rsidR="000D2BFA" w:rsidRPr="000D2BFA" w:rsidRDefault="000D2BFA" w:rsidP="00AF1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="00AF135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="001B58A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edelfel</w:t>
            </w:r>
            <w:r w:rsidRPr="000D2BF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hideMark/>
          </w:tcPr>
          <w:p w14:paraId="711E3FF2" w14:textId="5DED54A7" w:rsidR="000D2BFA" w:rsidRPr="000D2BFA" w:rsidRDefault="000D2BFA" w:rsidP="000D2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Skattad variationskoefficient</w:t>
            </w:r>
            <w:r w:rsidR="00AF135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(relativt medelfel)</w:t>
            </w:r>
          </w:p>
        </w:tc>
      </w:tr>
      <w:tr w:rsidR="000D2BFA" w:rsidRPr="000D2BFA" w14:paraId="77C1BA4F" w14:textId="77777777" w:rsidTr="000D2BFA">
        <w:trPr>
          <w:trHeight w:val="300"/>
        </w:trPr>
        <w:tc>
          <w:tcPr>
            <w:tcW w:w="2263" w:type="dxa"/>
            <w:shd w:val="clear" w:color="auto" w:fill="auto"/>
            <w:hideMark/>
          </w:tcPr>
          <w:p w14:paraId="6DA2D1A6" w14:textId="1E4F215F" w:rsidR="000D2BFA" w:rsidRPr="000D2BFA" w:rsidRDefault="00182336" w:rsidP="000D2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Diesel</w:t>
            </w:r>
          </w:p>
        </w:tc>
        <w:tc>
          <w:tcPr>
            <w:tcW w:w="1843" w:type="dxa"/>
            <w:shd w:val="clear" w:color="auto" w:fill="auto"/>
            <w:hideMark/>
          </w:tcPr>
          <w:p w14:paraId="1A51ACC4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color w:val="000000"/>
                <w:lang w:eastAsia="sv-SE"/>
              </w:rPr>
              <w:t>3 597 713</w:t>
            </w:r>
          </w:p>
        </w:tc>
        <w:tc>
          <w:tcPr>
            <w:tcW w:w="1418" w:type="dxa"/>
            <w:shd w:val="clear" w:color="auto" w:fill="auto"/>
            <w:hideMark/>
          </w:tcPr>
          <w:p w14:paraId="4A5D9E90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color w:val="000000"/>
                <w:lang w:eastAsia="sv-SE"/>
              </w:rPr>
              <w:t>309 458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0498DF78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color w:val="000000"/>
                <w:lang w:eastAsia="sv-SE"/>
              </w:rPr>
              <w:t>0,09</w:t>
            </w:r>
          </w:p>
        </w:tc>
      </w:tr>
      <w:tr w:rsidR="000D2BFA" w:rsidRPr="000D2BFA" w14:paraId="30A5871F" w14:textId="77777777" w:rsidTr="000D2BFA">
        <w:trPr>
          <w:trHeight w:val="300"/>
        </w:trPr>
        <w:tc>
          <w:tcPr>
            <w:tcW w:w="2263" w:type="dxa"/>
            <w:shd w:val="clear" w:color="auto" w:fill="auto"/>
            <w:hideMark/>
          </w:tcPr>
          <w:p w14:paraId="5E155FFC" w14:textId="77777777" w:rsidR="000D2BFA" w:rsidRPr="000D2BFA" w:rsidRDefault="000D2BFA" w:rsidP="000D2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color w:val="000000"/>
                <w:lang w:eastAsia="sv-SE"/>
              </w:rPr>
              <w:t>Bensin</w:t>
            </w:r>
          </w:p>
        </w:tc>
        <w:tc>
          <w:tcPr>
            <w:tcW w:w="1843" w:type="dxa"/>
            <w:shd w:val="clear" w:color="auto" w:fill="auto"/>
            <w:hideMark/>
          </w:tcPr>
          <w:p w14:paraId="751026FA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color w:val="000000"/>
                <w:lang w:eastAsia="sv-SE"/>
              </w:rPr>
              <w:t>172 944</w:t>
            </w:r>
          </w:p>
        </w:tc>
        <w:tc>
          <w:tcPr>
            <w:tcW w:w="1418" w:type="dxa"/>
            <w:shd w:val="clear" w:color="auto" w:fill="auto"/>
            <w:hideMark/>
          </w:tcPr>
          <w:p w14:paraId="07B43C43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color w:val="000000"/>
                <w:lang w:eastAsia="sv-SE"/>
              </w:rPr>
              <w:t>38 525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28787822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color w:val="000000"/>
                <w:lang w:eastAsia="sv-SE"/>
              </w:rPr>
              <w:t>0,22</w:t>
            </w:r>
          </w:p>
        </w:tc>
      </w:tr>
      <w:tr w:rsidR="000D2BFA" w:rsidRPr="000D2BFA" w14:paraId="3E062934" w14:textId="77777777" w:rsidTr="000D2BFA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93D70C6" w14:textId="49367CD5" w:rsidR="000D2BFA" w:rsidRPr="000D2BFA" w:rsidRDefault="000D2BFA" w:rsidP="000D2B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Total</w:t>
            </w:r>
            <w:r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 </w:t>
            </w:r>
            <w:r w:rsidR="00B47AFE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energianvändning</w:t>
            </w:r>
          </w:p>
        </w:tc>
        <w:tc>
          <w:tcPr>
            <w:tcW w:w="1843" w:type="dxa"/>
            <w:shd w:val="clear" w:color="auto" w:fill="auto"/>
            <w:hideMark/>
          </w:tcPr>
          <w:p w14:paraId="251C44D5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4 985 955</w:t>
            </w:r>
          </w:p>
        </w:tc>
        <w:tc>
          <w:tcPr>
            <w:tcW w:w="1418" w:type="dxa"/>
            <w:shd w:val="clear" w:color="auto" w:fill="auto"/>
            <w:hideMark/>
          </w:tcPr>
          <w:p w14:paraId="48895E3E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341 280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58F15992" w14:textId="77777777" w:rsidR="000D2BFA" w:rsidRPr="000D2BFA" w:rsidRDefault="000D2BFA" w:rsidP="000D2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0D2BF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0,07</w:t>
            </w:r>
          </w:p>
        </w:tc>
      </w:tr>
    </w:tbl>
    <w:p w14:paraId="1A009A08" w14:textId="17337E29" w:rsidR="000D2BFA" w:rsidRDefault="000D2BFA" w:rsidP="000D2BFA">
      <w:bookmarkStart w:id="101" w:name="_Toc467250867"/>
      <w:bookmarkStart w:id="102" w:name="_Toc467251699"/>
      <w:bookmarkStart w:id="103" w:name="_Toc467482235"/>
    </w:p>
    <w:p w14:paraId="2D7BB5AD" w14:textId="6EAB75D3" w:rsidR="000D2BFA" w:rsidRDefault="000D2BFA" w:rsidP="000D2BFA">
      <w:r>
        <w:lastRenderedPageBreak/>
        <w:t xml:space="preserve">Den relativa </w:t>
      </w:r>
      <w:r w:rsidR="004C5CFB">
        <w:t>precisionen</w:t>
      </w:r>
      <w:r>
        <w:t xml:space="preserve"> är högre för det mer använda bränslet </w:t>
      </w:r>
      <w:r w:rsidR="00182336">
        <w:t xml:space="preserve">diesel </w:t>
      </w:r>
      <w:r>
        <w:t xml:space="preserve">än för det mindre använda bränslet </w:t>
      </w:r>
      <w:r w:rsidR="004C5CFB">
        <w:t>b</w:t>
      </w:r>
      <w:r>
        <w:t xml:space="preserve">ensin. Den högsta </w:t>
      </w:r>
      <w:r w:rsidR="00B47AFE">
        <w:t>relativa</w:t>
      </w:r>
      <w:r>
        <w:t xml:space="preserve"> </w:t>
      </w:r>
      <w:r w:rsidR="004C5CFB">
        <w:t>precisionen</w:t>
      </w:r>
      <w:r>
        <w:t xml:space="preserve"> fås för den totala energi</w:t>
      </w:r>
      <w:r>
        <w:softHyphen/>
        <w:t>användningen.</w:t>
      </w:r>
    </w:p>
    <w:p w14:paraId="1439E532" w14:textId="6E99B6A4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04" w:name="_Toc535416139"/>
      <w:r w:rsidRPr="005A484A">
        <w:rPr>
          <w:szCs w:val="18"/>
        </w:rPr>
        <w:t>2.2.2</w:t>
      </w:r>
      <w:r w:rsidRPr="005A484A">
        <w:rPr>
          <w:szCs w:val="18"/>
        </w:rPr>
        <w:tab/>
        <w:t>Ramtäckning</w:t>
      </w:r>
      <w:bookmarkEnd w:id="101"/>
      <w:bookmarkEnd w:id="102"/>
      <w:bookmarkEnd w:id="103"/>
      <w:bookmarkEnd w:id="104"/>
    </w:p>
    <w:p w14:paraId="0993FB82" w14:textId="33A83CF9" w:rsidR="00EF46B6" w:rsidRDefault="003A0AA9" w:rsidP="00C00D32">
      <w:r>
        <w:t>T</w:t>
      </w:r>
      <w:r w:rsidRPr="00C57D0D">
        <w:t xml:space="preserve">äckningsfelen </w:t>
      </w:r>
      <w:r w:rsidR="00EF46B6">
        <w:t>i statistiken genereras dels av objekt som finns i rampopula</w:t>
      </w:r>
      <w:r w:rsidR="004C5CFB">
        <w:softHyphen/>
      </w:r>
      <w:r w:rsidR="00EF46B6">
        <w:t>tionen men som int</w:t>
      </w:r>
      <w:r w:rsidR="00B47AFE">
        <w:t>e ingår i målpopula</w:t>
      </w:r>
      <w:r w:rsidR="00EF46B6">
        <w:t>t</w:t>
      </w:r>
      <w:r w:rsidR="00771244">
        <w:t>ionen (övertäckning)</w:t>
      </w:r>
      <w:r w:rsidR="004C5CFB">
        <w:t xml:space="preserve">, </w:t>
      </w:r>
      <w:r w:rsidR="00EF46B6">
        <w:t>dels av objekt som saknas i rampopulationen men som ingår i målpopulationen (under</w:t>
      </w:r>
      <w:r w:rsidR="004C5CFB">
        <w:softHyphen/>
      </w:r>
      <w:r w:rsidR="00EF46B6">
        <w:t>täckning).</w:t>
      </w:r>
    </w:p>
    <w:p w14:paraId="6A1C0CB3" w14:textId="3930ED17" w:rsidR="00B82D6C" w:rsidRDefault="00DB54B9" w:rsidP="00C00D32">
      <w:r>
        <w:t>E</w:t>
      </w:r>
      <w:r w:rsidR="00D351A0">
        <w:t>xempel på u</w:t>
      </w:r>
      <w:r w:rsidR="004F4D40">
        <w:t>ndertäckning</w:t>
      </w:r>
      <w:r w:rsidR="00D351A0">
        <w:t xml:space="preserve"> </w:t>
      </w:r>
      <w:r w:rsidR="00AE2EB2">
        <w:t xml:space="preserve">är </w:t>
      </w:r>
      <w:r w:rsidR="00953EC6">
        <w:t>arbets</w:t>
      </w:r>
      <w:r w:rsidR="00521784">
        <w:softHyphen/>
      </w:r>
      <w:r w:rsidR="00953EC6">
        <w:t>ställen</w:t>
      </w:r>
      <w:r w:rsidR="003A0AA9" w:rsidRPr="00C57D0D">
        <w:t xml:space="preserve"> inom byggbranschen </w:t>
      </w:r>
      <w:r w:rsidR="003A0AA9">
        <w:t>som</w:t>
      </w:r>
      <w:r w:rsidR="004F4D40">
        <w:t xml:space="preserve"> haft </w:t>
      </w:r>
      <w:r w:rsidR="00953EC6">
        <w:t>verksamhet</w:t>
      </w:r>
      <w:r w:rsidR="004F4D40">
        <w:t xml:space="preserve"> under </w:t>
      </w:r>
      <w:r w:rsidR="00953EC6">
        <w:t>referensperioden</w:t>
      </w:r>
      <w:r w:rsidR="004F4D40">
        <w:t xml:space="preserve"> men</w:t>
      </w:r>
      <w:r w:rsidR="003A0AA9" w:rsidRPr="00C57D0D">
        <w:t xml:space="preserve"> lagts ner före tidpunkten som </w:t>
      </w:r>
      <w:r w:rsidR="00B82D6C">
        <w:t xml:space="preserve">rampopulationen avser. </w:t>
      </w:r>
      <w:r w:rsidR="003A0AA9">
        <w:t>Undertäckningen är svårhante</w:t>
      </w:r>
      <w:r w:rsidR="004C5CFB">
        <w:softHyphen/>
      </w:r>
      <w:r w:rsidR="003A0AA9">
        <w:t>rad och l</w:t>
      </w:r>
      <w:r w:rsidR="00337047">
        <w:t>är bidra till en underskattning</w:t>
      </w:r>
      <w:r w:rsidR="00EF46B6" w:rsidRPr="00EF46B6">
        <w:t xml:space="preserve"> eftersom skattnin</w:t>
      </w:r>
      <w:r w:rsidR="00101621">
        <w:t>g</w:t>
      </w:r>
      <w:r w:rsidR="00EF46B6" w:rsidRPr="00EF46B6">
        <w:t>s</w:t>
      </w:r>
      <w:r w:rsidR="00521784">
        <w:softHyphen/>
      </w:r>
      <w:r w:rsidR="00EF46B6">
        <w:t>förfarandet inte justeras för detta.</w:t>
      </w:r>
    </w:p>
    <w:p w14:paraId="55ECB3B7" w14:textId="59F8285C" w:rsidR="00B82D6C" w:rsidRPr="00132A3E" w:rsidRDefault="00EF46B6" w:rsidP="00C00D32">
      <w:r>
        <w:t>Exempel på ö</w:t>
      </w:r>
      <w:r w:rsidR="00D351A0">
        <w:t>vertäckning</w:t>
      </w:r>
      <w:r w:rsidR="00844316">
        <w:t xml:space="preserve"> är</w:t>
      </w:r>
      <w:r w:rsidR="004F4D40">
        <w:t xml:space="preserve"> arbetsställen </w:t>
      </w:r>
      <w:r w:rsidR="00953EC6">
        <w:t>klassificerade</w:t>
      </w:r>
      <w:r w:rsidR="004F4D40">
        <w:t xml:space="preserve"> utanför byggsektorn som tillhör ett företag i byggsektorn. </w:t>
      </w:r>
      <w:r w:rsidR="00132A3E">
        <w:t xml:space="preserve">Företag i urvalet som </w:t>
      </w:r>
      <w:r w:rsidR="00D351A0">
        <w:t>innehar</w:t>
      </w:r>
      <w:r w:rsidR="00132A3E">
        <w:t xml:space="preserve"> arbets</w:t>
      </w:r>
      <w:r w:rsidR="00521784">
        <w:softHyphen/>
      </w:r>
      <w:r w:rsidR="00132A3E">
        <w:t xml:space="preserve">ställen utanför byggsektorn med fem anställda eller fler </w:t>
      </w:r>
      <w:r w:rsidR="00507867">
        <w:t xml:space="preserve">får </w:t>
      </w:r>
      <w:r w:rsidR="001C0609">
        <w:t>instruktioner</w:t>
      </w:r>
      <w:r w:rsidR="00287D2B">
        <w:t xml:space="preserve"> om</w:t>
      </w:r>
      <w:r w:rsidR="00132A3E">
        <w:t xml:space="preserve"> att exkludera de</w:t>
      </w:r>
      <w:r w:rsidR="004C5CFB">
        <w:t>m</w:t>
      </w:r>
      <w:r w:rsidR="00132A3E">
        <w:t xml:space="preserve"> från redovisningen. Total</w:t>
      </w:r>
      <w:r w:rsidR="00C15CC6">
        <w:t>t</w:t>
      </w:r>
      <w:r w:rsidR="00132A3E">
        <w:t xml:space="preserve"> 75 arbetsställen </w:t>
      </w:r>
      <w:r w:rsidR="00BC1FD6">
        <w:t>behövde</w:t>
      </w:r>
      <w:r w:rsidR="00D351A0">
        <w:t xml:space="preserve"> </w:t>
      </w:r>
      <w:r w:rsidR="00482735">
        <w:t>exklu</w:t>
      </w:r>
      <w:r w:rsidR="00521784">
        <w:softHyphen/>
      </w:r>
      <w:r w:rsidR="00482735">
        <w:t>deras</w:t>
      </w:r>
      <w:r w:rsidR="004C5CFB">
        <w:t>,</w:t>
      </w:r>
      <w:r w:rsidR="00132A3E" w:rsidRPr="00132A3E">
        <w:t xml:space="preserve"> varav företagen svarade att 34 var möjliga att </w:t>
      </w:r>
      <w:r w:rsidR="00D351A0">
        <w:t>exkludera</w:t>
      </w:r>
      <w:r w:rsidR="00132A3E" w:rsidRPr="00132A3E">
        <w:t>. Övriga 41 arbets</w:t>
      </w:r>
      <w:r w:rsidR="004C5CFB">
        <w:softHyphen/>
      </w:r>
      <w:r w:rsidR="00132A3E" w:rsidRPr="00132A3E">
        <w:t>ställen utgör övertäckning. Ett annat e</w:t>
      </w:r>
      <w:r w:rsidR="00B82D6C" w:rsidRPr="00132A3E">
        <w:t>xempel på övertäckning är enheter som i FDB felaktigt</w:t>
      </w:r>
      <w:r w:rsidR="00B82D6C">
        <w:t xml:space="preserve"> klassificerats inom byggbranschen. Övertäck</w:t>
      </w:r>
      <w:r w:rsidR="00521784">
        <w:softHyphen/>
      </w:r>
      <w:r w:rsidR="00B82D6C">
        <w:t>nings</w:t>
      </w:r>
      <w:r w:rsidR="00521784">
        <w:softHyphen/>
      </w:r>
      <w:r w:rsidR="00B82D6C">
        <w:t xml:space="preserve">felet justeras för i skattningsförfarandet. </w:t>
      </w:r>
    </w:p>
    <w:p w14:paraId="38268890" w14:textId="3EE4F7ED" w:rsidR="00FA5E96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05" w:name="_Toc418595701"/>
      <w:bookmarkStart w:id="106" w:name="_Toc430277563"/>
      <w:bookmarkStart w:id="107" w:name="_Toc449949580"/>
      <w:bookmarkStart w:id="108" w:name="_Toc467250868"/>
      <w:bookmarkStart w:id="109" w:name="_Toc467251700"/>
      <w:bookmarkStart w:id="110" w:name="_Toc467482236"/>
      <w:bookmarkStart w:id="111" w:name="_Toc535416140"/>
      <w:r w:rsidRPr="005A484A">
        <w:rPr>
          <w:szCs w:val="18"/>
        </w:rPr>
        <w:t>2.2.3</w:t>
      </w:r>
      <w:r w:rsidRPr="005A484A">
        <w:rPr>
          <w:szCs w:val="18"/>
        </w:rPr>
        <w:tab/>
        <w:t>Mätning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3951DA59" w14:textId="24735AD0" w:rsidR="00AA2F45" w:rsidRPr="00C00D32" w:rsidRDefault="00C91367" w:rsidP="00C00D32">
      <w:r>
        <w:t xml:space="preserve">Datainsamlingsmetoden är direktinsamling och </w:t>
      </w:r>
      <w:r w:rsidR="00E84DD3">
        <w:t xml:space="preserve">ett webbaserat frågeformulär </w:t>
      </w:r>
      <w:r w:rsidR="00BC1FD6">
        <w:t>används</w:t>
      </w:r>
      <w:r>
        <w:t xml:space="preserve"> som mätinstrument.</w:t>
      </w:r>
      <w:r w:rsidR="005A27CB">
        <w:t xml:space="preserve"> </w:t>
      </w:r>
      <w:r>
        <w:t>I ett informationsbrev som ski</w:t>
      </w:r>
      <w:r w:rsidR="009D47FF">
        <w:t>ckats</w:t>
      </w:r>
      <w:r>
        <w:t xml:space="preserve"> till företag</w:t>
      </w:r>
      <w:r w:rsidR="00DB54B9">
        <w:t>en</w:t>
      </w:r>
      <w:r w:rsidR="00A118BB">
        <w:t>s postadress</w:t>
      </w:r>
      <w:r w:rsidR="009D47FF">
        <w:t xml:space="preserve"> </w:t>
      </w:r>
      <w:r w:rsidR="009D47FF" w:rsidRPr="00C00D32">
        <w:t>uppmanades</w:t>
      </w:r>
      <w:r w:rsidRPr="00C00D32">
        <w:t xml:space="preserve"> </w:t>
      </w:r>
      <w:r w:rsidR="00DB54B9" w:rsidRPr="00C00D32">
        <w:t xml:space="preserve">den energiansvarige vid </w:t>
      </w:r>
      <w:r w:rsidRPr="00C00D32">
        <w:t xml:space="preserve">företaget </w:t>
      </w:r>
      <w:r w:rsidR="00814248" w:rsidRPr="00C00D32">
        <w:t>att logga in på</w:t>
      </w:r>
      <w:r w:rsidR="00322A6B" w:rsidRPr="00C00D32">
        <w:t xml:space="preserve"> </w:t>
      </w:r>
      <w:r w:rsidR="00814248" w:rsidRPr="00C00D32">
        <w:t>en webbenkät oc</w:t>
      </w:r>
      <w:r w:rsidR="00A118BB" w:rsidRPr="00C00D32">
        <w:t xml:space="preserve">h lämna efterfrågade uppgifter. </w:t>
      </w:r>
      <w:r w:rsidR="00953EC6" w:rsidRPr="00C00D32">
        <w:t>Mätinstrumentet</w:t>
      </w:r>
      <w:r w:rsidR="003C3CD0" w:rsidRPr="00C00D32">
        <w:t xml:space="preserve"> </w:t>
      </w:r>
      <w:r w:rsidR="007007C0" w:rsidRPr="00C00D32">
        <w:t>redovisas</w:t>
      </w:r>
      <w:r w:rsidR="003C3CD0" w:rsidRPr="00C00D32">
        <w:t xml:space="preserve"> i bilaga 2.</w:t>
      </w:r>
    </w:p>
    <w:p w14:paraId="206F2F96" w14:textId="0F0C4A8F" w:rsidR="00706367" w:rsidRPr="00C00D32" w:rsidRDefault="00706367" w:rsidP="00C00D32">
      <w:r w:rsidRPr="00C00D32">
        <w:t xml:space="preserve">Mättekniska test </w:t>
      </w:r>
      <w:r w:rsidR="002B7B1B" w:rsidRPr="00C00D32">
        <w:t>har genomförts</w:t>
      </w:r>
      <w:r w:rsidRPr="00C00D32">
        <w:t xml:space="preserve"> under projektets </w:t>
      </w:r>
      <w:r w:rsidR="00A118BB" w:rsidRPr="00C00D32">
        <w:t>design</w:t>
      </w:r>
      <w:r w:rsidR="00953EC6" w:rsidRPr="00C00D32">
        <w:t>fas</w:t>
      </w:r>
      <w:r w:rsidR="00A118BB" w:rsidRPr="00C00D32">
        <w:t xml:space="preserve">. </w:t>
      </w:r>
      <w:r w:rsidR="0028698D" w:rsidRPr="00C00D32">
        <w:t xml:space="preserve">I testen fick potentiella uppgiftslämnare granska utkast av enkäten och </w:t>
      </w:r>
      <w:r w:rsidR="00DB54B9" w:rsidRPr="00C00D32">
        <w:t xml:space="preserve">i </w:t>
      </w:r>
      <w:r w:rsidR="0028698D" w:rsidRPr="00C00D32">
        <w:t>interjuver med mättekniker</w:t>
      </w:r>
      <w:r w:rsidR="00DB54B9" w:rsidRPr="00C00D32">
        <w:t xml:space="preserve"> lämna synpunkter och förbättringsförslag</w:t>
      </w:r>
      <w:r w:rsidR="0028698D" w:rsidRPr="00C00D32">
        <w:t>.</w:t>
      </w:r>
      <w:r w:rsidR="00C00D32">
        <w:t xml:space="preserve"> </w:t>
      </w:r>
      <w:r w:rsidR="00DB54B9" w:rsidRPr="00C00D32">
        <w:t xml:space="preserve">Mätinstrumentet innehåller </w:t>
      </w:r>
      <w:r w:rsidR="002E5C2E" w:rsidRPr="00C00D32">
        <w:t xml:space="preserve">instruktioner med olika </w:t>
      </w:r>
      <w:r w:rsidR="00DB54B9" w:rsidRPr="00C00D32">
        <w:t xml:space="preserve">detaljeringsnivå beroende på </w:t>
      </w:r>
      <w:r w:rsidR="00036940" w:rsidRPr="00C00D32">
        <w:t>företagets storleksklass mätt i antal anställda</w:t>
      </w:r>
      <w:r w:rsidR="00DB54B9" w:rsidRPr="00C00D32">
        <w:t xml:space="preserve">. </w:t>
      </w:r>
    </w:p>
    <w:p w14:paraId="6BB0A65F" w14:textId="235DEED2" w:rsidR="00814248" w:rsidRPr="00C00D32" w:rsidRDefault="006F3A33" w:rsidP="00C00D32">
      <w:r w:rsidRPr="00C00D32">
        <w:t>Vid datainsamling</w:t>
      </w:r>
      <w:r w:rsidR="00B47AFE" w:rsidRPr="00C00D32">
        <w:t>sprocessen</w:t>
      </w:r>
      <w:r w:rsidR="00482992" w:rsidRPr="00C00D32">
        <w:t xml:space="preserve"> uppkommer mätfel.</w:t>
      </w:r>
      <w:r w:rsidR="008910AA" w:rsidRPr="00C00D32">
        <w:t xml:space="preserve"> </w:t>
      </w:r>
      <w:r w:rsidR="000803F7" w:rsidRPr="00C00D32">
        <w:t>Med mätfel menas skill</w:t>
      </w:r>
      <w:r w:rsidR="004C5CFB">
        <w:softHyphen/>
      </w:r>
      <w:r w:rsidR="000803F7" w:rsidRPr="00C00D32">
        <w:t>naden mellan det observerade värdet och de</w:t>
      </w:r>
      <w:r w:rsidR="008910AA" w:rsidRPr="00C00D32">
        <w:t xml:space="preserve">t </w:t>
      </w:r>
      <w:r w:rsidR="000803F7" w:rsidRPr="00C00D32">
        <w:t>efterfrågade sanna värdet, som antas finnas. Källorna till mätfel kan delas in i två grupper: de som beror på respondenten och de som beror på instrumentet.</w:t>
      </w:r>
    </w:p>
    <w:p w14:paraId="2FAD7AD8" w14:textId="7B15A016" w:rsidR="00110B18" w:rsidRPr="00C00D32" w:rsidRDefault="00482992" w:rsidP="00C00D32">
      <w:r w:rsidRPr="00C00D32">
        <w:t>I enkäten efterfrågas</w:t>
      </w:r>
      <w:r w:rsidR="00B6216F" w:rsidRPr="00C00D32">
        <w:t xml:space="preserve"> den faktiska el-</w:t>
      </w:r>
      <w:r w:rsidR="008910AA" w:rsidRPr="00C00D32">
        <w:t>,</w:t>
      </w:r>
      <w:r w:rsidR="00B6216F" w:rsidRPr="00C00D32">
        <w:t xml:space="preserve"> fjärrvärme</w:t>
      </w:r>
      <w:r w:rsidR="008910AA" w:rsidRPr="00C00D32">
        <w:t>-</w:t>
      </w:r>
      <w:r w:rsidR="00B6216F" w:rsidRPr="00C00D32">
        <w:t xml:space="preserve"> och bränsle</w:t>
      </w:r>
      <w:r w:rsidR="00953EC6" w:rsidRPr="00C00D32">
        <w:t>användning</w:t>
      </w:r>
      <w:r w:rsidR="004C5CFB">
        <w:t>en</w:t>
      </w:r>
      <w:r w:rsidR="00B6216F" w:rsidRPr="00C00D32">
        <w:t xml:space="preserve"> för referensåret</w:t>
      </w:r>
      <w:r w:rsidR="00C2784C" w:rsidRPr="00C00D32">
        <w:t>,</w:t>
      </w:r>
      <w:r w:rsidR="00B6216F" w:rsidRPr="00C00D32">
        <w:t xml:space="preserve"> men det ä</w:t>
      </w:r>
      <w:r w:rsidR="00C2784C" w:rsidRPr="00C00D32">
        <w:t>r inte säkert att denna uppgift</w:t>
      </w:r>
      <w:r w:rsidR="00B6216F" w:rsidRPr="00C00D32">
        <w:t xml:space="preserve"> är känd. Uppgifts</w:t>
      </w:r>
      <w:r w:rsidR="004C5CFB">
        <w:softHyphen/>
      </w:r>
      <w:r w:rsidR="00B6216F" w:rsidRPr="00C00D32">
        <w:t>läm</w:t>
      </w:r>
      <w:r w:rsidR="004C5CFB">
        <w:softHyphen/>
      </w:r>
      <w:r w:rsidR="00B6216F" w:rsidRPr="00C00D32">
        <w:t xml:space="preserve">naren </w:t>
      </w:r>
      <w:r w:rsidRPr="00C00D32">
        <w:t>instrueras</w:t>
      </w:r>
      <w:r w:rsidR="00B6216F" w:rsidRPr="00C00D32">
        <w:t xml:space="preserve"> att ta </w:t>
      </w:r>
      <w:r w:rsidR="00663FC1" w:rsidRPr="00C00D32">
        <w:t>fram</w:t>
      </w:r>
      <w:r w:rsidR="00B6216F" w:rsidRPr="00C00D32">
        <w:t xml:space="preserve"> uppgifterna genom</w:t>
      </w:r>
      <w:r w:rsidR="008910AA" w:rsidRPr="00C00D32">
        <w:t xml:space="preserve"> att använda</w:t>
      </w:r>
      <w:r w:rsidR="00BC1FD6" w:rsidRPr="00C00D32">
        <w:t xml:space="preserve"> företagets</w:t>
      </w:r>
      <w:r w:rsidR="00BC1FD6">
        <w:rPr>
          <w:rFonts w:cs="Book Antiqua"/>
        </w:rPr>
        <w:t xml:space="preserve"> </w:t>
      </w:r>
      <w:r w:rsidR="00BC1FD6">
        <w:t>bokföring</w:t>
      </w:r>
      <w:r w:rsidR="00BC1FD6">
        <w:rPr>
          <w:rFonts w:cs="Book Antiqua"/>
        </w:rPr>
        <w:t xml:space="preserve"> och/eller fakturor</w:t>
      </w:r>
      <w:r w:rsidR="00B6216F">
        <w:rPr>
          <w:rFonts w:cs="Book Antiqua"/>
        </w:rPr>
        <w:t xml:space="preserve">. </w:t>
      </w:r>
      <w:r w:rsidR="008D1564">
        <w:rPr>
          <w:rFonts w:cs="Book Antiqua"/>
        </w:rPr>
        <w:t>Bränslemängden</w:t>
      </w:r>
      <w:r w:rsidR="008910AA">
        <w:rPr>
          <w:rFonts w:cs="Book Antiqua"/>
        </w:rPr>
        <w:t xml:space="preserve"> behöver inte vara </w:t>
      </w:r>
      <w:r w:rsidR="00953EC6">
        <w:rPr>
          <w:rFonts w:cs="Book Antiqua"/>
        </w:rPr>
        <w:t>specificera</w:t>
      </w:r>
      <w:r w:rsidR="004C5CFB">
        <w:rPr>
          <w:rFonts w:cs="Book Antiqua"/>
        </w:rPr>
        <w:t>d</w:t>
      </w:r>
      <w:r w:rsidR="008910AA">
        <w:rPr>
          <w:rFonts w:cs="Book Antiqua"/>
        </w:rPr>
        <w:t xml:space="preserve"> på fakturan</w:t>
      </w:r>
      <w:r w:rsidR="004C5CFB">
        <w:rPr>
          <w:rFonts w:cs="Book Antiqua"/>
        </w:rPr>
        <w:t>,</w:t>
      </w:r>
      <w:r w:rsidR="008910AA">
        <w:rPr>
          <w:rFonts w:cs="Book Antiqua"/>
        </w:rPr>
        <w:t xml:space="preserve"> och u</w:t>
      </w:r>
      <w:r w:rsidR="00B6216F">
        <w:rPr>
          <w:rFonts w:cs="Book Antiqua"/>
        </w:rPr>
        <w:t xml:space="preserve">ppgiftslämnaren får </w:t>
      </w:r>
      <w:r w:rsidR="00FB5BAA">
        <w:rPr>
          <w:rFonts w:cs="Book Antiqua"/>
        </w:rPr>
        <w:t>i så fall</w:t>
      </w:r>
      <w:r w:rsidR="00B6216F">
        <w:rPr>
          <w:rFonts w:cs="Book Antiqua"/>
        </w:rPr>
        <w:t xml:space="preserve"> uppskatta mängden </w:t>
      </w:r>
      <w:r w:rsidR="00B6216F" w:rsidRPr="00C00D32">
        <w:t xml:space="preserve">utifrån </w:t>
      </w:r>
      <w:r w:rsidRPr="00C00D32">
        <w:t>bränsle</w:t>
      </w:r>
      <w:r w:rsidR="00FB5BAA" w:rsidRPr="00C00D32">
        <w:t>kostnaden.</w:t>
      </w:r>
    </w:p>
    <w:p w14:paraId="5D5DB696" w14:textId="3F2D8AAB" w:rsidR="00110B18" w:rsidRPr="00C00D32" w:rsidRDefault="00FA72E8" w:rsidP="00C00D32">
      <w:r>
        <w:t xml:space="preserve">För att få en uppfattning om </w:t>
      </w:r>
      <w:r w:rsidR="00110B18">
        <w:t>mätfelets</w:t>
      </w:r>
      <w:r>
        <w:t xml:space="preserve"> </w:t>
      </w:r>
      <w:r w:rsidR="00482992">
        <w:t>storlek</w:t>
      </w:r>
      <w:r>
        <w:t xml:space="preserve"> har jämförbara uppgifter</w:t>
      </w:r>
      <w:r w:rsidR="00482992">
        <w:t xml:space="preserve"> hämtats från Fordonsregistret.</w:t>
      </w:r>
    </w:p>
    <w:p w14:paraId="25665F4E" w14:textId="53BF0A3A" w:rsidR="00570E55" w:rsidRDefault="00FB5BAA" w:rsidP="00C00D32">
      <w:r>
        <w:t>I</w:t>
      </w:r>
      <w:r w:rsidR="00241B4A">
        <w:t xml:space="preserve"> tabell 4</w:t>
      </w:r>
      <w:r w:rsidR="00570E55">
        <w:t xml:space="preserve"> </w:t>
      </w:r>
      <w:r>
        <w:t>redovisas en</w:t>
      </w:r>
      <w:r w:rsidR="00570E55">
        <w:t xml:space="preserve"> jämförelse mellan </w:t>
      </w:r>
      <w:r w:rsidR="009D6C1D">
        <w:t xml:space="preserve">den </w:t>
      </w:r>
      <w:r>
        <w:t xml:space="preserve">skattade bränsleanvändningen </w:t>
      </w:r>
      <w:r w:rsidR="00036FB3">
        <w:t xml:space="preserve">avseende </w:t>
      </w:r>
      <w:r w:rsidR="00036FB3" w:rsidRPr="009C4794">
        <w:rPr>
          <w:i/>
        </w:rPr>
        <w:t>transporter</w:t>
      </w:r>
      <w:r w:rsidR="00036FB3">
        <w:t xml:space="preserve"> </w:t>
      </w:r>
      <w:r w:rsidR="00602EC6">
        <w:t xml:space="preserve">(K3) </w:t>
      </w:r>
      <w:r>
        <w:t>för bensin och diesel</w:t>
      </w:r>
      <w:r w:rsidR="00036FB3">
        <w:t>,</w:t>
      </w:r>
      <w:r w:rsidR="00570E55">
        <w:t xml:space="preserve"> och</w:t>
      </w:r>
      <w:r>
        <w:t xml:space="preserve"> motsvarande uppgift från</w:t>
      </w:r>
      <w:r w:rsidR="00570E55">
        <w:t xml:space="preserve"> </w:t>
      </w:r>
      <w:r w:rsidR="00570E55">
        <w:lastRenderedPageBreak/>
        <w:t>Fordonsregistret</w:t>
      </w:r>
      <w:r w:rsidR="00602EC6">
        <w:t xml:space="preserve"> (K4)</w:t>
      </w:r>
      <w:r>
        <w:t xml:space="preserve">. </w:t>
      </w:r>
      <w:r w:rsidR="00F10C2B">
        <w:t xml:space="preserve">De </w:t>
      </w:r>
      <w:r>
        <w:t>skattade volymerna</w:t>
      </w:r>
      <w:r w:rsidR="00570E55">
        <w:t xml:space="preserve"> är betydligt stör</w:t>
      </w:r>
      <w:r w:rsidR="009379EB">
        <w:t xml:space="preserve">re </w:t>
      </w:r>
      <w:r w:rsidR="004C5CFB">
        <w:t xml:space="preserve">än för </w:t>
      </w:r>
      <w:r w:rsidR="009379EB">
        <w:t>Fordonsregistret.</w:t>
      </w:r>
      <w:r w:rsidR="00570E55">
        <w:t xml:space="preserve"> </w:t>
      </w:r>
      <w:r w:rsidR="009379EB">
        <w:t>Skillnaden kan till viss del förklaras med att</w:t>
      </w:r>
      <w:r w:rsidR="00570E55">
        <w:t xml:space="preserve"> </w:t>
      </w:r>
      <w:r>
        <w:t>företagen har tillgång till</w:t>
      </w:r>
      <w:r w:rsidR="00570E55">
        <w:t xml:space="preserve"> faktiska uppgifter om bränsleanvändning </w:t>
      </w:r>
      <w:r>
        <w:t>genom</w:t>
      </w:r>
      <w:r w:rsidR="00570E55">
        <w:t xml:space="preserve"> </w:t>
      </w:r>
      <w:r w:rsidR="00953EC6">
        <w:t>fakturor</w:t>
      </w:r>
      <w:r w:rsidR="00570E55">
        <w:t xml:space="preserve"> men att uppdelningen mellan </w:t>
      </w:r>
      <w:r w:rsidR="00110B18">
        <w:t xml:space="preserve">användningskategorierna </w:t>
      </w:r>
      <w:r w:rsidR="00570E55">
        <w:t>byggnader, transporter och verksamhet</w:t>
      </w:r>
      <w:r>
        <w:t xml:space="preserve"> är</w:t>
      </w:r>
      <w:r w:rsidR="00570E55">
        <w:t xml:space="preserve"> </w:t>
      </w:r>
      <w:r w:rsidR="00953EC6">
        <w:t>uppskatta</w:t>
      </w:r>
      <w:r>
        <w:t>d</w:t>
      </w:r>
      <w:r w:rsidR="00570E55">
        <w:t xml:space="preserve">. </w:t>
      </w:r>
      <w:r w:rsidR="00B44643">
        <w:t>Skattningen</w:t>
      </w:r>
      <w:r w:rsidR="00570E55">
        <w:t xml:space="preserve"> </w:t>
      </w:r>
      <w:r>
        <w:t>för</w:t>
      </w:r>
      <w:r w:rsidR="00570E55">
        <w:t xml:space="preserve"> den totala bränsleanvändningen</w:t>
      </w:r>
      <w:r w:rsidR="009379EB">
        <w:t xml:space="preserve"> bedöms därför som</w:t>
      </w:r>
      <w:r w:rsidR="00570E55">
        <w:t xml:space="preserve"> säkrare än uppdelningen </w:t>
      </w:r>
      <w:r w:rsidR="00BF0A5F">
        <w:t>i</w:t>
      </w:r>
      <w:r w:rsidR="00570E55">
        <w:t xml:space="preserve"> redovisningsgrupperna. </w:t>
      </w:r>
    </w:p>
    <w:p w14:paraId="2578245C" w14:textId="62F835D3" w:rsidR="008D300F" w:rsidRDefault="00F10C2B" w:rsidP="00C00D32">
      <w:r>
        <w:t>Fordonsregistret använder</w:t>
      </w:r>
      <w:r w:rsidR="009C4794">
        <w:t xml:space="preserve"> även typvärden för </w:t>
      </w:r>
      <w:r>
        <w:t>bränsleanvändning per bränsle och fordon</w:t>
      </w:r>
      <w:r w:rsidR="00570E55">
        <w:t xml:space="preserve"> som inte tar hä</w:t>
      </w:r>
      <w:r w:rsidR="009379EB">
        <w:t>nsyn till om fordonet är lastat</w:t>
      </w:r>
      <w:r w:rsidR="00EC402B">
        <w:t>. Det</w:t>
      </w:r>
      <w:r w:rsidR="009379EB">
        <w:t xml:space="preserve"> leder till</w:t>
      </w:r>
      <w:r w:rsidR="00570E55">
        <w:t xml:space="preserve"> under</w:t>
      </w:r>
      <w:r w:rsidR="004C5CFB">
        <w:softHyphen/>
      </w:r>
      <w:r w:rsidR="00570E55">
        <w:t>sk</w:t>
      </w:r>
      <w:r w:rsidR="009379EB">
        <w:t>attning av bränsleanvändningen</w:t>
      </w:r>
      <w:r w:rsidR="00570E55">
        <w:t xml:space="preserve">. </w:t>
      </w:r>
      <w:r w:rsidR="00110B18">
        <w:t xml:space="preserve">En </w:t>
      </w:r>
      <w:r w:rsidR="00D70A48">
        <w:t>ytterligare</w:t>
      </w:r>
      <w:r w:rsidR="00FB5BAA">
        <w:t xml:space="preserve"> källa till underskattning </w:t>
      </w:r>
      <w:r w:rsidR="00570E55">
        <w:t xml:space="preserve">är att </w:t>
      </w:r>
      <w:r>
        <w:t>lea</w:t>
      </w:r>
      <w:r w:rsidR="00B44643">
        <w:t>sade fordon inte inkluderas i</w:t>
      </w:r>
      <w:r>
        <w:t xml:space="preserve"> Fordonsregistret</w:t>
      </w:r>
      <w:r w:rsidR="004C5CFB">
        <w:t>, eftersom</w:t>
      </w:r>
      <w:r>
        <w:t xml:space="preserve"> de är skrivna på uthyrningsföretag utanför byggsektorn.</w:t>
      </w:r>
    </w:p>
    <w:p w14:paraId="2C412F30" w14:textId="1AF03331" w:rsidR="008D300F" w:rsidRDefault="0031161C" w:rsidP="00116116">
      <w:pPr>
        <w:overflowPunct w:val="0"/>
        <w:autoSpaceDE w:val="0"/>
        <w:autoSpaceDN w:val="0"/>
        <w:adjustRightInd w:val="0"/>
        <w:textAlignment w:val="baseline"/>
      </w:pPr>
      <w:r>
        <w:t xml:space="preserve">Trots de </w:t>
      </w:r>
      <w:r w:rsidR="00482735">
        <w:t>kända</w:t>
      </w:r>
      <w:r>
        <w:t xml:space="preserve"> </w:t>
      </w:r>
      <w:r w:rsidR="00116116">
        <w:t xml:space="preserve">skillnaderna mellan </w:t>
      </w:r>
      <w:r w:rsidR="00FB5BAA">
        <w:t xml:space="preserve">den skattade bränsleanvändningen </w:t>
      </w:r>
      <w:r w:rsidR="00116116">
        <w:t>och Fordonsregistret är det troligt att energianvändningen f</w:t>
      </w:r>
      <w:r w:rsidR="00FB5BAA">
        <w:t>ör transporter är överskattad.</w:t>
      </w:r>
      <w:r w:rsidR="00723027">
        <w:t xml:space="preserve"> På grund av de osäkerheter som finns kring skattningen redovisas inte transporter </w:t>
      </w:r>
      <w:r w:rsidR="00467A38">
        <w:t>separat för byggsektorn.</w:t>
      </w:r>
    </w:p>
    <w:p w14:paraId="46617649" w14:textId="5AE302AD" w:rsidR="00FA72E8" w:rsidRPr="00FE2A72" w:rsidRDefault="00FE2A72" w:rsidP="00FE2A72">
      <w:pPr>
        <w:rPr>
          <w:i/>
        </w:rPr>
      </w:pPr>
      <w:r w:rsidRPr="00FE2A72">
        <w:rPr>
          <w:i/>
        </w:rPr>
        <w:t>Tabell 4</w:t>
      </w:r>
      <w:r w:rsidR="00C557A4" w:rsidRPr="00FE2A72">
        <w:rPr>
          <w:i/>
        </w:rPr>
        <w:t xml:space="preserve">. </w:t>
      </w:r>
      <w:r>
        <w:rPr>
          <w:i/>
        </w:rPr>
        <w:t>Skattad total b</w:t>
      </w:r>
      <w:r w:rsidR="00C557A4" w:rsidRPr="00FE2A72">
        <w:rPr>
          <w:i/>
        </w:rPr>
        <w:t>ränsleanvändning för</w:t>
      </w:r>
      <w:r w:rsidR="00982F49">
        <w:rPr>
          <w:i/>
        </w:rPr>
        <w:t xml:space="preserve"> transporter</w:t>
      </w:r>
      <w:r w:rsidR="00F92083" w:rsidRPr="00FE2A72">
        <w:rPr>
          <w:i/>
        </w:rPr>
        <w:t xml:space="preserve"> </w:t>
      </w:r>
      <w:r>
        <w:rPr>
          <w:i/>
        </w:rPr>
        <w:t>jämfört med</w:t>
      </w:r>
      <w:r w:rsidR="00C557A4" w:rsidRPr="00FE2A72">
        <w:rPr>
          <w:i/>
        </w:rPr>
        <w:t xml:space="preserve"> Fordonsregistret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0"/>
        <w:gridCol w:w="960"/>
        <w:gridCol w:w="1540"/>
        <w:gridCol w:w="1600"/>
      </w:tblGrid>
      <w:tr w:rsidR="00FA72E8" w:rsidRPr="00287A5A" w14:paraId="1CCAC7E6" w14:textId="77777777" w:rsidTr="00B054CF">
        <w:trPr>
          <w:trHeight w:val="255"/>
        </w:trPr>
        <w:tc>
          <w:tcPr>
            <w:tcW w:w="1700" w:type="dxa"/>
            <w:noWrap/>
            <w:hideMark/>
          </w:tcPr>
          <w:p w14:paraId="5B0D9FF7" w14:textId="77777777" w:rsidR="00FA72E8" w:rsidRPr="00287A5A" w:rsidRDefault="00FA72E8" w:rsidP="00B054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K1</w:t>
            </w:r>
          </w:p>
        </w:tc>
        <w:tc>
          <w:tcPr>
            <w:tcW w:w="960" w:type="dxa"/>
            <w:noWrap/>
            <w:hideMark/>
          </w:tcPr>
          <w:p w14:paraId="34BEBC98" w14:textId="77777777" w:rsidR="00FA72E8" w:rsidRPr="00287A5A" w:rsidRDefault="00FA72E8" w:rsidP="00B054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K2</w:t>
            </w:r>
          </w:p>
        </w:tc>
        <w:tc>
          <w:tcPr>
            <w:tcW w:w="1540" w:type="dxa"/>
            <w:noWrap/>
            <w:hideMark/>
          </w:tcPr>
          <w:p w14:paraId="1455E259" w14:textId="77777777" w:rsidR="00FA72E8" w:rsidRPr="00287A5A" w:rsidRDefault="00FA72E8" w:rsidP="00B054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K3</w:t>
            </w:r>
          </w:p>
        </w:tc>
        <w:tc>
          <w:tcPr>
            <w:tcW w:w="1600" w:type="dxa"/>
            <w:noWrap/>
            <w:hideMark/>
          </w:tcPr>
          <w:p w14:paraId="3DD91C9D" w14:textId="77777777" w:rsidR="00FA72E8" w:rsidRPr="00287A5A" w:rsidRDefault="00FA72E8" w:rsidP="00B054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K4</w:t>
            </w:r>
          </w:p>
        </w:tc>
      </w:tr>
      <w:tr w:rsidR="00FA72E8" w:rsidRPr="00287A5A" w14:paraId="6AF1C504" w14:textId="77777777" w:rsidTr="00B054CF">
        <w:trPr>
          <w:trHeight w:val="255"/>
        </w:trPr>
        <w:tc>
          <w:tcPr>
            <w:tcW w:w="1700" w:type="dxa"/>
            <w:noWrap/>
            <w:hideMark/>
          </w:tcPr>
          <w:p w14:paraId="2A63932E" w14:textId="3159D712" w:rsidR="00FA72E8" w:rsidRPr="00287A5A" w:rsidRDefault="009B5E9A" w:rsidP="00B054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</w:t>
            </w:r>
            <w:r w:rsidR="00FA72E8" w:rsidRPr="00287A5A">
              <w:t>ensin</w:t>
            </w:r>
          </w:p>
        </w:tc>
        <w:tc>
          <w:tcPr>
            <w:tcW w:w="960" w:type="dxa"/>
            <w:noWrap/>
            <w:hideMark/>
          </w:tcPr>
          <w:p w14:paraId="49121045" w14:textId="77777777" w:rsidR="00FA72E8" w:rsidRPr="00287A5A" w:rsidRDefault="00FA72E8" w:rsidP="00B054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liter</w:t>
            </w:r>
          </w:p>
        </w:tc>
        <w:tc>
          <w:tcPr>
            <w:tcW w:w="1540" w:type="dxa"/>
            <w:noWrap/>
            <w:vAlign w:val="center"/>
            <w:hideMark/>
          </w:tcPr>
          <w:p w14:paraId="5507089F" w14:textId="786F9CF3" w:rsidR="00FA72E8" w:rsidRPr="00287A5A" w:rsidRDefault="00A54C94" w:rsidP="00B054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09137B">
              <w:t>16 004 334</w:t>
            </w:r>
          </w:p>
        </w:tc>
        <w:tc>
          <w:tcPr>
            <w:tcW w:w="1600" w:type="dxa"/>
            <w:noWrap/>
            <w:vAlign w:val="center"/>
            <w:hideMark/>
          </w:tcPr>
          <w:p w14:paraId="09E2A8A3" w14:textId="77777777" w:rsidR="00FA72E8" w:rsidRPr="00287A5A" w:rsidRDefault="00FA72E8" w:rsidP="00B054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87A5A">
              <w:t>3 337 466</w:t>
            </w:r>
          </w:p>
        </w:tc>
      </w:tr>
      <w:tr w:rsidR="00FA72E8" w:rsidRPr="00287A5A" w14:paraId="35BC79AA" w14:textId="77777777" w:rsidTr="00B054CF">
        <w:trPr>
          <w:trHeight w:val="255"/>
        </w:trPr>
        <w:tc>
          <w:tcPr>
            <w:tcW w:w="1700" w:type="dxa"/>
            <w:noWrap/>
            <w:hideMark/>
          </w:tcPr>
          <w:p w14:paraId="58200B1C" w14:textId="62CA6671" w:rsidR="00FA72E8" w:rsidRPr="00287A5A" w:rsidRDefault="009B5E9A" w:rsidP="00B054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</w:t>
            </w:r>
            <w:r w:rsidR="00FA72E8" w:rsidRPr="00287A5A">
              <w:t>iesel</w:t>
            </w:r>
          </w:p>
        </w:tc>
        <w:tc>
          <w:tcPr>
            <w:tcW w:w="960" w:type="dxa"/>
            <w:noWrap/>
            <w:hideMark/>
          </w:tcPr>
          <w:p w14:paraId="6057174C" w14:textId="77777777" w:rsidR="00FA72E8" w:rsidRPr="00287A5A" w:rsidRDefault="00FA72E8" w:rsidP="00B054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A5A">
              <w:t>liter</w:t>
            </w:r>
          </w:p>
        </w:tc>
        <w:tc>
          <w:tcPr>
            <w:tcW w:w="1540" w:type="dxa"/>
            <w:noWrap/>
            <w:vAlign w:val="center"/>
            <w:hideMark/>
          </w:tcPr>
          <w:p w14:paraId="0825AE8E" w14:textId="6CE509BD" w:rsidR="00FA72E8" w:rsidRPr="00287A5A" w:rsidRDefault="00A54C94" w:rsidP="00B054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09137B">
              <w:t>190 249 945</w:t>
            </w:r>
          </w:p>
        </w:tc>
        <w:tc>
          <w:tcPr>
            <w:tcW w:w="1600" w:type="dxa"/>
            <w:noWrap/>
            <w:vAlign w:val="center"/>
            <w:hideMark/>
          </w:tcPr>
          <w:p w14:paraId="28A63F4D" w14:textId="77777777" w:rsidR="00FA72E8" w:rsidRPr="00287A5A" w:rsidRDefault="00FA72E8" w:rsidP="00B054C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87A5A">
              <w:t>91 923 372</w:t>
            </w:r>
          </w:p>
        </w:tc>
      </w:tr>
    </w:tbl>
    <w:p w14:paraId="431FA4DF" w14:textId="6735C8ED" w:rsidR="00C557A4" w:rsidRDefault="004C5CFB" w:rsidP="00C557A4">
      <w:pPr>
        <w:overflowPunct w:val="0"/>
        <w:autoSpaceDE w:val="0"/>
        <w:autoSpaceDN w:val="0"/>
        <w:adjustRightInd w:val="0"/>
        <w:textAlignment w:val="baseline"/>
      </w:pPr>
      <w:r>
        <w:t>Beteckningar</w:t>
      </w:r>
      <w:r w:rsidR="00C557A4">
        <w:t>:</w:t>
      </w:r>
    </w:p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568"/>
      </w:tblGrid>
      <w:tr w:rsidR="00C557A4" w:rsidRPr="001201BD" w14:paraId="46587B1C" w14:textId="77777777" w:rsidTr="00B054C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90B" w14:textId="77777777" w:rsidR="00C557A4" w:rsidRPr="001201BD" w:rsidRDefault="00C557A4" w:rsidP="00B05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K1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7028" w14:textId="717053A9" w:rsidR="00C557A4" w:rsidRPr="001201BD" w:rsidRDefault="00B44643" w:rsidP="00B05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Drivmedel</w:t>
            </w:r>
          </w:p>
        </w:tc>
      </w:tr>
      <w:tr w:rsidR="00C557A4" w:rsidRPr="001201BD" w14:paraId="72FBA990" w14:textId="77777777" w:rsidTr="00B054C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AD13" w14:textId="77777777" w:rsidR="00C557A4" w:rsidRPr="001201BD" w:rsidRDefault="00C557A4" w:rsidP="00B05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K2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8BD1" w14:textId="77777777" w:rsidR="00C557A4" w:rsidRPr="001201BD" w:rsidRDefault="00C557A4" w:rsidP="00B05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Enhet</w:t>
            </w:r>
          </w:p>
        </w:tc>
      </w:tr>
      <w:tr w:rsidR="00C557A4" w:rsidRPr="001201BD" w14:paraId="6D4D6DEC" w14:textId="77777777" w:rsidTr="00B054C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F4F2" w14:textId="77777777" w:rsidR="00C557A4" w:rsidRPr="001201BD" w:rsidRDefault="00C557A4" w:rsidP="00B05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K3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B6AA" w14:textId="58BF6B41" w:rsidR="00C557A4" w:rsidRPr="001201BD" w:rsidRDefault="00982F49" w:rsidP="00CC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Skattad </w:t>
            </w:r>
            <w:r w:rsidR="00CC1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total bränsle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</w:t>
            </w: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nvändning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avseende transporter</w:t>
            </w:r>
          </w:p>
        </w:tc>
      </w:tr>
      <w:tr w:rsidR="00C557A4" w:rsidRPr="001201BD" w14:paraId="24F28187" w14:textId="77777777" w:rsidTr="00B054C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F297" w14:textId="77777777" w:rsidR="00C557A4" w:rsidRPr="001201BD" w:rsidRDefault="00C557A4" w:rsidP="00B05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K4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6E6F" w14:textId="0C0F7C9F" w:rsidR="00C557A4" w:rsidRPr="001201BD" w:rsidRDefault="00CC1C3E" w:rsidP="00CC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Bränslea</w:t>
            </w:r>
            <w:r w:rsidR="00C557A4"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nvändning från Fordonsregistret för företag som </w:t>
            </w:r>
            <w:r w:rsidR="00C5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ingår</w:t>
            </w:r>
            <w:r w:rsidR="00C557A4" w:rsidRPr="00120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målpopulationen</w:t>
            </w:r>
          </w:p>
        </w:tc>
      </w:tr>
    </w:tbl>
    <w:p w14:paraId="6B3E022D" w14:textId="77777777" w:rsidR="00C557A4" w:rsidRPr="00570E55" w:rsidRDefault="00C557A4" w:rsidP="00570E55">
      <w:pPr>
        <w:overflowPunct w:val="0"/>
        <w:autoSpaceDE w:val="0"/>
        <w:autoSpaceDN w:val="0"/>
        <w:adjustRightInd w:val="0"/>
        <w:textAlignment w:val="baseline"/>
      </w:pPr>
    </w:p>
    <w:p w14:paraId="478169AD" w14:textId="37F1255F" w:rsidR="00154AD5" w:rsidRDefault="00154AD5" w:rsidP="00154AD5">
      <w:pPr>
        <w:autoSpaceDE w:val="0"/>
        <w:autoSpaceDN w:val="0"/>
        <w:adjustRightInd w:val="0"/>
        <w:spacing w:after="0" w:line="240" w:lineRule="auto"/>
        <w:rPr>
          <w:rFonts w:cs="Book Antiqua"/>
        </w:rPr>
      </w:pPr>
      <w:r>
        <w:rPr>
          <w:rFonts w:cs="Book Antiqua"/>
        </w:rPr>
        <w:t>Det sammantagna mätfelet är inte känt</w:t>
      </w:r>
      <w:r w:rsidR="004C5CFB">
        <w:rPr>
          <w:rFonts w:cs="Book Antiqua"/>
        </w:rPr>
        <w:t>,</w:t>
      </w:r>
      <w:r>
        <w:rPr>
          <w:rFonts w:cs="Book Antiqua"/>
        </w:rPr>
        <w:t xml:space="preserve"> </w:t>
      </w:r>
      <w:r w:rsidR="00110B18">
        <w:rPr>
          <w:rFonts w:cs="Book Antiqua"/>
        </w:rPr>
        <w:t xml:space="preserve">men </w:t>
      </w:r>
      <w:r w:rsidR="004C5CFB">
        <w:rPr>
          <w:rFonts w:cs="Book Antiqua"/>
        </w:rPr>
        <w:t>utifrån</w:t>
      </w:r>
      <w:r w:rsidR="00110B18">
        <w:rPr>
          <w:rFonts w:cs="Book Antiqua"/>
        </w:rPr>
        <w:t xml:space="preserve"> jämförelse med Fordonsregistret är</w:t>
      </w:r>
      <w:r>
        <w:rPr>
          <w:rFonts w:cs="Book Antiqua"/>
        </w:rPr>
        <w:t xml:space="preserve"> bedömningen att mätfelet </w:t>
      </w:r>
      <w:r w:rsidR="00BF0A5F">
        <w:rPr>
          <w:rFonts w:cs="Book Antiqua"/>
        </w:rPr>
        <w:t xml:space="preserve">kan ha </w:t>
      </w:r>
      <w:r w:rsidR="004C5CFB">
        <w:rPr>
          <w:rFonts w:cs="Book Antiqua"/>
        </w:rPr>
        <w:t>betydande</w:t>
      </w:r>
      <w:r>
        <w:rPr>
          <w:rFonts w:cs="Book Antiqua"/>
        </w:rPr>
        <w:t xml:space="preserve"> </w:t>
      </w:r>
      <w:r w:rsidR="00BF0A5F">
        <w:rPr>
          <w:rFonts w:cs="Book Antiqua"/>
        </w:rPr>
        <w:t>över</w:t>
      </w:r>
      <w:r w:rsidR="00521784">
        <w:rPr>
          <w:rFonts w:cs="Book Antiqua"/>
        </w:rPr>
        <w:softHyphen/>
      </w:r>
      <w:r w:rsidR="00BF0A5F">
        <w:rPr>
          <w:rFonts w:cs="Book Antiqua"/>
        </w:rPr>
        <w:t xml:space="preserve">skattande </w:t>
      </w:r>
      <w:r>
        <w:rPr>
          <w:rFonts w:cs="Book Antiqua"/>
        </w:rPr>
        <w:t>påverkan</w:t>
      </w:r>
      <w:r w:rsidR="00BF0A5F">
        <w:rPr>
          <w:rFonts w:cs="Book Antiqua"/>
        </w:rPr>
        <w:t>.</w:t>
      </w:r>
    </w:p>
    <w:p w14:paraId="7A7BC5E8" w14:textId="77777777" w:rsidR="00B6216F" w:rsidRPr="000803F7" w:rsidRDefault="00B6216F" w:rsidP="000803F7">
      <w:pPr>
        <w:autoSpaceDE w:val="0"/>
        <w:autoSpaceDN w:val="0"/>
        <w:adjustRightInd w:val="0"/>
        <w:spacing w:after="0" w:line="240" w:lineRule="auto"/>
        <w:rPr>
          <w:rFonts w:cs="Book Antiqua"/>
        </w:rPr>
      </w:pPr>
    </w:p>
    <w:p w14:paraId="17531D44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12" w:name="_Toc418595702"/>
      <w:bookmarkStart w:id="113" w:name="_Toc430277564"/>
      <w:bookmarkStart w:id="114" w:name="_Toc449949581"/>
      <w:bookmarkStart w:id="115" w:name="_Toc467250869"/>
      <w:bookmarkStart w:id="116" w:name="_Toc467251701"/>
      <w:bookmarkStart w:id="117" w:name="_Toc467482237"/>
      <w:bookmarkStart w:id="118" w:name="_Toc535416141"/>
      <w:r w:rsidRPr="005A484A">
        <w:rPr>
          <w:szCs w:val="18"/>
        </w:rPr>
        <w:t>2.2.4</w:t>
      </w:r>
      <w:r w:rsidRPr="005A484A">
        <w:rPr>
          <w:szCs w:val="18"/>
        </w:rPr>
        <w:tab/>
        <w:t>Bortfall</w:t>
      </w:r>
      <w:bookmarkEnd w:id="112"/>
      <w:bookmarkEnd w:id="113"/>
      <w:bookmarkEnd w:id="114"/>
      <w:bookmarkEnd w:id="115"/>
      <w:bookmarkEnd w:id="116"/>
      <w:bookmarkEnd w:id="117"/>
      <w:bookmarkEnd w:id="118"/>
    </w:p>
    <w:p w14:paraId="6A966D54" w14:textId="77777777" w:rsidR="00CA0C02" w:rsidRDefault="00CA0C02" w:rsidP="00CA0C02">
      <w:pPr>
        <w:autoSpaceDE w:val="0"/>
        <w:autoSpaceDN w:val="0"/>
        <w:adjustRightInd w:val="0"/>
        <w:spacing w:after="0" w:line="240" w:lineRule="auto"/>
        <w:rPr>
          <w:rFonts w:cs="Book Antiqua"/>
        </w:rPr>
      </w:pPr>
      <w:r>
        <w:rPr>
          <w:rFonts w:cs="Book Antiqua"/>
        </w:rPr>
        <w:t>Partiellt bortfall innebär att ett eller flera men inte alla variabelvärden</w:t>
      </w:r>
    </w:p>
    <w:p w14:paraId="1D22DF43" w14:textId="77777777" w:rsidR="00C00D32" w:rsidRDefault="00CA0C02" w:rsidP="00C00D32">
      <w:r w:rsidRPr="00C00D32">
        <w:t>saknas för ett objekt; det finns anv</w:t>
      </w:r>
      <w:r w:rsidR="00C00D32">
        <w:t xml:space="preserve">ändbara, men inte fullständiga, </w:t>
      </w:r>
      <w:r w:rsidRPr="00C00D32">
        <w:t>data för objektet.</w:t>
      </w:r>
      <w:r w:rsidR="00C31227" w:rsidRPr="00C00D32">
        <w:t xml:space="preserve"> Detta fel justeras för i skattningsförfarandet.</w:t>
      </w:r>
    </w:p>
    <w:p w14:paraId="4CD44511" w14:textId="5FA5ED5C" w:rsidR="001D4F86" w:rsidRPr="00C00D32" w:rsidRDefault="00CA0C02" w:rsidP="00C00D32">
      <w:r w:rsidRPr="00C00D32">
        <w:t>Om data saknas helt för objektet för</w:t>
      </w:r>
      <w:r w:rsidR="00C00D32">
        <w:t xml:space="preserve">eligger objektbortfall. Det kan </w:t>
      </w:r>
      <w:r w:rsidRPr="00C00D32">
        <w:t>också vara så att vissa variabelvärd</w:t>
      </w:r>
      <w:r w:rsidR="00C00D32">
        <w:t xml:space="preserve">en har funnits men bedömts vara </w:t>
      </w:r>
      <w:r w:rsidRPr="00C00D32">
        <w:t>av så låg kvalitet att de har tagits bort.</w:t>
      </w:r>
    </w:p>
    <w:p w14:paraId="47C278E7" w14:textId="39336CE7" w:rsidR="00CB4AC9" w:rsidRPr="00C00D32" w:rsidRDefault="002B2B07" w:rsidP="00C00D32">
      <w:r w:rsidRPr="00C00D32">
        <w:t>Objektb</w:t>
      </w:r>
      <w:r w:rsidR="00446AB0" w:rsidRPr="00C00D32">
        <w:t xml:space="preserve">ortfall leder till en ökad slumpmässig osäkerhet, men kan också leda till systematiska fel, så kallad (bortfalls-)bias. </w:t>
      </w:r>
    </w:p>
    <w:p w14:paraId="0CD0829D" w14:textId="79454121" w:rsidR="00D43F4A" w:rsidRDefault="00CB4AC9" w:rsidP="00C00D32">
      <w:pPr>
        <w:rPr>
          <w:rFonts w:cs="Book Antiqua"/>
        </w:rPr>
      </w:pPr>
      <w:r w:rsidRPr="00C00D32">
        <w:t xml:space="preserve">För att kunna bedöma risken för bortfallsbias jämförs i tabell </w:t>
      </w:r>
      <w:r w:rsidR="00BF0A5F">
        <w:t>5</w:t>
      </w:r>
      <w:r w:rsidRPr="00C00D32">
        <w:t xml:space="preserve"> nedan skatt</w:t>
      </w:r>
      <w:r w:rsidR="004C5CFB">
        <w:softHyphen/>
      </w:r>
      <w:r w:rsidRPr="00C00D32">
        <w:t>ningar av antale</w:t>
      </w:r>
      <w:r w:rsidR="002B2B07" w:rsidRPr="00C00D32">
        <w:t xml:space="preserve">t anställda och </w:t>
      </w:r>
      <w:r w:rsidR="00BF0A5F">
        <w:t>n</w:t>
      </w:r>
      <w:r w:rsidR="002B2B07" w:rsidRPr="00C00D32">
        <w:t>ettoomsättning</w:t>
      </w:r>
      <w:r w:rsidRPr="00C00D32">
        <w:t xml:space="preserve"> </w:t>
      </w:r>
      <w:r w:rsidR="002B2B07" w:rsidRPr="00C00D32">
        <w:t>(</w:t>
      </w:r>
      <w:r w:rsidRPr="00C00D32">
        <w:t>variabler som finns i urvals</w:t>
      </w:r>
      <w:r w:rsidR="004C5CFB">
        <w:softHyphen/>
      </w:r>
      <w:r w:rsidRPr="00C00D32">
        <w:t>ramen</w:t>
      </w:r>
      <w:r w:rsidR="002B2B07">
        <w:rPr>
          <w:rFonts w:cs="Book Antiqua"/>
        </w:rPr>
        <w:t>)</w:t>
      </w:r>
      <w:r>
        <w:rPr>
          <w:rFonts w:cs="Book Antiqua"/>
        </w:rPr>
        <w:t xml:space="preserve"> som baseras på hela urvalet respektive på den erhållna svarsmängden.</w:t>
      </w:r>
    </w:p>
    <w:p w14:paraId="68E8454B" w14:textId="77777777" w:rsidR="00BF0A5F" w:rsidRDefault="00BF0A5F" w:rsidP="00CA0C02">
      <w:pPr>
        <w:rPr>
          <w:i/>
        </w:rPr>
      </w:pPr>
    </w:p>
    <w:p w14:paraId="6DE4B539" w14:textId="7DF631FA" w:rsidR="00446AB0" w:rsidRDefault="00A61D62" w:rsidP="00CA0C02">
      <w:r>
        <w:rPr>
          <w:i/>
        </w:rPr>
        <w:lastRenderedPageBreak/>
        <w:t>Tabell 5</w:t>
      </w:r>
      <w:r w:rsidR="00AA4475" w:rsidRPr="00AA4475">
        <w:rPr>
          <w:i/>
        </w:rPr>
        <w:t>. Jämförelse mellan skattningar av Totalt antal anställda</w:t>
      </w:r>
      <w:r w:rsidR="00D43F4A">
        <w:rPr>
          <w:i/>
        </w:rPr>
        <w:t xml:space="preserve"> och </w:t>
      </w:r>
      <w:r w:rsidR="00CB4AC9">
        <w:rPr>
          <w:i/>
        </w:rPr>
        <w:t>Nettoo</w:t>
      </w:r>
      <w:r w:rsidR="00D43F4A">
        <w:rPr>
          <w:i/>
        </w:rPr>
        <w:t>msättning</w:t>
      </w:r>
      <w:r w:rsidR="00AA4475" w:rsidRPr="00AA4475">
        <w:rPr>
          <w:i/>
        </w:rPr>
        <w:t xml:space="preserve"> från ramen baserat på urvals- respektive svarsmängd. Fördelning på </w:t>
      </w:r>
      <w:r w:rsidR="00B054CF">
        <w:rPr>
          <w:i/>
        </w:rPr>
        <w:t>stratum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Page Layout"/>
      </w:tblPr>
      <w:tblGrid>
        <w:gridCol w:w="1195"/>
        <w:gridCol w:w="1218"/>
        <w:gridCol w:w="1537"/>
        <w:gridCol w:w="1000"/>
        <w:gridCol w:w="250"/>
        <w:gridCol w:w="666"/>
        <w:gridCol w:w="1525"/>
        <w:gridCol w:w="692"/>
        <w:gridCol w:w="383"/>
        <w:gridCol w:w="739"/>
      </w:tblGrid>
      <w:tr w:rsidR="00D43F4A" w:rsidRPr="00D43F4A" w14:paraId="18DFA47C" w14:textId="77777777" w:rsidTr="00D43F4A">
        <w:trPr>
          <w:trHeight w:val="300"/>
        </w:trPr>
        <w:tc>
          <w:tcPr>
            <w:tcW w:w="2413" w:type="dxa"/>
            <w:gridSpan w:val="2"/>
          </w:tcPr>
          <w:p w14:paraId="38594F84" w14:textId="74D5A759" w:rsidR="00D43F4A" w:rsidRPr="00D43F4A" w:rsidRDefault="00D43F4A" w:rsidP="00D4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Stratum</w:t>
            </w:r>
          </w:p>
        </w:tc>
        <w:tc>
          <w:tcPr>
            <w:tcW w:w="3453" w:type="dxa"/>
            <w:gridSpan w:val="4"/>
            <w:shd w:val="clear" w:color="auto" w:fill="auto"/>
            <w:hideMark/>
          </w:tcPr>
          <w:p w14:paraId="554C5970" w14:textId="77777777" w:rsidR="00D43F4A" w:rsidRPr="00D43F4A" w:rsidRDefault="00D43F4A" w:rsidP="00D4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Anställda (1000-tal)</w:t>
            </w:r>
          </w:p>
        </w:tc>
        <w:tc>
          <w:tcPr>
            <w:tcW w:w="3339" w:type="dxa"/>
            <w:gridSpan w:val="4"/>
            <w:shd w:val="clear" w:color="auto" w:fill="auto"/>
            <w:hideMark/>
          </w:tcPr>
          <w:p w14:paraId="6D0FF966" w14:textId="695190FB" w:rsidR="00D43F4A" w:rsidRPr="00D43F4A" w:rsidRDefault="00021024" w:rsidP="00D4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Nettoo</w:t>
            </w:r>
            <w:r w:rsidRPr="00D43F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msättning</w:t>
            </w:r>
            <w:r w:rsidR="00D43F4A" w:rsidRPr="00D43F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(mdkr)</w:t>
            </w:r>
          </w:p>
        </w:tc>
      </w:tr>
      <w:tr w:rsidR="00D43F4A" w:rsidRPr="00D43F4A" w14:paraId="39104A77" w14:textId="77777777" w:rsidTr="00D43F4A">
        <w:trPr>
          <w:trHeight w:val="1500"/>
        </w:trPr>
        <w:tc>
          <w:tcPr>
            <w:tcW w:w="1195" w:type="dxa"/>
            <w:vAlign w:val="bottom"/>
          </w:tcPr>
          <w:p w14:paraId="71997994" w14:textId="74845425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Bransch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14:paraId="56B5E836" w14:textId="3C94500F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Storlek</w:t>
            </w:r>
          </w:p>
        </w:tc>
        <w:tc>
          <w:tcPr>
            <w:tcW w:w="1537" w:type="dxa"/>
            <w:shd w:val="clear" w:color="auto" w:fill="auto"/>
            <w:hideMark/>
          </w:tcPr>
          <w:p w14:paraId="1B9A3E2E" w14:textId="77777777" w:rsidR="00D43F4A" w:rsidRPr="00D43F4A" w:rsidRDefault="00D43F4A" w:rsidP="00D4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Punktskattning baserad på svarsmängden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7502708" w14:textId="77777777" w:rsidR="00D43F4A" w:rsidRPr="00D43F4A" w:rsidRDefault="00D43F4A" w:rsidP="00D4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Punktskattning med tillhörande 95-procentigt konfidensintervall baserat på urvalet</w:t>
            </w:r>
          </w:p>
        </w:tc>
        <w:tc>
          <w:tcPr>
            <w:tcW w:w="1525" w:type="dxa"/>
            <w:shd w:val="clear" w:color="auto" w:fill="auto"/>
            <w:hideMark/>
          </w:tcPr>
          <w:p w14:paraId="28F619DA" w14:textId="77777777" w:rsidR="00D43F4A" w:rsidRPr="00D43F4A" w:rsidRDefault="00D43F4A" w:rsidP="00D4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Punktskattning baserad på svarsmängden</w:t>
            </w:r>
          </w:p>
        </w:tc>
        <w:tc>
          <w:tcPr>
            <w:tcW w:w="1814" w:type="dxa"/>
            <w:gridSpan w:val="3"/>
            <w:shd w:val="clear" w:color="auto" w:fill="auto"/>
            <w:hideMark/>
          </w:tcPr>
          <w:p w14:paraId="044A7FAA" w14:textId="77777777" w:rsidR="00D43F4A" w:rsidRPr="00D43F4A" w:rsidRDefault="00D43F4A" w:rsidP="00D4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Punktskattning med tillhörande 95-procentigt konfidensintervall baserat på urvalet</w:t>
            </w:r>
          </w:p>
        </w:tc>
      </w:tr>
      <w:tr w:rsidR="00D43F4A" w:rsidRPr="00D43F4A" w14:paraId="6BF1CBDC" w14:textId="77777777" w:rsidTr="00D43F4A">
        <w:trPr>
          <w:trHeight w:val="300"/>
        </w:trPr>
        <w:tc>
          <w:tcPr>
            <w:tcW w:w="1195" w:type="dxa"/>
            <w:vMerge w:val="restart"/>
          </w:tcPr>
          <w:p w14:paraId="7551634A" w14:textId="5D9CE0EA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1218" w:type="dxa"/>
            <w:shd w:val="clear" w:color="auto" w:fill="auto"/>
            <w:hideMark/>
          </w:tcPr>
          <w:p w14:paraId="4105896D" w14:textId="783DFFA0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Små</w:t>
            </w:r>
          </w:p>
        </w:tc>
        <w:tc>
          <w:tcPr>
            <w:tcW w:w="1537" w:type="dxa"/>
            <w:shd w:val="clear" w:color="auto" w:fill="auto"/>
            <w:hideMark/>
          </w:tcPr>
          <w:p w14:paraId="0C75FE68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1000" w:type="dxa"/>
            <w:shd w:val="clear" w:color="auto" w:fill="auto"/>
            <w:hideMark/>
          </w:tcPr>
          <w:p w14:paraId="25AD8D2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250" w:type="dxa"/>
            <w:shd w:val="clear" w:color="auto" w:fill="auto"/>
            <w:hideMark/>
          </w:tcPr>
          <w:p w14:paraId="0E0D2C46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2A682CC2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525" w:type="dxa"/>
            <w:shd w:val="clear" w:color="auto" w:fill="auto"/>
            <w:hideMark/>
          </w:tcPr>
          <w:p w14:paraId="7989D235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692" w:type="dxa"/>
            <w:shd w:val="clear" w:color="auto" w:fill="auto"/>
            <w:hideMark/>
          </w:tcPr>
          <w:p w14:paraId="37524340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383" w:type="dxa"/>
            <w:shd w:val="clear" w:color="auto" w:fill="auto"/>
            <w:hideMark/>
          </w:tcPr>
          <w:p w14:paraId="69EABBCC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6D33813C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D43F4A" w:rsidRPr="00D43F4A" w14:paraId="0B6B94DF" w14:textId="77777777" w:rsidTr="00D43F4A">
        <w:trPr>
          <w:trHeight w:val="300"/>
        </w:trPr>
        <w:tc>
          <w:tcPr>
            <w:tcW w:w="1195" w:type="dxa"/>
            <w:vMerge/>
          </w:tcPr>
          <w:p w14:paraId="126F7F66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14:paraId="3626BADF" w14:textId="11C30A6F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Mellanstora</w:t>
            </w:r>
          </w:p>
        </w:tc>
        <w:tc>
          <w:tcPr>
            <w:tcW w:w="1537" w:type="dxa"/>
            <w:shd w:val="clear" w:color="auto" w:fill="auto"/>
            <w:hideMark/>
          </w:tcPr>
          <w:p w14:paraId="06DBD1E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000" w:type="dxa"/>
            <w:shd w:val="clear" w:color="auto" w:fill="auto"/>
            <w:hideMark/>
          </w:tcPr>
          <w:p w14:paraId="3A108367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250" w:type="dxa"/>
            <w:shd w:val="clear" w:color="auto" w:fill="auto"/>
            <w:hideMark/>
          </w:tcPr>
          <w:p w14:paraId="268DE342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2C54107A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525" w:type="dxa"/>
            <w:shd w:val="clear" w:color="auto" w:fill="auto"/>
            <w:hideMark/>
          </w:tcPr>
          <w:p w14:paraId="3008E652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90</w:t>
            </w:r>
          </w:p>
        </w:tc>
        <w:tc>
          <w:tcPr>
            <w:tcW w:w="692" w:type="dxa"/>
            <w:shd w:val="clear" w:color="auto" w:fill="auto"/>
            <w:hideMark/>
          </w:tcPr>
          <w:p w14:paraId="6078B500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86</w:t>
            </w:r>
          </w:p>
        </w:tc>
        <w:tc>
          <w:tcPr>
            <w:tcW w:w="383" w:type="dxa"/>
            <w:shd w:val="clear" w:color="auto" w:fill="auto"/>
            <w:hideMark/>
          </w:tcPr>
          <w:p w14:paraId="11C49958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3E3B7E5D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</w:tr>
      <w:tr w:rsidR="00D43F4A" w:rsidRPr="00D43F4A" w14:paraId="75B603DA" w14:textId="77777777" w:rsidTr="00D43F4A">
        <w:trPr>
          <w:trHeight w:val="300"/>
        </w:trPr>
        <w:tc>
          <w:tcPr>
            <w:tcW w:w="1195" w:type="dxa"/>
            <w:vMerge/>
          </w:tcPr>
          <w:p w14:paraId="2A2EF17B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14:paraId="393AF5BF" w14:textId="35189CDB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Stora</w:t>
            </w:r>
          </w:p>
        </w:tc>
        <w:tc>
          <w:tcPr>
            <w:tcW w:w="1537" w:type="dxa"/>
            <w:shd w:val="clear" w:color="auto" w:fill="auto"/>
            <w:hideMark/>
          </w:tcPr>
          <w:p w14:paraId="25F265D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000" w:type="dxa"/>
            <w:shd w:val="clear" w:color="auto" w:fill="auto"/>
            <w:hideMark/>
          </w:tcPr>
          <w:p w14:paraId="5F39F7EB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250" w:type="dxa"/>
            <w:shd w:val="clear" w:color="auto" w:fill="auto"/>
            <w:hideMark/>
          </w:tcPr>
          <w:p w14:paraId="4DE8D427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781FB794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25" w:type="dxa"/>
            <w:shd w:val="clear" w:color="auto" w:fill="auto"/>
            <w:hideMark/>
          </w:tcPr>
          <w:p w14:paraId="73D299AE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136</w:t>
            </w:r>
          </w:p>
        </w:tc>
        <w:tc>
          <w:tcPr>
            <w:tcW w:w="692" w:type="dxa"/>
            <w:shd w:val="clear" w:color="auto" w:fill="auto"/>
            <w:hideMark/>
          </w:tcPr>
          <w:p w14:paraId="715E9E38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124</w:t>
            </w:r>
          </w:p>
        </w:tc>
        <w:tc>
          <w:tcPr>
            <w:tcW w:w="383" w:type="dxa"/>
            <w:shd w:val="clear" w:color="auto" w:fill="auto"/>
            <w:hideMark/>
          </w:tcPr>
          <w:p w14:paraId="55E8CDD8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5F2DA8EA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D43F4A" w:rsidRPr="00D43F4A" w14:paraId="0484B309" w14:textId="77777777" w:rsidTr="00D43F4A">
        <w:trPr>
          <w:trHeight w:val="300"/>
        </w:trPr>
        <w:tc>
          <w:tcPr>
            <w:tcW w:w="1195" w:type="dxa"/>
            <w:vMerge w:val="restart"/>
          </w:tcPr>
          <w:p w14:paraId="2D97C2A4" w14:textId="1CD1C168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1218" w:type="dxa"/>
            <w:shd w:val="clear" w:color="auto" w:fill="auto"/>
            <w:hideMark/>
          </w:tcPr>
          <w:p w14:paraId="62BEC325" w14:textId="4EAFDF9C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Små</w:t>
            </w:r>
          </w:p>
        </w:tc>
        <w:tc>
          <w:tcPr>
            <w:tcW w:w="1537" w:type="dxa"/>
            <w:shd w:val="clear" w:color="auto" w:fill="auto"/>
            <w:hideMark/>
          </w:tcPr>
          <w:p w14:paraId="4B515382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000" w:type="dxa"/>
            <w:shd w:val="clear" w:color="auto" w:fill="auto"/>
            <w:hideMark/>
          </w:tcPr>
          <w:p w14:paraId="09FD7FBE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50" w:type="dxa"/>
            <w:shd w:val="clear" w:color="auto" w:fill="auto"/>
            <w:hideMark/>
          </w:tcPr>
          <w:p w14:paraId="5D1A4382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539CC7DD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25" w:type="dxa"/>
            <w:shd w:val="clear" w:color="auto" w:fill="auto"/>
            <w:hideMark/>
          </w:tcPr>
          <w:p w14:paraId="40AC49DE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692" w:type="dxa"/>
            <w:shd w:val="clear" w:color="auto" w:fill="auto"/>
            <w:hideMark/>
          </w:tcPr>
          <w:p w14:paraId="2C9AA8A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44451B29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2A2FBD7A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D43F4A" w:rsidRPr="00D43F4A" w14:paraId="1E0D8C5D" w14:textId="77777777" w:rsidTr="00D43F4A">
        <w:trPr>
          <w:trHeight w:val="300"/>
        </w:trPr>
        <w:tc>
          <w:tcPr>
            <w:tcW w:w="1195" w:type="dxa"/>
            <w:vMerge/>
          </w:tcPr>
          <w:p w14:paraId="1847FC70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14:paraId="71D51F35" w14:textId="57A48783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Mellanstora</w:t>
            </w:r>
          </w:p>
        </w:tc>
        <w:tc>
          <w:tcPr>
            <w:tcW w:w="1537" w:type="dxa"/>
            <w:shd w:val="clear" w:color="auto" w:fill="auto"/>
            <w:hideMark/>
          </w:tcPr>
          <w:p w14:paraId="181B2446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000" w:type="dxa"/>
            <w:shd w:val="clear" w:color="auto" w:fill="auto"/>
            <w:hideMark/>
          </w:tcPr>
          <w:p w14:paraId="644B5A2F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50" w:type="dxa"/>
            <w:shd w:val="clear" w:color="auto" w:fill="auto"/>
            <w:hideMark/>
          </w:tcPr>
          <w:p w14:paraId="39CFA53A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6E0267FA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525" w:type="dxa"/>
            <w:shd w:val="clear" w:color="auto" w:fill="auto"/>
            <w:hideMark/>
          </w:tcPr>
          <w:p w14:paraId="6D5BCDB7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692" w:type="dxa"/>
            <w:shd w:val="clear" w:color="auto" w:fill="auto"/>
            <w:hideMark/>
          </w:tcPr>
          <w:p w14:paraId="75EFD4E5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383" w:type="dxa"/>
            <w:shd w:val="clear" w:color="auto" w:fill="auto"/>
            <w:hideMark/>
          </w:tcPr>
          <w:p w14:paraId="0CC7594B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56B94EB6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D43F4A" w:rsidRPr="00D43F4A" w14:paraId="2ACC6FBD" w14:textId="77777777" w:rsidTr="00D43F4A">
        <w:trPr>
          <w:trHeight w:val="300"/>
        </w:trPr>
        <w:tc>
          <w:tcPr>
            <w:tcW w:w="1195" w:type="dxa"/>
            <w:vMerge/>
          </w:tcPr>
          <w:p w14:paraId="0EC4E4CE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14:paraId="08CE8303" w14:textId="4AF08585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Stora</w:t>
            </w:r>
          </w:p>
        </w:tc>
        <w:tc>
          <w:tcPr>
            <w:tcW w:w="1537" w:type="dxa"/>
            <w:shd w:val="clear" w:color="auto" w:fill="auto"/>
            <w:hideMark/>
          </w:tcPr>
          <w:p w14:paraId="7584B88B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000" w:type="dxa"/>
            <w:shd w:val="clear" w:color="auto" w:fill="auto"/>
            <w:hideMark/>
          </w:tcPr>
          <w:p w14:paraId="7FA89E02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50" w:type="dxa"/>
            <w:shd w:val="clear" w:color="auto" w:fill="auto"/>
            <w:hideMark/>
          </w:tcPr>
          <w:p w14:paraId="02C2BA20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036B19CC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25" w:type="dxa"/>
            <w:shd w:val="clear" w:color="auto" w:fill="auto"/>
            <w:hideMark/>
          </w:tcPr>
          <w:p w14:paraId="3EC9551E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692" w:type="dxa"/>
            <w:shd w:val="clear" w:color="auto" w:fill="auto"/>
            <w:hideMark/>
          </w:tcPr>
          <w:p w14:paraId="4CD33E9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383" w:type="dxa"/>
            <w:shd w:val="clear" w:color="auto" w:fill="auto"/>
            <w:hideMark/>
          </w:tcPr>
          <w:p w14:paraId="5F1554EA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50676CF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D43F4A" w:rsidRPr="00D43F4A" w14:paraId="1569F011" w14:textId="77777777" w:rsidTr="00D43F4A">
        <w:trPr>
          <w:trHeight w:val="300"/>
        </w:trPr>
        <w:tc>
          <w:tcPr>
            <w:tcW w:w="1195" w:type="dxa"/>
            <w:vMerge w:val="restart"/>
          </w:tcPr>
          <w:p w14:paraId="01D484A1" w14:textId="73520BFE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521784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14:paraId="7FE772FC" w14:textId="4ABFA3F4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Små</w:t>
            </w:r>
          </w:p>
        </w:tc>
        <w:tc>
          <w:tcPr>
            <w:tcW w:w="1537" w:type="dxa"/>
            <w:shd w:val="clear" w:color="auto" w:fill="auto"/>
            <w:hideMark/>
          </w:tcPr>
          <w:p w14:paraId="6D3318C4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1000" w:type="dxa"/>
            <w:shd w:val="clear" w:color="auto" w:fill="auto"/>
            <w:hideMark/>
          </w:tcPr>
          <w:p w14:paraId="5C4A14B5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250" w:type="dxa"/>
            <w:shd w:val="clear" w:color="auto" w:fill="auto"/>
            <w:hideMark/>
          </w:tcPr>
          <w:p w14:paraId="21094730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7BFCB155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525" w:type="dxa"/>
            <w:shd w:val="clear" w:color="auto" w:fill="auto"/>
            <w:hideMark/>
          </w:tcPr>
          <w:p w14:paraId="282C133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692" w:type="dxa"/>
            <w:shd w:val="clear" w:color="auto" w:fill="auto"/>
            <w:hideMark/>
          </w:tcPr>
          <w:p w14:paraId="3DEA499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383" w:type="dxa"/>
            <w:shd w:val="clear" w:color="auto" w:fill="auto"/>
            <w:hideMark/>
          </w:tcPr>
          <w:p w14:paraId="60164EE4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52DD78A3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D43F4A" w:rsidRPr="00D43F4A" w14:paraId="46E867DD" w14:textId="77777777" w:rsidTr="00D43F4A">
        <w:trPr>
          <w:trHeight w:val="300"/>
        </w:trPr>
        <w:tc>
          <w:tcPr>
            <w:tcW w:w="1195" w:type="dxa"/>
            <w:vMerge/>
          </w:tcPr>
          <w:p w14:paraId="3D909ECC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14:paraId="1C2B7067" w14:textId="1874D630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Mellanstora</w:t>
            </w:r>
          </w:p>
        </w:tc>
        <w:tc>
          <w:tcPr>
            <w:tcW w:w="1537" w:type="dxa"/>
            <w:shd w:val="clear" w:color="auto" w:fill="auto"/>
            <w:hideMark/>
          </w:tcPr>
          <w:p w14:paraId="4983EA0C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000" w:type="dxa"/>
            <w:shd w:val="clear" w:color="auto" w:fill="auto"/>
            <w:hideMark/>
          </w:tcPr>
          <w:p w14:paraId="64B6A4E6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250" w:type="dxa"/>
            <w:shd w:val="clear" w:color="auto" w:fill="auto"/>
            <w:hideMark/>
          </w:tcPr>
          <w:p w14:paraId="4DE103E4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4C5F10BA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525" w:type="dxa"/>
            <w:shd w:val="clear" w:color="auto" w:fill="auto"/>
            <w:hideMark/>
          </w:tcPr>
          <w:p w14:paraId="761193AC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71</w:t>
            </w:r>
          </w:p>
        </w:tc>
        <w:tc>
          <w:tcPr>
            <w:tcW w:w="692" w:type="dxa"/>
            <w:shd w:val="clear" w:color="auto" w:fill="auto"/>
            <w:hideMark/>
          </w:tcPr>
          <w:p w14:paraId="1B5B211A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383" w:type="dxa"/>
            <w:shd w:val="clear" w:color="auto" w:fill="auto"/>
            <w:hideMark/>
          </w:tcPr>
          <w:p w14:paraId="1211A06A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4943BE4D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</w:tr>
      <w:tr w:rsidR="00D43F4A" w:rsidRPr="00D43F4A" w14:paraId="65B73143" w14:textId="77777777" w:rsidTr="00D43F4A">
        <w:trPr>
          <w:trHeight w:val="300"/>
        </w:trPr>
        <w:tc>
          <w:tcPr>
            <w:tcW w:w="1195" w:type="dxa"/>
            <w:vMerge/>
          </w:tcPr>
          <w:p w14:paraId="6813F412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14:paraId="5CE56598" w14:textId="08825413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Stora</w:t>
            </w:r>
          </w:p>
        </w:tc>
        <w:tc>
          <w:tcPr>
            <w:tcW w:w="1537" w:type="dxa"/>
            <w:shd w:val="clear" w:color="auto" w:fill="auto"/>
            <w:hideMark/>
          </w:tcPr>
          <w:p w14:paraId="67777007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000" w:type="dxa"/>
            <w:shd w:val="clear" w:color="auto" w:fill="auto"/>
            <w:hideMark/>
          </w:tcPr>
          <w:p w14:paraId="6C11A763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50" w:type="dxa"/>
            <w:shd w:val="clear" w:color="auto" w:fill="auto"/>
            <w:hideMark/>
          </w:tcPr>
          <w:p w14:paraId="7C4F81EA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1137DF14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25" w:type="dxa"/>
            <w:shd w:val="clear" w:color="auto" w:fill="auto"/>
            <w:hideMark/>
          </w:tcPr>
          <w:p w14:paraId="2775B97D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692" w:type="dxa"/>
            <w:shd w:val="clear" w:color="auto" w:fill="auto"/>
            <w:hideMark/>
          </w:tcPr>
          <w:p w14:paraId="6A59C53A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383" w:type="dxa"/>
            <w:shd w:val="clear" w:color="auto" w:fill="auto"/>
            <w:hideMark/>
          </w:tcPr>
          <w:p w14:paraId="10F03397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69F7E272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D43F4A" w:rsidRPr="00D43F4A" w14:paraId="0D3272C8" w14:textId="77777777" w:rsidTr="002B2B07">
        <w:trPr>
          <w:trHeight w:val="315"/>
        </w:trPr>
        <w:tc>
          <w:tcPr>
            <w:tcW w:w="2413" w:type="dxa"/>
            <w:gridSpan w:val="2"/>
          </w:tcPr>
          <w:p w14:paraId="3FE9CF3A" w14:textId="60873911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Totalt</w:t>
            </w:r>
          </w:p>
        </w:tc>
        <w:tc>
          <w:tcPr>
            <w:tcW w:w="1537" w:type="dxa"/>
            <w:shd w:val="clear" w:color="auto" w:fill="auto"/>
            <w:hideMark/>
          </w:tcPr>
          <w:p w14:paraId="07BFAF87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186</w:t>
            </w:r>
          </w:p>
        </w:tc>
        <w:tc>
          <w:tcPr>
            <w:tcW w:w="1000" w:type="dxa"/>
            <w:shd w:val="clear" w:color="auto" w:fill="auto"/>
            <w:hideMark/>
          </w:tcPr>
          <w:p w14:paraId="5FBD7E25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180</w:t>
            </w:r>
          </w:p>
        </w:tc>
        <w:tc>
          <w:tcPr>
            <w:tcW w:w="250" w:type="dxa"/>
            <w:shd w:val="clear" w:color="auto" w:fill="auto"/>
            <w:hideMark/>
          </w:tcPr>
          <w:p w14:paraId="039D42D0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±</w:t>
            </w:r>
          </w:p>
        </w:tc>
        <w:tc>
          <w:tcPr>
            <w:tcW w:w="666" w:type="dxa"/>
            <w:shd w:val="clear" w:color="auto" w:fill="auto"/>
            <w:hideMark/>
          </w:tcPr>
          <w:p w14:paraId="4318D238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4</w:t>
            </w:r>
          </w:p>
        </w:tc>
        <w:tc>
          <w:tcPr>
            <w:tcW w:w="1525" w:type="dxa"/>
            <w:shd w:val="clear" w:color="auto" w:fill="auto"/>
            <w:hideMark/>
          </w:tcPr>
          <w:p w14:paraId="2A459213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478</w:t>
            </w:r>
          </w:p>
        </w:tc>
        <w:tc>
          <w:tcPr>
            <w:tcW w:w="692" w:type="dxa"/>
            <w:shd w:val="clear" w:color="auto" w:fill="auto"/>
            <w:hideMark/>
          </w:tcPr>
          <w:p w14:paraId="4A01B3AD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447</w:t>
            </w:r>
          </w:p>
        </w:tc>
        <w:tc>
          <w:tcPr>
            <w:tcW w:w="383" w:type="dxa"/>
            <w:shd w:val="clear" w:color="auto" w:fill="auto"/>
            <w:hideMark/>
          </w:tcPr>
          <w:p w14:paraId="3E56C658" w14:textId="77777777" w:rsidR="00D43F4A" w:rsidRPr="00D43F4A" w:rsidRDefault="00D43F4A" w:rsidP="00D43F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±</w:t>
            </w:r>
          </w:p>
        </w:tc>
        <w:tc>
          <w:tcPr>
            <w:tcW w:w="739" w:type="dxa"/>
            <w:shd w:val="clear" w:color="auto" w:fill="auto"/>
            <w:hideMark/>
          </w:tcPr>
          <w:p w14:paraId="2203F749" w14:textId="77777777" w:rsidR="00D43F4A" w:rsidRPr="00D43F4A" w:rsidRDefault="00D43F4A" w:rsidP="00D4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43F4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28</w:t>
            </w:r>
          </w:p>
        </w:tc>
      </w:tr>
    </w:tbl>
    <w:p w14:paraId="15FEE4DD" w14:textId="6B1F32D5" w:rsidR="00AA4475" w:rsidRDefault="00AA4475" w:rsidP="00CA0C02"/>
    <w:p w14:paraId="26EE0C84" w14:textId="6DE70007" w:rsidR="00D43F4A" w:rsidRDefault="00B47AFE" w:rsidP="00CA0C02">
      <w:r>
        <w:t>Att</w:t>
      </w:r>
      <w:r w:rsidR="00D43F4A">
        <w:t xml:space="preserve"> döma av tabell 1 finns det fr</w:t>
      </w:r>
      <w:r w:rsidR="004C5CFB">
        <w:t>ämst</w:t>
      </w:r>
      <w:r w:rsidR="00D43F4A">
        <w:t xml:space="preserve"> bland de stora företagen</w:t>
      </w:r>
      <w:r w:rsidR="00800AD9">
        <w:t xml:space="preserve"> i SNI 41</w:t>
      </w:r>
      <w:r w:rsidR="00D43F4A">
        <w:t>, som totalundersöks, en tendens att de före</w:t>
      </w:r>
      <w:r w:rsidR="00533C4F">
        <w:t>tag som svarar har något högre o</w:t>
      </w:r>
      <w:r w:rsidR="00D43F4A">
        <w:t>msätt</w:t>
      </w:r>
      <w:r w:rsidR="004C5CFB">
        <w:softHyphen/>
      </w:r>
      <w:r w:rsidR="00D43F4A">
        <w:t xml:space="preserve">ning och något fler anställda </w:t>
      </w:r>
      <w:r w:rsidR="004C5CFB">
        <w:t>än</w:t>
      </w:r>
      <w:r w:rsidR="00D43F4A">
        <w:t xml:space="preserve"> de företag som inte svarar i samma stratum. </w:t>
      </w:r>
      <w:r w:rsidR="004C5CFB">
        <w:t>Eftersom</w:t>
      </w:r>
      <w:r w:rsidR="00D43F4A">
        <w:t xml:space="preserve"> det använda estimationsförfarandet inte justerar för detta finns det en risk för att detta leder till en viss </w:t>
      </w:r>
      <w:r w:rsidR="002B2B07">
        <w:t>positiv bias</w:t>
      </w:r>
      <w:r w:rsidR="004C5CFB">
        <w:t xml:space="preserve"> (överskattning)</w:t>
      </w:r>
      <w:r w:rsidR="002B2B07">
        <w:t>. Denna even</w:t>
      </w:r>
      <w:r w:rsidR="004C5CFB">
        <w:softHyphen/>
      </w:r>
      <w:r w:rsidR="002B2B07">
        <w:t xml:space="preserve">tuella bortfallsbias bedöms dock vara liten jämfört med till exempel </w:t>
      </w:r>
      <w:r w:rsidR="00806E89">
        <w:t>modell-, urval- och mätfel.</w:t>
      </w:r>
      <w:r w:rsidR="00464BF1">
        <w:t xml:space="preserve"> Objektsbortfallet för undersökningen var 25%, vilket leder till en svarsfrekvens om 75%.</w:t>
      </w:r>
      <w:bookmarkStart w:id="119" w:name="_GoBack"/>
      <w:bookmarkEnd w:id="119"/>
    </w:p>
    <w:p w14:paraId="1A7EE9D3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20" w:name="_Toc418595703"/>
      <w:bookmarkStart w:id="121" w:name="_Toc430277565"/>
      <w:bookmarkStart w:id="122" w:name="_Toc449949582"/>
      <w:bookmarkStart w:id="123" w:name="_Toc467250870"/>
      <w:bookmarkStart w:id="124" w:name="_Toc467251702"/>
      <w:bookmarkStart w:id="125" w:name="_Toc467482238"/>
      <w:bookmarkStart w:id="126" w:name="_Toc535416142"/>
      <w:r w:rsidRPr="005A484A">
        <w:rPr>
          <w:szCs w:val="18"/>
        </w:rPr>
        <w:t>2.2.5</w:t>
      </w:r>
      <w:r w:rsidRPr="005A484A">
        <w:rPr>
          <w:szCs w:val="18"/>
        </w:rPr>
        <w:tab/>
        <w:t>Bearbetning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11DCF6FB" w14:textId="7933CB4A" w:rsidR="00891AC0" w:rsidRDefault="00891AC0" w:rsidP="00891AC0">
      <w:r>
        <w:t xml:space="preserve">I </w:t>
      </w:r>
      <w:r w:rsidR="00B06380">
        <w:t xml:space="preserve">det webbaserade </w:t>
      </w:r>
      <w:proofErr w:type="gramStart"/>
      <w:r w:rsidR="00B06380">
        <w:t xml:space="preserve">frågeformuläret </w:t>
      </w:r>
      <w:r>
        <w:t xml:space="preserve"> granskas</w:t>
      </w:r>
      <w:proofErr w:type="gramEnd"/>
      <w:r>
        <w:t xml:space="preserve"> den enskilda uppgiftslämnarens lämnade uppgifter genom ett antal kontroller avseende summeringar, rimlighet och samband mellan variablerna. Om uppenbara brister upptäcks uppmanas uppgiftslämnaren att kommentera eller ändra uppgifterna.</w:t>
      </w:r>
    </w:p>
    <w:p w14:paraId="64FBBEEB" w14:textId="09EBAC95" w:rsidR="00AA2F45" w:rsidRPr="00AA2F45" w:rsidRDefault="00891AC0" w:rsidP="00891AC0">
      <w:r>
        <w:t xml:space="preserve">Efter avslutad granskning av materialet på mikronivå </w:t>
      </w:r>
      <w:r w:rsidR="00D74C9D">
        <w:t>görs</w:t>
      </w:r>
      <w:r>
        <w:t xml:space="preserve"> beräkningar för att kompensera för objektbortfallet och för företag som inte ingår i direkt</w:t>
      </w:r>
      <w:r w:rsidR="00D74C9D">
        <w:softHyphen/>
      </w:r>
      <w:r>
        <w:t>insam</w:t>
      </w:r>
      <w:r w:rsidR="00D74C9D">
        <w:softHyphen/>
      </w:r>
      <w:r>
        <w:t xml:space="preserve">lingen (se </w:t>
      </w:r>
      <w:r w:rsidR="00D74C9D">
        <w:t xml:space="preserve">avsnitt </w:t>
      </w:r>
      <w:r>
        <w:t>2.2.6</w:t>
      </w:r>
      <w:r w:rsidR="00D74C9D">
        <w:t xml:space="preserve"> nedan</w:t>
      </w:r>
      <w:r>
        <w:t xml:space="preserve">). Därefter </w:t>
      </w:r>
      <w:r w:rsidR="00D74C9D">
        <w:t xml:space="preserve">görs </w:t>
      </w:r>
      <w:r>
        <w:t>ytterligare kontroller av mate</w:t>
      </w:r>
      <w:r w:rsidR="00D74C9D">
        <w:softHyphen/>
      </w:r>
      <w:r>
        <w:t>rialet på stratumnivå. Bedömningen är att bearbetningens bidrag (exklusive modellberäkningarna) till den totala osäkerheten i undersökningen är liten.</w:t>
      </w:r>
    </w:p>
    <w:p w14:paraId="062A36D8" w14:textId="314876DE" w:rsidR="00FA5E96" w:rsidRPr="005A484A" w:rsidRDefault="00FA5E96" w:rsidP="006E5D32">
      <w:pPr>
        <w:pStyle w:val="Rubrik3"/>
        <w:numPr>
          <w:ilvl w:val="2"/>
          <w:numId w:val="7"/>
        </w:numPr>
        <w:spacing w:before="240" w:after="40"/>
        <w:rPr>
          <w:szCs w:val="18"/>
        </w:rPr>
      </w:pPr>
      <w:bookmarkStart w:id="127" w:name="_Toc418595704"/>
      <w:bookmarkStart w:id="128" w:name="_Toc430277566"/>
      <w:bookmarkStart w:id="129" w:name="_Toc449949583"/>
      <w:bookmarkStart w:id="130" w:name="_Toc467250871"/>
      <w:bookmarkStart w:id="131" w:name="_Toc467251703"/>
      <w:bookmarkStart w:id="132" w:name="_Toc467482239"/>
      <w:bookmarkStart w:id="133" w:name="_Toc535416143"/>
      <w:r w:rsidRPr="005A484A">
        <w:rPr>
          <w:szCs w:val="18"/>
        </w:rPr>
        <w:t>Modellantaganden</w:t>
      </w:r>
      <w:bookmarkEnd w:id="127"/>
      <w:bookmarkEnd w:id="128"/>
      <w:bookmarkEnd w:id="129"/>
      <w:bookmarkEnd w:id="130"/>
      <w:bookmarkEnd w:id="131"/>
      <w:bookmarkEnd w:id="132"/>
      <w:bookmarkEnd w:id="133"/>
    </w:p>
    <w:p w14:paraId="27B58216" w14:textId="6292D26D" w:rsidR="00806E89" w:rsidRDefault="00806E89" w:rsidP="006E5D32">
      <w:pPr>
        <w:pStyle w:val="Punktlista"/>
        <w:numPr>
          <w:ilvl w:val="0"/>
          <w:numId w:val="0"/>
        </w:numPr>
        <w:spacing w:after="0" w:line="240" w:lineRule="auto"/>
      </w:pPr>
      <w:r>
        <w:t>Företag inom SNI 43.2 Elinstallationer, VVS arbeten och andra bygginstallationer samt f</w:t>
      </w:r>
      <w:r w:rsidRPr="00C57D0D">
        <w:t xml:space="preserve">öretag med </w:t>
      </w:r>
      <w:r>
        <w:t xml:space="preserve">färre än fem anställda </w:t>
      </w:r>
      <w:r w:rsidR="00021024">
        <w:t>utesluts</w:t>
      </w:r>
      <w:r>
        <w:t xml:space="preserve"> från direktinsamling. Skattningsförfarandet justerar inte för de uteslutna företagen. Av </w:t>
      </w:r>
      <w:r w:rsidR="0010603A">
        <w:t>storleks</w:t>
      </w:r>
      <w:r>
        <w:t>bedömning</w:t>
      </w:r>
      <w:r w:rsidR="0010603A">
        <w:t>en</w:t>
      </w:r>
      <w:r>
        <w:t xml:space="preserve"> </w:t>
      </w:r>
      <w:r w:rsidR="00EB6D28">
        <w:t>avseende</w:t>
      </w:r>
      <w:r>
        <w:t xml:space="preserve"> de uteslutna företagens energianvändning som gjordes i avsnitt 2.2.3 framgår att </w:t>
      </w:r>
      <w:r w:rsidR="009755D9">
        <w:t>dess</w:t>
      </w:r>
      <w:r>
        <w:t xml:space="preserve"> påverkan på </w:t>
      </w:r>
      <w:r w:rsidR="00021024">
        <w:t>statistiken</w:t>
      </w:r>
      <w:r>
        <w:t xml:space="preserve"> inte är försumbar. </w:t>
      </w:r>
    </w:p>
    <w:p w14:paraId="2204407D" w14:textId="3B724A62" w:rsidR="00876AEE" w:rsidRDefault="00876AEE" w:rsidP="006E5D32">
      <w:pPr>
        <w:pStyle w:val="Punktlista"/>
        <w:numPr>
          <w:ilvl w:val="0"/>
          <w:numId w:val="0"/>
        </w:numPr>
        <w:spacing w:after="0" w:line="240" w:lineRule="auto"/>
      </w:pPr>
    </w:p>
    <w:p w14:paraId="722D74B9" w14:textId="000025E6" w:rsidR="00876AEE" w:rsidRDefault="00876AEE" w:rsidP="00876AEE">
      <w:r>
        <w:lastRenderedPageBreak/>
        <w:t>Åren mellan undersökningarnas genomförande skattas Byggsektorns energianvändning utifrån antalet arbetade timmar. Enligt (1)</w:t>
      </w:r>
    </w:p>
    <w:p w14:paraId="20BA943D" w14:textId="77777777" w:rsidR="00876AEE" w:rsidRDefault="00876AEE" w:rsidP="00876AEE"/>
    <w:p w14:paraId="54E3DFF5" w14:textId="30D5BE08" w:rsidR="00876AEE" w:rsidRDefault="00464BF1" w:rsidP="00876AEE">
      <w:pPr>
        <w:ind w:left="1304" w:firstLine="130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Arb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Arb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</m:den>
        </m:f>
      </m:oMath>
      <w:r w:rsidR="00876AEE" w:rsidRPr="00876AEE">
        <w:tab/>
        <w:t>(1)</w:t>
      </w:r>
    </w:p>
    <w:p w14:paraId="12E80051" w14:textId="77777777" w:rsidR="00876AEE" w:rsidRDefault="00876AEE" w:rsidP="00876AEE">
      <w:pPr>
        <w:ind w:left="1304" w:firstLine="1304"/>
      </w:pPr>
    </w:p>
    <w:p w14:paraId="4513927F" w14:textId="0B560411" w:rsidR="00876AEE" w:rsidRDefault="00876AEE" w:rsidP="00876AEE">
      <w:r>
        <w:t xml:space="preserve">Där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876AEE">
        <w:t xml:space="preserve"> är byggsektorns energianvändning för det aktuella året,</w:t>
      </w:r>
      <w: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</m:oMath>
      <w:r w:rsidRPr="00876AEE">
        <w:t xml:space="preserve"> är energianvändningen föregående år och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Arb</m:t>
            </m:r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</m:oMath>
      <w:r w:rsidRPr="00876AEE">
        <w:t xml:space="preserve"> är antalet arbetade timmar i sektorn föregående år. Energianvändningen mellan </w:t>
      </w:r>
      <w:proofErr w:type="gramStart"/>
      <w:r w:rsidRPr="00876AEE">
        <w:t>2004-2016</w:t>
      </w:r>
      <w:proofErr w:type="gramEnd"/>
      <w:r w:rsidRPr="00876AEE">
        <w:t xml:space="preserve"> bygger på 2004 års undersökning och 2017 och framåt bygger på undersökningen som genomfördes 2018.</w:t>
      </w:r>
    </w:p>
    <w:p w14:paraId="1AE7D979" w14:textId="77777777" w:rsidR="00876AEE" w:rsidRDefault="00876AEE" w:rsidP="00876AEE">
      <w:r>
        <w:t xml:space="preserve">Uppgifterna för elanvändning inom Byggsektorn har hämtats från den årliga undersökningen Årlig el- gas- och fjärrvärmestatistik. Detta görs då den bättre tros fånga sektorns energianvändning. </w:t>
      </w:r>
    </w:p>
    <w:p w14:paraId="2A9C6992" w14:textId="77777777" w:rsidR="00876AEE" w:rsidRDefault="00876AEE" w:rsidP="006E5D32">
      <w:pPr>
        <w:pStyle w:val="Punktlista"/>
        <w:numPr>
          <w:ilvl w:val="0"/>
          <w:numId w:val="0"/>
        </w:numPr>
        <w:spacing w:after="0" w:line="240" w:lineRule="auto"/>
      </w:pPr>
    </w:p>
    <w:p w14:paraId="2D2D7A29" w14:textId="77777777" w:rsidR="00FA5E96" w:rsidRPr="005A484A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134" w:name="_Toc92287718"/>
      <w:bookmarkStart w:id="135" w:name="_Toc92298978"/>
      <w:bookmarkStart w:id="136" w:name="_Toc92299133"/>
      <w:bookmarkStart w:id="137" w:name="_Toc92299174"/>
      <w:bookmarkStart w:id="138" w:name="_Toc92299289"/>
      <w:bookmarkStart w:id="139" w:name="_Toc92299433"/>
      <w:bookmarkStart w:id="140" w:name="_Toc92299474"/>
      <w:bookmarkStart w:id="141" w:name="_Toc418595705"/>
      <w:bookmarkStart w:id="142" w:name="_Toc430277567"/>
      <w:bookmarkStart w:id="143" w:name="_Toc449949584"/>
      <w:bookmarkStart w:id="144" w:name="_Toc467250872"/>
      <w:bookmarkStart w:id="145" w:name="_Toc467251704"/>
      <w:bookmarkStart w:id="146" w:name="_Toc467482240"/>
      <w:bookmarkStart w:id="147" w:name="_Toc535416144"/>
      <w:r w:rsidRPr="005A484A">
        <w:rPr>
          <w:szCs w:val="20"/>
        </w:rPr>
        <w:t>2.3</w:t>
      </w:r>
      <w:r w:rsidRPr="005A484A">
        <w:rPr>
          <w:szCs w:val="20"/>
        </w:rPr>
        <w:tab/>
      </w:r>
      <w:bookmarkEnd w:id="134"/>
      <w:bookmarkEnd w:id="135"/>
      <w:bookmarkEnd w:id="136"/>
      <w:bookmarkEnd w:id="137"/>
      <w:bookmarkEnd w:id="138"/>
      <w:bookmarkEnd w:id="139"/>
      <w:bookmarkEnd w:id="140"/>
      <w:r w:rsidRPr="005A484A">
        <w:rPr>
          <w:szCs w:val="20"/>
        </w:rPr>
        <w:t>Preliminär statistik jämförd med slutlig</w:t>
      </w:r>
      <w:bookmarkEnd w:id="141"/>
      <w:bookmarkEnd w:id="142"/>
      <w:bookmarkEnd w:id="143"/>
      <w:bookmarkEnd w:id="144"/>
      <w:bookmarkEnd w:id="145"/>
      <w:bookmarkEnd w:id="146"/>
      <w:bookmarkEnd w:id="147"/>
    </w:p>
    <w:p w14:paraId="44B44857" w14:textId="77777777" w:rsidR="00AA2F45" w:rsidRPr="00AA2F45" w:rsidRDefault="00FC37AB" w:rsidP="00AA2F45">
      <w:r>
        <w:t>Ingen preliminär statistikredovisning görs.</w:t>
      </w:r>
    </w:p>
    <w:p w14:paraId="107868BB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48" w:name="_Toc467250873"/>
      <w:bookmarkStart w:id="149" w:name="_Toc467251705"/>
      <w:bookmarkStart w:id="150" w:name="_Toc467482241"/>
      <w:bookmarkStart w:id="151" w:name="_Toc535416145"/>
      <w:r w:rsidRPr="00FF0CB7">
        <w:rPr>
          <w:sz w:val="24"/>
          <w:szCs w:val="24"/>
        </w:rPr>
        <w:t>3</w:t>
      </w:r>
      <w:r w:rsidRPr="00FF0CB7">
        <w:rPr>
          <w:sz w:val="24"/>
          <w:szCs w:val="24"/>
        </w:rPr>
        <w:tab/>
        <w:t>Aktualitet och punktlighet</w:t>
      </w:r>
      <w:bookmarkEnd w:id="148"/>
      <w:bookmarkEnd w:id="149"/>
      <w:bookmarkEnd w:id="150"/>
      <w:bookmarkEnd w:id="151"/>
    </w:p>
    <w:p w14:paraId="7656988F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52" w:name="_Toc467250874"/>
      <w:bookmarkStart w:id="153" w:name="_Toc467251706"/>
      <w:bookmarkStart w:id="154" w:name="_Toc467482242"/>
      <w:bookmarkStart w:id="155" w:name="_Toc535416146"/>
      <w:r w:rsidRPr="005A3C47">
        <w:rPr>
          <w:sz w:val="20"/>
          <w:szCs w:val="20"/>
        </w:rPr>
        <w:t>3.1</w:t>
      </w:r>
      <w:r w:rsidRPr="005A3C47">
        <w:rPr>
          <w:sz w:val="20"/>
          <w:szCs w:val="20"/>
        </w:rPr>
        <w:tab/>
        <w:t>Framställningstid</w:t>
      </w:r>
      <w:bookmarkEnd w:id="152"/>
      <w:bookmarkEnd w:id="153"/>
      <w:bookmarkEnd w:id="154"/>
      <w:bookmarkEnd w:id="155"/>
    </w:p>
    <w:p w14:paraId="08330EF1" w14:textId="2BC814D5" w:rsidR="00B442E8" w:rsidRPr="0011576B" w:rsidRDefault="00B442E8" w:rsidP="00B442E8">
      <w:pPr>
        <w:pStyle w:val="Ingetavstnd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>
        <w:t>Framställningstiden (från referensperiodens slut till publiceringsdatum) är 13 månader.</w:t>
      </w:r>
    </w:p>
    <w:p w14:paraId="4BA27940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56" w:name="_Toc467250875"/>
      <w:bookmarkStart w:id="157" w:name="_Toc467251707"/>
      <w:bookmarkStart w:id="158" w:name="_Toc467482243"/>
      <w:bookmarkStart w:id="159" w:name="_Toc535416147"/>
      <w:r w:rsidRPr="005A3C47">
        <w:rPr>
          <w:sz w:val="20"/>
          <w:szCs w:val="20"/>
        </w:rPr>
        <w:t>3.2</w:t>
      </w:r>
      <w:r w:rsidRPr="005A3C47">
        <w:rPr>
          <w:sz w:val="20"/>
          <w:szCs w:val="20"/>
        </w:rPr>
        <w:tab/>
        <w:t>Frekvens</w:t>
      </w:r>
      <w:bookmarkEnd w:id="156"/>
      <w:bookmarkEnd w:id="157"/>
      <w:bookmarkEnd w:id="158"/>
      <w:bookmarkEnd w:id="159"/>
    </w:p>
    <w:p w14:paraId="677B3A79" w14:textId="0146472F" w:rsidR="00B442E8" w:rsidRPr="00854616" w:rsidRDefault="00B442E8" w:rsidP="00B442E8">
      <w:r>
        <w:t>Statistiken över byggsektorns energianvändning framställs intermittent. Målstorheternas referensperiod är kalenderåret 2017. Dessförinnan fram</w:t>
      </w:r>
      <w:r w:rsidR="00521784">
        <w:softHyphen/>
      </w:r>
      <w:r>
        <w:t xml:space="preserve">ställdes statistik för kalenderåret 2004. Uppgiftsinsamling görs året efter referensåret. Statistikredovisning görs året </w:t>
      </w:r>
      <w:r w:rsidR="007373AA">
        <w:t>efter eller två år efter referensåret.</w:t>
      </w:r>
      <w:r>
        <w:t xml:space="preserve"> </w:t>
      </w:r>
    </w:p>
    <w:p w14:paraId="04F112CD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60" w:name="_Toc467250876"/>
      <w:bookmarkStart w:id="161" w:name="_Toc467251708"/>
      <w:bookmarkStart w:id="162" w:name="_Toc467482244"/>
      <w:bookmarkStart w:id="163" w:name="_Toc535416148"/>
      <w:r w:rsidRPr="005A3C47">
        <w:rPr>
          <w:sz w:val="20"/>
          <w:szCs w:val="20"/>
        </w:rPr>
        <w:t>3.3</w:t>
      </w:r>
      <w:r w:rsidRPr="005A3C47">
        <w:rPr>
          <w:sz w:val="20"/>
          <w:szCs w:val="20"/>
        </w:rPr>
        <w:tab/>
        <w:t>Punktlighet</w:t>
      </w:r>
      <w:bookmarkEnd w:id="160"/>
      <w:bookmarkEnd w:id="161"/>
      <w:bookmarkEnd w:id="162"/>
      <w:bookmarkEnd w:id="163"/>
    </w:p>
    <w:p w14:paraId="2F6B0589" w14:textId="77777777" w:rsidR="00AA2F45" w:rsidRPr="00AA2F45" w:rsidRDefault="00AA2F45" w:rsidP="00AA2F45"/>
    <w:p w14:paraId="60E718EC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64" w:name="_Toc467250877"/>
      <w:bookmarkStart w:id="165" w:name="_Toc467251709"/>
      <w:bookmarkStart w:id="166" w:name="_Toc467482245"/>
      <w:bookmarkStart w:id="167" w:name="_Toc535416149"/>
      <w:r w:rsidRPr="00FF0CB7">
        <w:rPr>
          <w:sz w:val="24"/>
          <w:szCs w:val="24"/>
        </w:rPr>
        <w:t>4</w:t>
      </w:r>
      <w:r w:rsidRPr="00FF0CB7">
        <w:rPr>
          <w:sz w:val="24"/>
          <w:szCs w:val="24"/>
        </w:rPr>
        <w:tab/>
        <w:t>Tillgänglighet och tydlighet</w:t>
      </w:r>
      <w:bookmarkEnd w:id="164"/>
      <w:bookmarkEnd w:id="165"/>
      <w:bookmarkEnd w:id="166"/>
      <w:bookmarkEnd w:id="167"/>
    </w:p>
    <w:p w14:paraId="1CB40B86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68" w:name="_Toc467250878"/>
      <w:bookmarkStart w:id="169" w:name="_Toc467251710"/>
      <w:bookmarkStart w:id="170" w:name="_Toc467482246"/>
      <w:bookmarkStart w:id="171" w:name="_Toc535416150"/>
      <w:r w:rsidRPr="005A3C47">
        <w:rPr>
          <w:sz w:val="20"/>
          <w:szCs w:val="20"/>
        </w:rPr>
        <w:t>4.1</w:t>
      </w:r>
      <w:r w:rsidRPr="005A3C47">
        <w:rPr>
          <w:sz w:val="20"/>
          <w:szCs w:val="20"/>
        </w:rPr>
        <w:tab/>
        <w:t>Tillgång till statistiken</w:t>
      </w:r>
      <w:bookmarkEnd w:id="168"/>
      <w:bookmarkEnd w:id="169"/>
      <w:bookmarkEnd w:id="170"/>
      <w:bookmarkEnd w:id="171"/>
    </w:p>
    <w:p w14:paraId="422ADBD6" w14:textId="273802F1" w:rsidR="00AA2F45" w:rsidRPr="00AA2F45" w:rsidRDefault="00536738" w:rsidP="00AA2F45">
      <w:r w:rsidRPr="00536738">
        <w:t xml:space="preserve">Statistiken finns tillgänglig på Energimyndighetens </w:t>
      </w:r>
      <w:r w:rsidR="00D74C9D">
        <w:t>webbplats</w:t>
      </w:r>
      <w:r w:rsidRPr="00536738">
        <w:t xml:space="preserve"> i </w:t>
      </w:r>
      <w:r w:rsidR="00525672">
        <w:t xml:space="preserve">en </w:t>
      </w:r>
      <w:r w:rsidRPr="00536738">
        <w:t>statistikdatabas. Statistiken kan laddas ned till olika format och är även tillgänglig på engelska.</w:t>
      </w:r>
    </w:p>
    <w:p w14:paraId="21359D1B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72" w:name="_Toc467250879"/>
      <w:bookmarkStart w:id="173" w:name="_Toc467251711"/>
      <w:bookmarkStart w:id="174" w:name="_Toc467482247"/>
      <w:bookmarkStart w:id="175" w:name="_Toc535416151"/>
      <w:r w:rsidRPr="005A3C47">
        <w:rPr>
          <w:sz w:val="20"/>
          <w:szCs w:val="20"/>
        </w:rPr>
        <w:t>4.2</w:t>
      </w:r>
      <w:r w:rsidRPr="005A3C47">
        <w:rPr>
          <w:sz w:val="20"/>
          <w:szCs w:val="20"/>
        </w:rPr>
        <w:tab/>
        <w:t>Möjlighet till ytterligare statistik</w:t>
      </w:r>
      <w:bookmarkEnd w:id="172"/>
      <w:bookmarkEnd w:id="173"/>
      <w:bookmarkEnd w:id="174"/>
      <w:bookmarkEnd w:id="175"/>
    </w:p>
    <w:p w14:paraId="20D8D759" w14:textId="5FFCB50D" w:rsidR="00AA2F45" w:rsidRPr="00AA2F45" w:rsidRDefault="00536738" w:rsidP="00AA2F45">
      <w:r w:rsidRPr="00536738">
        <w:t>Energimyndigheten kan i den mån sekretessbestämmelser medger tillhanda</w:t>
      </w:r>
      <w:r w:rsidR="00D74C9D">
        <w:softHyphen/>
      </w:r>
      <w:r w:rsidRPr="00536738">
        <w:t>hålla ytterligare statistik och underlag. Kontakta Energimyndigheten för mer information.</w:t>
      </w:r>
    </w:p>
    <w:p w14:paraId="1E61135D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76" w:name="_Toc467250880"/>
      <w:bookmarkStart w:id="177" w:name="_Toc467251712"/>
      <w:bookmarkStart w:id="178" w:name="_Toc467482248"/>
      <w:bookmarkStart w:id="179" w:name="_Toc535416152"/>
      <w:r w:rsidRPr="005A3C47">
        <w:rPr>
          <w:sz w:val="20"/>
          <w:szCs w:val="20"/>
        </w:rPr>
        <w:t>4.3</w:t>
      </w:r>
      <w:r w:rsidRPr="005A3C47">
        <w:rPr>
          <w:sz w:val="20"/>
          <w:szCs w:val="20"/>
        </w:rPr>
        <w:tab/>
        <w:t>Presentation</w:t>
      </w:r>
      <w:bookmarkEnd w:id="176"/>
      <w:bookmarkEnd w:id="177"/>
      <w:bookmarkEnd w:id="178"/>
      <w:bookmarkEnd w:id="179"/>
    </w:p>
    <w:p w14:paraId="0D30A3F7" w14:textId="2A70B417" w:rsidR="00AA2F45" w:rsidRPr="00AA2F45" w:rsidRDefault="00536738" w:rsidP="00AA2F45">
      <w:r w:rsidRPr="00536738">
        <w:t>Statistiken redo</w:t>
      </w:r>
      <w:r w:rsidR="00D74C9D">
        <w:t>v</w:t>
      </w:r>
      <w:r w:rsidRPr="00536738">
        <w:t>isas som tabeller i Energimyndighetens statistikdatabas.</w:t>
      </w:r>
    </w:p>
    <w:p w14:paraId="3E5972FA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80" w:name="_Toc467250881"/>
      <w:bookmarkStart w:id="181" w:name="_Toc467251713"/>
      <w:bookmarkStart w:id="182" w:name="_Toc467482249"/>
      <w:bookmarkStart w:id="183" w:name="_Toc535416153"/>
      <w:r w:rsidRPr="005A3C47">
        <w:rPr>
          <w:sz w:val="20"/>
          <w:szCs w:val="20"/>
        </w:rPr>
        <w:lastRenderedPageBreak/>
        <w:t>4.4</w:t>
      </w:r>
      <w:r w:rsidRPr="005A3C47">
        <w:rPr>
          <w:sz w:val="20"/>
          <w:szCs w:val="20"/>
        </w:rPr>
        <w:tab/>
        <w:t>Dokumentation</w:t>
      </w:r>
      <w:bookmarkEnd w:id="180"/>
      <w:bookmarkEnd w:id="181"/>
      <w:bookmarkEnd w:id="182"/>
      <w:bookmarkEnd w:id="183"/>
    </w:p>
    <w:p w14:paraId="020BCCCA" w14:textId="44839285" w:rsidR="00B442E8" w:rsidRDefault="004031C4" w:rsidP="00B442E8">
      <w:pPr>
        <w:pStyle w:val="Default"/>
        <w:rPr>
          <w:rFonts w:ascii="Book Antiqua" w:hAnsi="Book Antiqua" w:cstheme="minorBidi"/>
          <w:color w:val="auto"/>
          <w:sz w:val="22"/>
          <w:szCs w:val="22"/>
        </w:rPr>
      </w:pPr>
      <w:r w:rsidRPr="004031C4">
        <w:rPr>
          <w:rFonts w:ascii="Book Antiqua" w:hAnsi="Book Antiqua" w:cstheme="minorBidi"/>
          <w:color w:val="auto"/>
          <w:sz w:val="22"/>
          <w:szCs w:val="22"/>
        </w:rPr>
        <w:t>Framställningen av statistiken beskrivs i Statistikens framställning (StaF). Statistikens kvalitet beskrivs i detta dokument. Detaljerad information om mikrodata finns beskrivet i Statistikens detaljerade innehåll (MetaPlus). Samtliga dokumentationer är</w:t>
      </w:r>
      <w:r>
        <w:rPr>
          <w:rFonts w:ascii="Book Antiqua" w:hAnsi="Book Antiqua" w:cstheme="minorBidi"/>
          <w:color w:val="auto"/>
          <w:sz w:val="22"/>
          <w:szCs w:val="22"/>
        </w:rPr>
        <w:t xml:space="preserve"> tillgängliga på www.scb.se/EN0114</w:t>
      </w:r>
      <w:r w:rsidRPr="004031C4">
        <w:rPr>
          <w:rFonts w:ascii="Book Antiqua" w:hAnsi="Book Antiqua" w:cstheme="minorBidi"/>
          <w:color w:val="auto"/>
          <w:sz w:val="22"/>
          <w:szCs w:val="22"/>
        </w:rPr>
        <w:t>, under rubriken Dokumentation.</w:t>
      </w:r>
      <w:r w:rsidR="00B442E8" w:rsidRPr="00B6684B">
        <w:rPr>
          <w:rFonts w:ascii="Book Antiqua" w:hAnsi="Book Antiqua" w:cstheme="minorBidi"/>
          <w:color w:val="auto"/>
          <w:sz w:val="22"/>
          <w:szCs w:val="22"/>
        </w:rPr>
        <w:t xml:space="preserve"> </w:t>
      </w:r>
    </w:p>
    <w:p w14:paraId="3662CDF1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84" w:name="_Toc467250882"/>
      <w:bookmarkStart w:id="185" w:name="_Toc467251714"/>
      <w:bookmarkStart w:id="186" w:name="_Toc467482250"/>
      <w:bookmarkStart w:id="187" w:name="_Toc535416154"/>
      <w:r w:rsidRPr="00FF0CB7">
        <w:rPr>
          <w:sz w:val="24"/>
          <w:szCs w:val="24"/>
        </w:rPr>
        <w:t>5</w:t>
      </w:r>
      <w:r w:rsidRPr="00FF0CB7">
        <w:rPr>
          <w:sz w:val="24"/>
          <w:szCs w:val="24"/>
        </w:rPr>
        <w:tab/>
        <w:t>Jämförbarhet och samanvändbarhet</w:t>
      </w:r>
      <w:bookmarkEnd w:id="184"/>
      <w:bookmarkEnd w:id="185"/>
      <w:bookmarkEnd w:id="186"/>
      <w:bookmarkEnd w:id="187"/>
    </w:p>
    <w:p w14:paraId="07836DD9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88" w:name="_Toc467250883"/>
      <w:bookmarkStart w:id="189" w:name="_Toc467251715"/>
      <w:bookmarkStart w:id="190" w:name="_Toc467482251"/>
      <w:bookmarkStart w:id="191" w:name="_Toc535416155"/>
      <w:r w:rsidRPr="005A3C47">
        <w:rPr>
          <w:sz w:val="20"/>
          <w:szCs w:val="20"/>
        </w:rPr>
        <w:t>5.1</w:t>
      </w:r>
      <w:r w:rsidRPr="005A3C47">
        <w:rPr>
          <w:sz w:val="20"/>
          <w:szCs w:val="20"/>
        </w:rPr>
        <w:tab/>
        <w:t>Jämförbarhet över tid</w:t>
      </w:r>
      <w:bookmarkEnd w:id="188"/>
      <w:bookmarkEnd w:id="189"/>
      <w:bookmarkEnd w:id="190"/>
      <w:bookmarkEnd w:id="191"/>
    </w:p>
    <w:p w14:paraId="5819C265" w14:textId="77777777" w:rsidR="00AA2F45" w:rsidRPr="00AA2F45" w:rsidRDefault="00AA2F45" w:rsidP="00AA2F45"/>
    <w:p w14:paraId="0DD5E6AA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92" w:name="_Toc467250884"/>
      <w:bookmarkStart w:id="193" w:name="_Toc467251716"/>
      <w:bookmarkStart w:id="194" w:name="_Toc467482252"/>
      <w:bookmarkStart w:id="195" w:name="_Toc535416156"/>
      <w:r w:rsidRPr="005A3C47">
        <w:rPr>
          <w:sz w:val="20"/>
          <w:szCs w:val="20"/>
        </w:rPr>
        <w:t>5.2</w:t>
      </w:r>
      <w:r w:rsidRPr="005A3C47">
        <w:rPr>
          <w:sz w:val="20"/>
          <w:szCs w:val="20"/>
        </w:rPr>
        <w:tab/>
        <w:t>Jämförbarhet mellan grupper</w:t>
      </w:r>
      <w:bookmarkEnd w:id="192"/>
      <w:bookmarkEnd w:id="193"/>
      <w:bookmarkEnd w:id="194"/>
      <w:bookmarkEnd w:id="195"/>
    </w:p>
    <w:p w14:paraId="61FEB1F1" w14:textId="77777777" w:rsidR="00AA2F45" w:rsidRPr="00AA2F45" w:rsidRDefault="00AA2F45" w:rsidP="00AA2F45"/>
    <w:p w14:paraId="4AB9908A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96" w:name="_Toc467250885"/>
      <w:bookmarkStart w:id="197" w:name="_Toc467251717"/>
      <w:bookmarkStart w:id="198" w:name="_Toc467482253"/>
      <w:bookmarkStart w:id="199" w:name="_Toc535416157"/>
      <w:r w:rsidRPr="005A3C47">
        <w:rPr>
          <w:sz w:val="20"/>
          <w:szCs w:val="20"/>
        </w:rPr>
        <w:t>5.3</w:t>
      </w:r>
      <w:r w:rsidRPr="005A3C47">
        <w:rPr>
          <w:sz w:val="20"/>
          <w:szCs w:val="20"/>
        </w:rPr>
        <w:tab/>
        <w:t>Samanvändbarhet i övrigt</w:t>
      </w:r>
      <w:bookmarkEnd w:id="196"/>
      <w:bookmarkEnd w:id="197"/>
      <w:bookmarkEnd w:id="198"/>
      <w:bookmarkEnd w:id="199"/>
    </w:p>
    <w:p w14:paraId="4BEAEAA2" w14:textId="77777777" w:rsidR="00AA2F45" w:rsidRPr="00AA2F45" w:rsidRDefault="00AA2F45" w:rsidP="00AA2F45"/>
    <w:p w14:paraId="18616B74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200" w:name="_Toc467250886"/>
      <w:bookmarkStart w:id="201" w:name="_Toc467251718"/>
      <w:bookmarkStart w:id="202" w:name="_Toc467482254"/>
      <w:bookmarkStart w:id="203" w:name="_Toc535416158"/>
      <w:r w:rsidRPr="005A3C47">
        <w:rPr>
          <w:sz w:val="20"/>
          <w:szCs w:val="20"/>
        </w:rPr>
        <w:t>5.4</w:t>
      </w:r>
      <w:r w:rsidRPr="005A3C47">
        <w:rPr>
          <w:sz w:val="20"/>
          <w:szCs w:val="20"/>
        </w:rPr>
        <w:tab/>
        <w:t>Numerisk överensstämmelse</w:t>
      </w:r>
      <w:bookmarkEnd w:id="200"/>
      <w:bookmarkEnd w:id="201"/>
      <w:bookmarkEnd w:id="202"/>
      <w:bookmarkEnd w:id="203"/>
    </w:p>
    <w:p w14:paraId="631E04D9" w14:textId="77777777" w:rsidR="00B442E8" w:rsidRPr="000C426B" w:rsidRDefault="00B442E8" w:rsidP="00B442E8">
      <w:pPr>
        <w:rPr>
          <w:rFonts w:eastAsia="Times New Roman" w:cs="Times New Roman"/>
          <w:lang w:eastAsia="sv-SE"/>
        </w:rPr>
      </w:pPr>
      <w:r w:rsidRPr="000C426B">
        <w:rPr>
          <w:rFonts w:eastAsia="Times New Roman" w:cs="Times New Roman"/>
          <w:lang w:eastAsia="sv-SE"/>
        </w:rPr>
        <w:t>Summan av redovisade delposter överensstämmer inte alltid med de avrundade summaposterna, eftersom delposter summeras och avrundas separat.</w:t>
      </w:r>
    </w:p>
    <w:p w14:paraId="7EF81C95" w14:textId="77777777" w:rsidR="00A21E99" w:rsidRPr="00AA2F45" w:rsidRDefault="00A21E99" w:rsidP="00A21E99"/>
    <w:p w14:paraId="0F6D722C" w14:textId="77777777" w:rsidR="00922401" w:rsidRPr="00FF0CB7" w:rsidRDefault="00C95FB4" w:rsidP="005A3C47">
      <w:pPr>
        <w:pStyle w:val="Rubrik"/>
        <w:spacing w:before="240" w:after="40"/>
        <w:ind w:left="851" w:hanging="851"/>
        <w:rPr>
          <w:rFonts w:ascii="Arial" w:eastAsia="Times New Roman" w:hAnsi="Arial" w:cs="Arial"/>
          <w:b/>
          <w:sz w:val="28"/>
          <w:szCs w:val="28"/>
          <w:lang w:eastAsia="sv-SE"/>
        </w:rPr>
      </w:pPr>
      <w:bookmarkStart w:id="204" w:name="_Toc467250887"/>
      <w:bookmarkStart w:id="205" w:name="_Toc467251719"/>
      <w:bookmarkStart w:id="206" w:name="_Toc467482255"/>
      <w:bookmarkStart w:id="207" w:name="_Toc535416159"/>
      <w:r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>Allmänna</w:t>
      </w:r>
      <w:r w:rsidR="00B2442C"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r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>uppgifter</w:t>
      </w:r>
      <w:bookmarkEnd w:id="204"/>
      <w:bookmarkEnd w:id="205"/>
      <w:bookmarkEnd w:id="206"/>
      <w:bookmarkEnd w:id="207"/>
    </w:p>
    <w:p w14:paraId="74C1C724" w14:textId="77777777" w:rsidR="00922401" w:rsidRPr="00FF0CB7" w:rsidRDefault="00C9452D" w:rsidP="0077704B">
      <w:pPr>
        <w:pStyle w:val="Rubrik1"/>
        <w:ind w:left="680" w:hanging="680"/>
        <w:rPr>
          <w:sz w:val="24"/>
          <w:szCs w:val="24"/>
        </w:rPr>
      </w:pPr>
      <w:bookmarkStart w:id="208" w:name="_Toc435767592"/>
      <w:bookmarkStart w:id="209" w:name="_Toc467250888"/>
      <w:bookmarkStart w:id="210" w:name="_Toc467251720"/>
      <w:bookmarkStart w:id="211" w:name="_Toc467482256"/>
      <w:bookmarkStart w:id="212" w:name="_Toc535416160"/>
      <w:r w:rsidRPr="00FF0CB7">
        <w:rPr>
          <w:sz w:val="24"/>
          <w:szCs w:val="24"/>
        </w:rPr>
        <w:t>A</w:t>
      </w:r>
      <w:r w:rsidRPr="00FF0CB7">
        <w:rPr>
          <w:sz w:val="24"/>
          <w:szCs w:val="24"/>
        </w:rPr>
        <w:tab/>
      </w:r>
      <w:bookmarkEnd w:id="208"/>
      <w:r w:rsidR="0056476D" w:rsidRPr="00FF0CB7">
        <w:rPr>
          <w:sz w:val="24"/>
          <w:szCs w:val="24"/>
        </w:rPr>
        <w:t>K</w:t>
      </w:r>
      <w:r w:rsidR="00922401" w:rsidRPr="00FF0CB7">
        <w:rPr>
          <w:sz w:val="24"/>
          <w:szCs w:val="24"/>
        </w:rPr>
        <w:t>lassificering</w:t>
      </w:r>
      <w:r w:rsidR="0056476D" w:rsidRPr="00FF0CB7">
        <w:rPr>
          <w:sz w:val="24"/>
          <w:szCs w:val="24"/>
        </w:rPr>
        <w:t>en Sveriges officiella statistik</w:t>
      </w:r>
      <w:bookmarkEnd w:id="209"/>
      <w:bookmarkEnd w:id="210"/>
      <w:bookmarkEnd w:id="211"/>
      <w:bookmarkEnd w:id="212"/>
    </w:p>
    <w:p w14:paraId="4901A305" w14:textId="77777777" w:rsidR="00CF2F52" w:rsidRPr="007B5482" w:rsidRDefault="00F91D81" w:rsidP="00F91D8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sv-SE"/>
        </w:rPr>
      </w:pPr>
      <w:r w:rsidRPr="00927C3B">
        <w:rPr>
          <w:rFonts w:eastAsia="Times New Roman" w:cs="Times New Roman"/>
          <w:lang w:eastAsia="sv-SE"/>
        </w:rPr>
        <w:t xml:space="preserve">För </w:t>
      </w:r>
      <w:r w:rsidRPr="00F74EFE">
        <w:rPr>
          <w:color w:val="000000"/>
        </w:rPr>
        <w:t>statistik</w:t>
      </w:r>
      <w:r w:rsidRPr="00927C3B">
        <w:rPr>
          <w:rFonts w:eastAsia="Times New Roman" w:cs="Times New Roman"/>
          <w:lang w:eastAsia="sv-SE"/>
        </w:rPr>
        <w:t xml:space="preserve"> som ingår i Sveriges officiella statistik (SOS) gäller särskilda regler för kvalitet och tillgänglighet, se lagen (</w:t>
      </w:r>
      <w:hyperlink r:id="rId12" w:history="1">
        <w:r w:rsidRPr="007A78CD">
          <w:rPr>
            <w:rFonts w:eastAsia="Times New Roman" w:cs="Times New Roman"/>
            <w:color w:val="0000FF"/>
            <w:u w:val="single"/>
            <w:lang w:eastAsia="sv-SE"/>
          </w:rPr>
          <w:t>2001:99</w:t>
        </w:r>
      </w:hyperlink>
      <w:r w:rsidRPr="00927C3B">
        <w:rPr>
          <w:rFonts w:eastAsia="Times New Roman" w:cs="Times New Roman"/>
          <w:lang w:eastAsia="sv-SE"/>
        </w:rPr>
        <w:t>) och förordningen (</w:t>
      </w:r>
      <w:hyperlink r:id="rId13" w:history="1">
        <w:r w:rsidRPr="007A78CD">
          <w:rPr>
            <w:rFonts w:eastAsia="Times New Roman" w:cs="Times New Roman"/>
            <w:color w:val="0000FF"/>
            <w:u w:val="single"/>
            <w:lang w:eastAsia="sv-SE"/>
          </w:rPr>
          <w:t>2001:100</w:t>
        </w:r>
      </w:hyperlink>
      <w:r w:rsidRPr="00927C3B">
        <w:rPr>
          <w:rFonts w:eastAsia="Times New Roman" w:cs="Times New Roman"/>
          <w:lang w:eastAsia="sv-SE"/>
        </w:rPr>
        <w:t>) om den officiella statistiken samt Statistiska centralbyråns föreskrifter (</w:t>
      </w:r>
      <w:hyperlink r:id="rId14" w:history="1">
        <w:r w:rsidRPr="007A78CD">
          <w:rPr>
            <w:rFonts w:eastAsia="Times New Roman" w:cs="Times New Roman"/>
            <w:color w:val="0000FF"/>
            <w:u w:val="single"/>
            <w:lang w:eastAsia="sv-SE"/>
          </w:rPr>
          <w:t>SCB-FS 2016:17</w:t>
        </w:r>
      </w:hyperlink>
      <w:r w:rsidRPr="00927C3B">
        <w:rPr>
          <w:rFonts w:eastAsia="Times New Roman" w:cs="Times New Roman"/>
          <w:lang w:eastAsia="sv-SE"/>
        </w:rPr>
        <w:t>) om kvalitet för den officiella statistiken.</w:t>
      </w:r>
    </w:p>
    <w:p w14:paraId="4705E992" w14:textId="77777777" w:rsidR="00C9452D" w:rsidRPr="00FF0CB7" w:rsidRDefault="00C9452D" w:rsidP="0077704B">
      <w:pPr>
        <w:pStyle w:val="Rubrik1"/>
        <w:ind w:left="680" w:hanging="680"/>
        <w:rPr>
          <w:sz w:val="24"/>
          <w:szCs w:val="24"/>
        </w:rPr>
      </w:pPr>
      <w:bookmarkStart w:id="213" w:name="_Toc467250889"/>
      <w:bookmarkStart w:id="214" w:name="_Toc467251721"/>
      <w:bookmarkStart w:id="215" w:name="_Toc467482257"/>
      <w:bookmarkStart w:id="216" w:name="_Toc535416161"/>
      <w:r w:rsidRPr="00FF0CB7">
        <w:rPr>
          <w:sz w:val="24"/>
          <w:szCs w:val="24"/>
        </w:rPr>
        <w:t>B</w:t>
      </w:r>
      <w:r w:rsidRPr="00FF0CB7">
        <w:rPr>
          <w:sz w:val="24"/>
          <w:szCs w:val="24"/>
        </w:rPr>
        <w:tab/>
        <w:t>Sekretess</w:t>
      </w:r>
      <w:r w:rsidR="00C60C56" w:rsidRPr="00FF0CB7">
        <w:rPr>
          <w:sz w:val="24"/>
          <w:szCs w:val="24"/>
        </w:rPr>
        <w:t xml:space="preserve"> och personuppgiftsbehandling</w:t>
      </w:r>
      <w:bookmarkEnd w:id="213"/>
      <w:bookmarkEnd w:id="214"/>
      <w:bookmarkEnd w:id="215"/>
      <w:bookmarkEnd w:id="216"/>
    </w:p>
    <w:p w14:paraId="48DE73F5" w14:textId="77777777" w:rsidR="00F91D81" w:rsidRPr="00927C3B" w:rsidRDefault="00F91D81" w:rsidP="00F91D8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sv-SE"/>
        </w:rPr>
      </w:pPr>
      <w:r w:rsidRPr="00927C3B">
        <w:rPr>
          <w:rFonts w:eastAsia="Times New Roman" w:cs="Times New Roman"/>
          <w:lang w:eastAsia="sv-SE"/>
        </w:rPr>
        <w:t>I myndigheternas särskilda verksamhet för framställning av statistik gäller sekretess enligt 24 kap. 8 § offentlighets- och sekretesslagen (</w:t>
      </w:r>
      <w:hyperlink r:id="rId15" w:history="1">
        <w:r w:rsidRPr="007A78CD">
          <w:rPr>
            <w:rFonts w:eastAsia="Times New Roman" w:cs="Times New Roman"/>
            <w:color w:val="0000FF"/>
            <w:u w:val="single"/>
            <w:lang w:eastAsia="sv-SE"/>
          </w:rPr>
          <w:t>2009:400</w:t>
        </w:r>
      </w:hyperlink>
      <w:r w:rsidRPr="00927C3B">
        <w:rPr>
          <w:rFonts w:eastAsia="Times New Roman" w:cs="Times New Roman"/>
          <w:lang w:eastAsia="sv-SE"/>
        </w:rPr>
        <w:t>).</w:t>
      </w:r>
    </w:p>
    <w:p w14:paraId="191369C1" w14:textId="2E1E5323" w:rsidR="00F91D81" w:rsidRDefault="00F91D81" w:rsidP="00F91D8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sv-SE"/>
        </w:rPr>
      </w:pPr>
      <w:r w:rsidRPr="00927C3B">
        <w:rPr>
          <w:rFonts w:eastAsia="Times New Roman" w:cs="Times New Roman"/>
          <w:lang w:eastAsia="sv-SE"/>
        </w:rPr>
        <w:t>För att skydda enskilda personers eller företags sekretessreglerade uppgifter säkerställs att de inte kan röjas direkt eller indirekt i den statistik som offentliggörs.</w:t>
      </w:r>
    </w:p>
    <w:p w14:paraId="5C683BBB" w14:textId="095446A1" w:rsidR="00570693" w:rsidRPr="00927C3B" w:rsidRDefault="00570693" w:rsidP="00876AEE">
      <w:pPr>
        <w:autoSpaceDE w:val="0"/>
        <w:autoSpaceDN w:val="0"/>
        <w:rPr>
          <w:rFonts w:eastAsia="Times New Roman" w:cs="Times New Roman"/>
          <w:lang w:eastAsia="sv-SE"/>
        </w:rPr>
      </w:pPr>
      <w:r w:rsidRPr="0018409F">
        <w:rPr>
          <w:color w:val="000000"/>
        </w:rPr>
        <w:t>Vid behandling av personuppgifter, dvs. information som direkt</w:t>
      </w:r>
      <w:r w:rsidR="00A27F8F">
        <w:rPr>
          <w:color w:val="000000"/>
        </w:rPr>
        <w:t xml:space="preserve"> </w:t>
      </w:r>
      <w:r w:rsidRPr="0018409F">
        <w:rPr>
          <w:color w:val="000000"/>
        </w:rPr>
        <w:t>eller indirekt kan hänföras till en person som är i livet, gäller lagen</w:t>
      </w:r>
      <w:r w:rsidR="00A27F8F">
        <w:rPr>
          <w:color w:val="000000"/>
        </w:rPr>
        <w:t xml:space="preserve"> </w:t>
      </w:r>
      <w:r w:rsidRPr="0018409F">
        <w:rPr>
          <w:color w:val="000000"/>
        </w:rPr>
        <w:t>(</w:t>
      </w:r>
      <w:hyperlink r:id="rId16" w:history="1">
        <w:r w:rsidR="00A27F8F" w:rsidRPr="007A78CD">
          <w:rPr>
            <w:rFonts w:eastAsia="Times New Roman" w:cs="Times New Roman"/>
            <w:color w:val="0000FF"/>
            <w:u w:val="single"/>
            <w:lang w:eastAsia="sv-SE"/>
          </w:rPr>
          <w:t>2001:99</w:t>
        </w:r>
      </w:hyperlink>
      <w:r w:rsidRPr="0018409F">
        <w:rPr>
          <w:color w:val="000000"/>
        </w:rPr>
        <w:t>) och förordningen (</w:t>
      </w:r>
      <w:hyperlink r:id="rId17" w:history="1">
        <w:r w:rsidR="00A27F8F" w:rsidRPr="007A78CD">
          <w:rPr>
            <w:rFonts w:eastAsia="Times New Roman" w:cs="Times New Roman"/>
            <w:color w:val="0000FF"/>
            <w:u w:val="single"/>
            <w:lang w:eastAsia="sv-SE"/>
          </w:rPr>
          <w:t>2001:100</w:t>
        </w:r>
      </w:hyperlink>
      <w:r w:rsidRPr="0018409F">
        <w:rPr>
          <w:color w:val="000000"/>
        </w:rPr>
        <w:t>) om den officiella statistiken</w:t>
      </w:r>
      <w:r w:rsidR="00A27F8F">
        <w:rPr>
          <w:color w:val="000000"/>
        </w:rPr>
        <w:t xml:space="preserve"> </w:t>
      </w:r>
      <w:r w:rsidRPr="0018409F">
        <w:rPr>
          <w:color w:val="000000"/>
        </w:rPr>
        <w:t xml:space="preserve">samt </w:t>
      </w:r>
      <w:r w:rsidRPr="00511FA8">
        <w:rPr>
          <w:color w:val="000000"/>
        </w:rPr>
        <w:t>EU:s dataskyddsförordning (</w:t>
      </w:r>
      <w:hyperlink r:id="rId18" w:history="1">
        <w:r w:rsidRPr="00511FA8">
          <w:rPr>
            <w:rStyle w:val="Hyperlnk"/>
          </w:rPr>
          <w:t>2016/679</w:t>
        </w:r>
      </w:hyperlink>
      <w:r w:rsidRPr="00511FA8">
        <w:rPr>
          <w:color w:val="000000"/>
        </w:rPr>
        <w:t>).</w:t>
      </w:r>
    </w:p>
    <w:p w14:paraId="389FFF3B" w14:textId="77777777" w:rsidR="00C9452D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17" w:name="_Toc467250890"/>
      <w:bookmarkStart w:id="218" w:name="_Toc467251722"/>
      <w:bookmarkStart w:id="219" w:name="_Toc467482258"/>
      <w:bookmarkStart w:id="220" w:name="_Toc535416162"/>
      <w:bookmarkStart w:id="221" w:name="_Toc435767597"/>
      <w:r w:rsidRPr="00FF0CB7">
        <w:rPr>
          <w:sz w:val="24"/>
          <w:szCs w:val="22"/>
        </w:rPr>
        <w:t>C</w:t>
      </w:r>
      <w:r w:rsidR="00C9452D" w:rsidRPr="00FF0CB7">
        <w:rPr>
          <w:sz w:val="24"/>
          <w:szCs w:val="22"/>
        </w:rPr>
        <w:tab/>
        <w:t>Bevarande och gallring</w:t>
      </w:r>
      <w:bookmarkEnd w:id="217"/>
      <w:bookmarkEnd w:id="218"/>
      <w:bookmarkEnd w:id="219"/>
      <w:bookmarkEnd w:id="220"/>
    </w:p>
    <w:p w14:paraId="6D0F5E9C" w14:textId="2AD58FC0" w:rsidR="00F91D81" w:rsidRPr="00927C3B" w:rsidRDefault="00F91D81" w:rsidP="00F91D8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sv-SE"/>
        </w:rPr>
      </w:pPr>
      <w:r w:rsidRPr="00927C3B">
        <w:rPr>
          <w:rFonts w:eastAsia="Times New Roman" w:cs="Times New Roman"/>
          <w:lang w:eastAsia="sv-SE"/>
        </w:rPr>
        <w:t xml:space="preserve">Formulär med primäruppgifter tillhörande statistiska undersökningar inom energiområdet gallras med stöd av Riksarkivets föreskrift RA-MS 2015:57, </w:t>
      </w:r>
      <w:r w:rsidR="00D74C9D">
        <w:rPr>
          <w:rFonts w:eastAsia="Times New Roman" w:cs="Times New Roman"/>
          <w:lang w:eastAsia="sv-SE"/>
        </w:rPr>
        <w:t>ett</w:t>
      </w:r>
      <w:r w:rsidRPr="00927C3B">
        <w:rPr>
          <w:rFonts w:eastAsia="Times New Roman" w:cs="Times New Roman"/>
          <w:lang w:eastAsia="sv-SE"/>
        </w:rPr>
        <w:t xml:space="preserve"> år efter att respektive undersökning har avslutats och under förutsättning att uppgifterna bevaras i slutliga observationsregister.</w:t>
      </w:r>
    </w:p>
    <w:p w14:paraId="5D12FE97" w14:textId="77777777" w:rsidR="00C9452D" w:rsidRPr="00FF0CB7" w:rsidRDefault="0081247B" w:rsidP="0077704B">
      <w:pPr>
        <w:pStyle w:val="Rubrik1"/>
        <w:ind w:left="737" w:hanging="737"/>
        <w:rPr>
          <w:sz w:val="24"/>
          <w:szCs w:val="22"/>
        </w:rPr>
      </w:pPr>
      <w:bookmarkStart w:id="222" w:name="_Toc467250891"/>
      <w:bookmarkStart w:id="223" w:name="_Toc467251723"/>
      <w:bookmarkStart w:id="224" w:name="_Toc467482259"/>
      <w:bookmarkStart w:id="225" w:name="_Toc535416163"/>
      <w:r w:rsidRPr="00FF0CB7">
        <w:rPr>
          <w:sz w:val="24"/>
          <w:szCs w:val="22"/>
        </w:rPr>
        <w:lastRenderedPageBreak/>
        <w:t>D</w:t>
      </w:r>
      <w:r w:rsidR="00C9452D" w:rsidRPr="00FF0CB7">
        <w:rPr>
          <w:sz w:val="24"/>
          <w:szCs w:val="22"/>
        </w:rPr>
        <w:tab/>
        <w:t>Uppgiftsskyldighet</w:t>
      </w:r>
      <w:bookmarkEnd w:id="222"/>
      <w:bookmarkEnd w:id="223"/>
      <w:bookmarkEnd w:id="224"/>
      <w:bookmarkEnd w:id="225"/>
    </w:p>
    <w:p w14:paraId="3CBDD0E1" w14:textId="5DF87511" w:rsidR="00F91D81" w:rsidRPr="00927C3B" w:rsidRDefault="00F91D81" w:rsidP="00F91D8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sv-SE"/>
        </w:rPr>
      </w:pPr>
      <w:bookmarkStart w:id="226" w:name="_Toc435767596"/>
      <w:r w:rsidRPr="00927C3B">
        <w:rPr>
          <w:rFonts w:eastAsia="Times New Roman" w:cs="Times New Roman"/>
          <w:lang w:eastAsia="sv-SE"/>
        </w:rPr>
        <w:t>Uppgiftsskyldighet gäller enligt lagen (</w:t>
      </w:r>
      <w:hyperlink r:id="rId19" w:history="1">
        <w:r w:rsidRPr="007A78CD">
          <w:rPr>
            <w:rFonts w:eastAsia="Times New Roman" w:cs="Times New Roman"/>
            <w:color w:val="0000FF"/>
            <w:u w:val="single"/>
            <w:lang w:eastAsia="sv-SE"/>
          </w:rPr>
          <w:t>2001:99</w:t>
        </w:r>
      </w:hyperlink>
      <w:r w:rsidRPr="00927C3B">
        <w:rPr>
          <w:rFonts w:eastAsia="Times New Roman" w:cs="Times New Roman"/>
          <w:lang w:eastAsia="sv-SE"/>
        </w:rPr>
        <w:t xml:space="preserve">) </w:t>
      </w:r>
      <w:r w:rsidR="00D74C9D">
        <w:rPr>
          <w:rFonts w:eastAsia="Times New Roman" w:cs="Times New Roman"/>
          <w:lang w:eastAsia="sv-SE"/>
        </w:rPr>
        <w:t>och</w:t>
      </w:r>
      <w:r w:rsidRPr="00927C3B">
        <w:rPr>
          <w:rFonts w:eastAsia="Times New Roman" w:cs="Times New Roman"/>
          <w:lang w:eastAsia="sv-SE"/>
        </w:rPr>
        <w:t xml:space="preserve"> förordningen (</w:t>
      </w:r>
      <w:hyperlink r:id="rId20" w:history="1">
        <w:r w:rsidRPr="007A78CD">
          <w:rPr>
            <w:rFonts w:eastAsia="Times New Roman" w:cs="Times New Roman"/>
            <w:color w:val="0000FF"/>
            <w:u w:val="single"/>
            <w:lang w:eastAsia="sv-SE"/>
          </w:rPr>
          <w:t>2001:100</w:t>
        </w:r>
      </w:hyperlink>
      <w:r w:rsidRPr="00927C3B">
        <w:rPr>
          <w:rFonts w:eastAsia="Times New Roman" w:cs="Times New Roman"/>
          <w:lang w:eastAsia="sv-SE"/>
        </w:rPr>
        <w:t>) om den officiella statistiken och Energimyndighetens föreskrifter (</w:t>
      </w:r>
      <w:hyperlink r:id="rId21" w:history="1">
        <w:r w:rsidRPr="007A78CD">
          <w:rPr>
            <w:rFonts w:eastAsia="Times New Roman" w:cs="Times New Roman"/>
            <w:color w:val="0000FF"/>
            <w:u w:val="single"/>
            <w:lang w:eastAsia="sv-SE"/>
          </w:rPr>
          <w:t>STEM-FS 2016:5</w:t>
        </w:r>
      </w:hyperlink>
      <w:r w:rsidRPr="00927C3B">
        <w:rPr>
          <w:rFonts w:eastAsia="Times New Roman" w:cs="Times New Roman"/>
          <w:lang w:eastAsia="sv-SE"/>
        </w:rPr>
        <w:t>).</w:t>
      </w:r>
    </w:p>
    <w:p w14:paraId="46BBF5B9" w14:textId="77777777" w:rsidR="00922401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27" w:name="_Toc435767598"/>
      <w:bookmarkStart w:id="228" w:name="_Toc467250892"/>
      <w:bookmarkStart w:id="229" w:name="_Toc467251724"/>
      <w:bookmarkStart w:id="230" w:name="_Toc467482260"/>
      <w:bookmarkStart w:id="231" w:name="_Toc535416164"/>
      <w:bookmarkEnd w:id="221"/>
      <w:bookmarkEnd w:id="226"/>
      <w:r w:rsidRPr="00FF0CB7">
        <w:rPr>
          <w:sz w:val="24"/>
          <w:szCs w:val="22"/>
        </w:rPr>
        <w:t>E</w:t>
      </w:r>
      <w:r w:rsidR="00C9452D" w:rsidRPr="00FF0CB7">
        <w:rPr>
          <w:sz w:val="24"/>
          <w:szCs w:val="22"/>
        </w:rPr>
        <w:tab/>
      </w:r>
      <w:r w:rsidR="00C8551F" w:rsidRPr="00FF0CB7">
        <w:rPr>
          <w:sz w:val="24"/>
          <w:szCs w:val="22"/>
        </w:rPr>
        <w:t xml:space="preserve">EU-reglering och </w:t>
      </w:r>
      <w:bookmarkEnd w:id="227"/>
      <w:r w:rsidR="00C8551F" w:rsidRPr="00FF0CB7">
        <w:rPr>
          <w:sz w:val="24"/>
          <w:szCs w:val="22"/>
        </w:rPr>
        <w:t>internationell rapportering</w:t>
      </w:r>
      <w:bookmarkEnd w:id="228"/>
      <w:bookmarkEnd w:id="229"/>
      <w:bookmarkEnd w:id="230"/>
      <w:bookmarkEnd w:id="231"/>
    </w:p>
    <w:p w14:paraId="33CE8596" w14:textId="77777777" w:rsidR="00A83B2B" w:rsidRPr="00A83B2B" w:rsidRDefault="00AD2768" w:rsidP="00A83B2B">
      <w:r w:rsidRPr="00AD2768">
        <w:rPr>
          <w:highlight w:val="yellow"/>
        </w:rPr>
        <w:t>Energimyndigheten?</w:t>
      </w:r>
    </w:p>
    <w:p w14:paraId="14E79AFE" w14:textId="77777777" w:rsidR="00286356" w:rsidRPr="0011576B" w:rsidRDefault="006811C0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</w:t>
      </w:r>
      <w:r w:rsidR="00C1225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relevanta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EU-reglering</w:t>
      </w:r>
      <w:r w:rsidR="00CC7CF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ar</w:t>
      </w:r>
      <w:r w:rsidR="00C1225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3C32D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och </w:t>
      </w:r>
      <w:r w:rsidR="00C1225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beskriv kortfattat rapporteringen till </w:t>
      </w:r>
      <w:r w:rsidR="00612402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inter</w:t>
      </w:r>
      <w:r w:rsidR="0011564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612402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nationella organisationer</w:t>
      </w:r>
      <w:r w:rsidR="003C32D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. </w:t>
      </w:r>
      <w:r w:rsidR="00C1225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Beskriv vad regleringar </w:t>
      </w:r>
      <w:r w:rsidR="00174E4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och rapportering innebär för statistiken.</w:t>
      </w:r>
    </w:p>
    <w:p w14:paraId="1431D167" w14:textId="77777777" w:rsidR="002534EC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32" w:name="_Toc467250893"/>
      <w:bookmarkStart w:id="233" w:name="_Toc467251725"/>
      <w:bookmarkStart w:id="234" w:name="_Toc467482261"/>
      <w:bookmarkStart w:id="235" w:name="_Toc535416165"/>
      <w:r w:rsidRPr="00FF0CB7">
        <w:rPr>
          <w:sz w:val="24"/>
          <w:szCs w:val="22"/>
        </w:rPr>
        <w:t>F</w:t>
      </w:r>
      <w:r w:rsidR="002534EC" w:rsidRPr="00FF0CB7">
        <w:rPr>
          <w:sz w:val="24"/>
          <w:szCs w:val="22"/>
        </w:rPr>
        <w:tab/>
        <w:t>Historik</w:t>
      </w:r>
      <w:bookmarkEnd w:id="232"/>
      <w:bookmarkEnd w:id="233"/>
      <w:bookmarkEnd w:id="234"/>
      <w:bookmarkEnd w:id="235"/>
    </w:p>
    <w:p w14:paraId="563B08B3" w14:textId="77777777" w:rsidR="00CF2F52" w:rsidRPr="00AD2768" w:rsidRDefault="00AD2768" w:rsidP="00AD2768">
      <w:r w:rsidRPr="00AD2768">
        <w:rPr>
          <w:highlight w:val="yellow"/>
        </w:rPr>
        <w:t>Energimyndigheten?</w:t>
      </w:r>
    </w:p>
    <w:p w14:paraId="31C9A248" w14:textId="77777777" w:rsidR="002534EC" w:rsidRPr="0011576B" w:rsidRDefault="002534EC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när statistiken framställdes första gången</w:t>
      </w:r>
      <w:r w:rsidR="00296C0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 B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eskriv </w:t>
      </w:r>
      <w:r w:rsidR="00174E4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de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större fö</w:t>
      </w:r>
      <w:r w:rsidR="00174E4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rändringar som skett sedan dess och som inte har </w:t>
      </w:r>
      <w:r w:rsidR="0082062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deklarerats i avsnitt 5 ovan</w:t>
      </w:r>
      <w:r w:rsidR="00174E4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1F63632C" w14:textId="77777777" w:rsidR="001634E3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36" w:name="_Toc467250894"/>
      <w:bookmarkStart w:id="237" w:name="_Toc467251726"/>
      <w:bookmarkStart w:id="238" w:name="_Toc467482262"/>
      <w:bookmarkStart w:id="239" w:name="_Toc535416166"/>
      <w:r w:rsidRPr="00FF0CB7">
        <w:rPr>
          <w:sz w:val="24"/>
          <w:szCs w:val="22"/>
        </w:rPr>
        <w:t>G</w:t>
      </w:r>
      <w:r w:rsidR="00C9452D" w:rsidRPr="00FF0CB7">
        <w:rPr>
          <w:sz w:val="24"/>
          <w:szCs w:val="22"/>
        </w:rPr>
        <w:tab/>
      </w:r>
      <w:r w:rsidR="001634E3" w:rsidRPr="00FF0CB7">
        <w:rPr>
          <w:sz w:val="24"/>
          <w:szCs w:val="22"/>
        </w:rPr>
        <w:t>Kontaktuppgifter</w:t>
      </w:r>
      <w:bookmarkEnd w:id="236"/>
      <w:bookmarkEnd w:id="237"/>
      <w:bookmarkEnd w:id="238"/>
      <w:bookmarkEnd w:id="239"/>
      <w:r w:rsidR="001634E3" w:rsidRPr="00FF0CB7">
        <w:rPr>
          <w:sz w:val="24"/>
          <w:szCs w:val="22"/>
        </w:rPr>
        <w:t xml:space="preserve"> </w:t>
      </w:r>
    </w:p>
    <w:p w14:paraId="42E05F9B" w14:textId="77777777" w:rsidR="009053FB" w:rsidRPr="003D42DA" w:rsidRDefault="009053FB" w:rsidP="00A21E9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925"/>
      </w:tblGrid>
      <w:tr w:rsidR="001634E3" w:rsidRPr="00EB759A" w14:paraId="2AB296C8" w14:textId="77777777" w:rsidTr="008846EB">
        <w:trPr>
          <w:trHeight w:hRule="exact" w:val="68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34C0A83B" w14:textId="77777777" w:rsidR="00D62BD4" w:rsidRPr="00711C8E" w:rsidRDefault="00C74743" w:rsidP="00711C8E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Statistikansvarig</w:t>
            </w:r>
            <w:r w:rsidR="00E43395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D62BD4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myndighet</w:t>
            </w:r>
          </w:p>
        </w:tc>
        <w:tc>
          <w:tcPr>
            <w:tcW w:w="4925" w:type="dxa"/>
            <w:tcBorders>
              <w:bottom w:val="double" w:sz="4" w:space="0" w:color="auto"/>
            </w:tcBorders>
          </w:tcPr>
          <w:p w14:paraId="5E02C0FD" w14:textId="77777777" w:rsidR="001634E3" w:rsidRPr="009A6D15" w:rsidRDefault="001634E3" w:rsidP="00212824">
            <w:pPr>
              <w:spacing w:before="240" w:line="276" w:lineRule="auto"/>
              <w:rPr>
                <w:iCs/>
              </w:rPr>
            </w:pPr>
          </w:p>
        </w:tc>
      </w:tr>
      <w:tr w:rsidR="001634E3" w:rsidRPr="00EB759A" w14:paraId="7F8F61D9" w14:textId="77777777" w:rsidTr="008846EB">
        <w:trPr>
          <w:trHeight w:hRule="exact" w:val="68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204F4D93" w14:textId="77777777" w:rsidR="007A4829" w:rsidRPr="00711C8E" w:rsidRDefault="007B5B0B" w:rsidP="008846EB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Kontakt</w:t>
            </w:r>
            <w:r w:rsidR="00501D98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information</w:t>
            </w:r>
          </w:p>
        </w:tc>
        <w:tc>
          <w:tcPr>
            <w:tcW w:w="4925" w:type="dxa"/>
            <w:tcBorders>
              <w:top w:val="double" w:sz="4" w:space="0" w:color="auto"/>
            </w:tcBorders>
            <w:vAlign w:val="center"/>
          </w:tcPr>
          <w:p w14:paraId="1D5FCEDB" w14:textId="77777777" w:rsidR="001634E3" w:rsidRPr="009A6D15" w:rsidRDefault="001634E3" w:rsidP="007B5B0B">
            <w:pPr>
              <w:spacing w:after="0" w:line="276" w:lineRule="auto"/>
              <w:rPr>
                <w:iCs/>
              </w:rPr>
            </w:pPr>
          </w:p>
        </w:tc>
      </w:tr>
      <w:tr w:rsidR="001634E3" w:rsidRPr="00EB759A" w14:paraId="73A76D18" w14:textId="77777777" w:rsidTr="008846EB">
        <w:trPr>
          <w:trHeight w:hRule="exact" w:val="680"/>
        </w:trPr>
        <w:tc>
          <w:tcPr>
            <w:tcW w:w="2093" w:type="dxa"/>
            <w:vAlign w:val="center"/>
          </w:tcPr>
          <w:p w14:paraId="3AA9CE2C" w14:textId="77777777" w:rsidR="001634E3" w:rsidRPr="00711C8E" w:rsidRDefault="007B5B0B" w:rsidP="008846EB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E-post</w:t>
            </w:r>
          </w:p>
        </w:tc>
        <w:tc>
          <w:tcPr>
            <w:tcW w:w="4925" w:type="dxa"/>
            <w:vAlign w:val="center"/>
          </w:tcPr>
          <w:p w14:paraId="1F575011" w14:textId="77777777" w:rsidR="001634E3" w:rsidRPr="009A6D15" w:rsidRDefault="001634E3" w:rsidP="004240C5">
            <w:pPr>
              <w:spacing w:line="276" w:lineRule="auto"/>
              <w:rPr>
                <w:iCs/>
              </w:rPr>
            </w:pPr>
          </w:p>
        </w:tc>
      </w:tr>
      <w:tr w:rsidR="001634E3" w:rsidRPr="00EB759A" w14:paraId="597B417E" w14:textId="77777777" w:rsidTr="008846EB">
        <w:trPr>
          <w:trHeight w:hRule="exact" w:val="680"/>
        </w:trPr>
        <w:tc>
          <w:tcPr>
            <w:tcW w:w="2093" w:type="dxa"/>
            <w:vAlign w:val="center"/>
          </w:tcPr>
          <w:p w14:paraId="79113883" w14:textId="77777777" w:rsidR="001634E3" w:rsidRPr="00711C8E" w:rsidRDefault="007B5B0B" w:rsidP="008846EB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925" w:type="dxa"/>
            <w:vAlign w:val="center"/>
          </w:tcPr>
          <w:p w14:paraId="24B1F11A" w14:textId="77777777" w:rsidR="001634E3" w:rsidRPr="009A6D15" w:rsidRDefault="001634E3" w:rsidP="004240C5">
            <w:pPr>
              <w:spacing w:line="276" w:lineRule="auto"/>
              <w:rPr>
                <w:iCs/>
              </w:rPr>
            </w:pPr>
          </w:p>
        </w:tc>
      </w:tr>
    </w:tbl>
    <w:p w14:paraId="190E0E67" w14:textId="6DE796FA" w:rsidR="006E5D32" w:rsidRDefault="006E5D32" w:rsidP="008846EB">
      <w:pPr>
        <w:rPr>
          <w:lang w:eastAsia="sv-SE"/>
        </w:rPr>
      </w:pPr>
    </w:p>
    <w:p w14:paraId="6897ECC7" w14:textId="77777777" w:rsidR="006E5D32" w:rsidRDefault="006E5D32">
      <w:pPr>
        <w:spacing w:after="200" w:line="276" w:lineRule="auto"/>
        <w:rPr>
          <w:lang w:eastAsia="sv-SE"/>
        </w:rPr>
      </w:pPr>
      <w:r>
        <w:rPr>
          <w:lang w:eastAsia="sv-SE"/>
        </w:rPr>
        <w:br w:type="page"/>
      </w:r>
    </w:p>
    <w:p w14:paraId="5F629395" w14:textId="76F980E0" w:rsidR="00F87BBE" w:rsidRDefault="00F87BBE" w:rsidP="00F87BBE">
      <w:pPr>
        <w:pStyle w:val="Rubrik1"/>
        <w:rPr>
          <w:lang w:eastAsia="sv-SE"/>
        </w:rPr>
      </w:pPr>
      <w:bookmarkStart w:id="240" w:name="_Toc535416167"/>
      <w:r>
        <w:rPr>
          <w:lang w:eastAsia="sv-SE"/>
        </w:rPr>
        <w:lastRenderedPageBreak/>
        <w:t>Bilaga 1</w:t>
      </w:r>
      <w:bookmarkEnd w:id="240"/>
    </w:p>
    <w:p w14:paraId="63036B5D" w14:textId="4D0EE109" w:rsidR="00F87BBE" w:rsidRDefault="00F87BBE" w:rsidP="00F87BBE">
      <w:pPr>
        <w:rPr>
          <w:lang w:eastAsia="sv-SE"/>
        </w:rPr>
      </w:pPr>
      <w:r>
        <w:rPr>
          <w:lang w:eastAsia="sv-SE"/>
        </w:rPr>
        <w:t>Förteckning över målvariabler.</w:t>
      </w:r>
    </w:p>
    <w:p w14:paraId="4EDBE937" w14:textId="21E19C8D" w:rsidR="00F87BBE" w:rsidRDefault="00F87BBE" w:rsidP="00F87BBE">
      <w:pPr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F87BBE" w14:paraId="7D0E2300" w14:textId="77777777" w:rsidTr="00F87BBE">
        <w:tc>
          <w:tcPr>
            <w:tcW w:w="3821" w:type="dxa"/>
          </w:tcPr>
          <w:p w14:paraId="51CD14F9" w14:textId="6669D65A" w:rsidR="00F87BBE" w:rsidRPr="006E79D2" w:rsidRDefault="00F87BBE" w:rsidP="00F87BBE">
            <w:pPr>
              <w:rPr>
                <w:b/>
                <w:lang w:eastAsia="sv-SE"/>
              </w:rPr>
            </w:pPr>
            <w:r w:rsidRPr="006E79D2">
              <w:rPr>
                <w:b/>
                <w:lang w:eastAsia="sv-SE"/>
              </w:rPr>
              <w:t>Variabel</w:t>
            </w:r>
          </w:p>
        </w:tc>
        <w:tc>
          <w:tcPr>
            <w:tcW w:w="3822" w:type="dxa"/>
          </w:tcPr>
          <w:p w14:paraId="43AA7317" w14:textId="6CD2AADC" w:rsidR="00F87BBE" w:rsidRPr="006E79D2" w:rsidRDefault="00F87BBE" w:rsidP="00F87BBE">
            <w:pPr>
              <w:rPr>
                <w:b/>
                <w:lang w:eastAsia="sv-SE"/>
              </w:rPr>
            </w:pPr>
            <w:r w:rsidRPr="006E79D2">
              <w:rPr>
                <w:b/>
                <w:lang w:eastAsia="sv-SE"/>
              </w:rPr>
              <w:t>Mått</w:t>
            </w:r>
          </w:p>
        </w:tc>
      </w:tr>
      <w:tr w:rsidR="00F87BBE" w14:paraId="2891A63C" w14:textId="77777777" w:rsidTr="00F87BBE">
        <w:tc>
          <w:tcPr>
            <w:tcW w:w="3821" w:type="dxa"/>
          </w:tcPr>
          <w:p w14:paraId="2261BB8D" w14:textId="4930DA34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El</w:t>
            </w:r>
          </w:p>
        </w:tc>
        <w:tc>
          <w:tcPr>
            <w:tcW w:w="3822" w:type="dxa"/>
          </w:tcPr>
          <w:p w14:paraId="1A64D024" w14:textId="6F77DC85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MWh/kWh</w:t>
            </w:r>
          </w:p>
        </w:tc>
      </w:tr>
      <w:tr w:rsidR="00F87BBE" w14:paraId="1B80C03D" w14:textId="77777777" w:rsidTr="00F87BBE">
        <w:tc>
          <w:tcPr>
            <w:tcW w:w="3821" w:type="dxa"/>
          </w:tcPr>
          <w:p w14:paraId="76A30544" w14:textId="4901581D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Fjärrvärme</w:t>
            </w:r>
          </w:p>
        </w:tc>
        <w:tc>
          <w:tcPr>
            <w:tcW w:w="3822" w:type="dxa"/>
          </w:tcPr>
          <w:p w14:paraId="670DE7C1" w14:textId="5F1BB65C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MWh/kWh</w:t>
            </w:r>
          </w:p>
        </w:tc>
      </w:tr>
      <w:tr w:rsidR="00F87BBE" w14:paraId="53DB39BB" w14:textId="77777777" w:rsidTr="00F87BBE">
        <w:tc>
          <w:tcPr>
            <w:tcW w:w="3821" w:type="dxa"/>
          </w:tcPr>
          <w:p w14:paraId="355BB7EE" w14:textId="1159442B" w:rsidR="00F87BBE" w:rsidRDefault="00F87BBE" w:rsidP="00F87BBE">
            <w:pPr>
              <w:rPr>
                <w:lang w:eastAsia="sv-SE"/>
              </w:rPr>
            </w:pPr>
            <w:r>
              <w:t>Diesel</w:t>
            </w:r>
          </w:p>
        </w:tc>
        <w:tc>
          <w:tcPr>
            <w:tcW w:w="3822" w:type="dxa"/>
          </w:tcPr>
          <w:p w14:paraId="1AAC0226" w14:textId="1969BB97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Kubikmeter/liter</w:t>
            </w:r>
          </w:p>
        </w:tc>
      </w:tr>
      <w:tr w:rsidR="00F87BBE" w14:paraId="5E77AF95" w14:textId="77777777" w:rsidTr="00F87BBE">
        <w:tc>
          <w:tcPr>
            <w:tcW w:w="3821" w:type="dxa"/>
          </w:tcPr>
          <w:p w14:paraId="1C42912E" w14:textId="15774334" w:rsidR="00F87BBE" w:rsidRDefault="00F87BBE" w:rsidP="00F87BBE">
            <w:pPr>
              <w:rPr>
                <w:lang w:eastAsia="sv-SE"/>
              </w:rPr>
            </w:pPr>
            <w:r w:rsidRPr="00E22A5A">
              <w:t>Eldningsolja 1</w:t>
            </w:r>
          </w:p>
        </w:tc>
        <w:tc>
          <w:tcPr>
            <w:tcW w:w="3822" w:type="dxa"/>
          </w:tcPr>
          <w:p w14:paraId="40C847CF" w14:textId="59D77D3A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Kubikmeter/liter</w:t>
            </w:r>
          </w:p>
        </w:tc>
      </w:tr>
      <w:tr w:rsidR="00F87BBE" w14:paraId="3DA88CCD" w14:textId="77777777" w:rsidTr="00F87BBE">
        <w:tc>
          <w:tcPr>
            <w:tcW w:w="3821" w:type="dxa"/>
          </w:tcPr>
          <w:p w14:paraId="3097C9BC" w14:textId="3BD4CA29" w:rsidR="00F87BBE" w:rsidRDefault="00F87BBE" w:rsidP="00F87BBE">
            <w:pPr>
              <w:rPr>
                <w:lang w:eastAsia="sv-SE"/>
              </w:rPr>
            </w:pPr>
            <w:r w:rsidRPr="00E22A5A">
              <w:t>Eldningsolja 2, inkl</w:t>
            </w:r>
            <w:r w:rsidR="00D74C9D">
              <w:t>.</w:t>
            </w:r>
            <w:r w:rsidRPr="00E22A5A">
              <w:t xml:space="preserve"> WRD</w:t>
            </w:r>
          </w:p>
        </w:tc>
        <w:tc>
          <w:tcPr>
            <w:tcW w:w="3822" w:type="dxa"/>
          </w:tcPr>
          <w:p w14:paraId="4A230CA2" w14:textId="3759B8DF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Kubikmeter/liter</w:t>
            </w:r>
          </w:p>
        </w:tc>
      </w:tr>
      <w:tr w:rsidR="00F87BBE" w14:paraId="02DC4EA8" w14:textId="77777777" w:rsidTr="00F87BBE">
        <w:tc>
          <w:tcPr>
            <w:tcW w:w="3821" w:type="dxa"/>
          </w:tcPr>
          <w:p w14:paraId="062E682C" w14:textId="649F97AD" w:rsidR="00F87BBE" w:rsidRDefault="00F87BBE" w:rsidP="00F87BBE">
            <w:pPr>
              <w:rPr>
                <w:lang w:eastAsia="sv-SE"/>
              </w:rPr>
            </w:pPr>
            <w:r w:rsidRPr="00E22A5A">
              <w:t>Gasol, LPG</w:t>
            </w:r>
          </w:p>
        </w:tc>
        <w:tc>
          <w:tcPr>
            <w:tcW w:w="3822" w:type="dxa"/>
          </w:tcPr>
          <w:p w14:paraId="3D5F0F57" w14:textId="0BE56292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Ton/kg</w:t>
            </w:r>
          </w:p>
        </w:tc>
      </w:tr>
      <w:tr w:rsidR="00F87BBE" w14:paraId="48F97DBE" w14:textId="77777777" w:rsidTr="00F87BBE">
        <w:tc>
          <w:tcPr>
            <w:tcW w:w="3821" w:type="dxa"/>
          </w:tcPr>
          <w:p w14:paraId="58C23289" w14:textId="79A05DB6" w:rsidR="00F87BBE" w:rsidRDefault="00F87BBE" w:rsidP="00F87BBE">
            <w:pPr>
              <w:rPr>
                <w:lang w:eastAsia="sv-SE"/>
              </w:rPr>
            </w:pPr>
            <w:r w:rsidRPr="00E22A5A">
              <w:t>Trädbränsle, flis, bark, spån m</w:t>
            </w:r>
            <w:r w:rsidR="00D74C9D">
              <w:t>.</w:t>
            </w:r>
            <w:r w:rsidRPr="00E22A5A">
              <w:t>m</w:t>
            </w:r>
            <w:r w:rsidR="00D74C9D">
              <w:t>.</w:t>
            </w:r>
          </w:p>
        </w:tc>
        <w:tc>
          <w:tcPr>
            <w:tcW w:w="3822" w:type="dxa"/>
          </w:tcPr>
          <w:p w14:paraId="2D1991C2" w14:textId="798EC6D0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Kubikmeter/ton</w:t>
            </w:r>
          </w:p>
        </w:tc>
      </w:tr>
      <w:tr w:rsidR="00F87BBE" w14:paraId="570D52FB" w14:textId="77777777" w:rsidTr="00F87BBE">
        <w:tc>
          <w:tcPr>
            <w:tcW w:w="3821" w:type="dxa"/>
          </w:tcPr>
          <w:p w14:paraId="778B0200" w14:textId="76565E54" w:rsidR="00F87BBE" w:rsidRDefault="00F87BBE" w:rsidP="00F87BBE">
            <w:pPr>
              <w:rPr>
                <w:lang w:eastAsia="sv-SE"/>
              </w:rPr>
            </w:pPr>
            <w:r w:rsidRPr="00E22A5A">
              <w:t>Trädbränsle, briketter, pellets, pulver m</w:t>
            </w:r>
            <w:r w:rsidR="00D74C9D">
              <w:t>.</w:t>
            </w:r>
            <w:r w:rsidRPr="00E22A5A">
              <w:t>m</w:t>
            </w:r>
            <w:r w:rsidR="00D74C9D">
              <w:t>.</w:t>
            </w:r>
          </w:p>
        </w:tc>
        <w:tc>
          <w:tcPr>
            <w:tcW w:w="3822" w:type="dxa"/>
          </w:tcPr>
          <w:p w14:paraId="2AD8B7BB" w14:textId="2D734FDA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Kubikmeter/ton</w:t>
            </w:r>
          </w:p>
        </w:tc>
      </w:tr>
      <w:tr w:rsidR="00F87BBE" w14:paraId="3C273024" w14:textId="77777777" w:rsidTr="00F87BBE">
        <w:tc>
          <w:tcPr>
            <w:tcW w:w="3821" w:type="dxa"/>
          </w:tcPr>
          <w:p w14:paraId="4040B1A2" w14:textId="03E6D57B" w:rsidR="00F87BBE" w:rsidRDefault="00F87BBE" w:rsidP="00F87BBE">
            <w:pPr>
              <w:rPr>
                <w:lang w:eastAsia="sv-SE"/>
              </w:rPr>
            </w:pPr>
            <w:r w:rsidRPr="00E22A5A">
              <w:t>Bensin</w:t>
            </w:r>
          </w:p>
        </w:tc>
        <w:tc>
          <w:tcPr>
            <w:tcW w:w="3822" w:type="dxa"/>
          </w:tcPr>
          <w:p w14:paraId="0CEB5BA3" w14:textId="2B69C40C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Kubikmeter/liter</w:t>
            </w:r>
          </w:p>
        </w:tc>
      </w:tr>
      <w:tr w:rsidR="00F87BBE" w14:paraId="29DDEDFC" w14:textId="77777777" w:rsidTr="00F87BBE">
        <w:tc>
          <w:tcPr>
            <w:tcW w:w="3821" w:type="dxa"/>
          </w:tcPr>
          <w:p w14:paraId="124C41E7" w14:textId="19103A54" w:rsidR="00F87BBE" w:rsidRDefault="00F87BBE" w:rsidP="00F87BBE">
            <w:pPr>
              <w:rPr>
                <w:lang w:eastAsia="sv-SE"/>
              </w:rPr>
            </w:pPr>
            <w:r w:rsidRPr="00E22A5A">
              <w:t>CNG</w:t>
            </w:r>
            <w:r w:rsidR="00F24987">
              <w:t xml:space="preserve"> (komprimerad naturgas)</w:t>
            </w:r>
          </w:p>
        </w:tc>
        <w:tc>
          <w:tcPr>
            <w:tcW w:w="3822" w:type="dxa"/>
          </w:tcPr>
          <w:p w14:paraId="1288EC4C" w14:textId="4D352775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Ton/kg</w:t>
            </w:r>
          </w:p>
        </w:tc>
      </w:tr>
      <w:tr w:rsidR="00F87BBE" w14:paraId="0B0F0D81" w14:textId="77777777" w:rsidTr="00F87BBE">
        <w:tc>
          <w:tcPr>
            <w:tcW w:w="3821" w:type="dxa"/>
          </w:tcPr>
          <w:p w14:paraId="504FBE9C" w14:textId="796B5EE5" w:rsidR="00F87BBE" w:rsidRDefault="00F87BBE" w:rsidP="00F87BBE">
            <w:pPr>
              <w:rPr>
                <w:lang w:eastAsia="sv-SE"/>
              </w:rPr>
            </w:pPr>
            <w:r w:rsidRPr="00E22A5A">
              <w:t>E85</w:t>
            </w:r>
          </w:p>
        </w:tc>
        <w:tc>
          <w:tcPr>
            <w:tcW w:w="3822" w:type="dxa"/>
          </w:tcPr>
          <w:p w14:paraId="1E505664" w14:textId="53059223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Kubikmeter/ton</w:t>
            </w:r>
          </w:p>
        </w:tc>
      </w:tr>
      <w:tr w:rsidR="00F87BBE" w14:paraId="28ADEBFB" w14:textId="77777777" w:rsidTr="00F87BBE">
        <w:tc>
          <w:tcPr>
            <w:tcW w:w="3821" w:type="dxa"/>
          </w:tcPr>
          <w:p w14:paraId="13373D84" w14:textId="27245FB8" w:rsidR="00F87BBE" w:rsidRDefault="00F87BBE" w:rsidP="00F87BBE">
            <w:pPr>
              <w:rPr>
                <w:lang w:eastAsia="sv-SE"/>
              </w:rPr>
            </w:pPr>
            <w:r w:rsidRPr="00E22A5A">
              <w:t>ED95</w:t>
            </w:r>
          </w:p>
        </w:tc>
        <w:tc>
          <w:tcPr>
            <w:tcW w:w="3822" w:type="dxa"/>
          </w:tcPr>
          <w:p w14:paraId="493F9E6F" w14:textId="4D6D52F6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Kubikmeter/ton</w:t>
            </w:r>
          </w:p>
        </w:tc>
      </w:tr>
      <w:tr w:rsidR="00F87BBE" w14:paraId="208AEC5D" w14:textId="77777777" w:rsidTr="00F87BBE">
        <w:tc>
          <w:tcPr>
            <w:tcW w:w="3821" w:type="dxa"/>
          </w:tcPr>
          <w:p w14:paraId="66A520F0" w14:textId="3978D84E" w:rsidR="00F87BBE" w:rsidRDefault="00F87BBE" w:rsidP="00F87BBE">
            <w:pPr>
              <w:rPr>
                <w:lang w:eastAsia="sv-SE"/>
              </w:rPr>
            </w:pPr>
            <w:r w:rsidRPr="00E22A5A">
              <w:t>Fordonsgas</w:t>
            </w:r>
          </w:p>
        </w:tc>
        <w:tc>
          <w:tcPr>
            <w:tcW w:w="3822" w:type="dxa"/>
          </w:tcPr>
          <w:p w14:paraId="67ED9571" w14:textId="3FFA6FA8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Ton/kg</w:t>
            </w:r>
          </w:p>
        </w:tc>
      </w:tr>
      <w:tr w:rsidR="00F87BBE" w14:paraId="35DCA46C" w14:textId="77777777" w:rsidTr="00F87BBE">
        <w:tc>
          <w:tcPr>
            <w:tcW w:w="3821" w:type="dxa"/>
          </w:tcPr>
          <w:p w14:paraId="0225071D" w14:textId="6C0F0698" w:rsidR="00F87BBE" w:rsidRDefault="00F87BBE" w:rsidP="00F87BBE">
            <w:pPr>
              <w:rPr>
                <w:lang w:eastAsia="sv-SE"/>
              </w:rPr>
            </w:pPr>
            <w:r w:rsidRPr="00E22A5A">
              <w:t>Biogas</w:t>
            </w:r>
          </w:p>
        </w:tc>
        <w:tc>
          <w:tcPr>
            <w:tcW w:w="3822" w:type="dxa"/>
          </w:tcPr>
          <w:p w14:paraId="618E9450" w14:textId="3A58C005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Ton/kg</w:t>
            </w:r>
          </w:p>
        </w:tc>
      </w:tr>
      <w:tr w:rsidR="00F87BBE" w14:paraId="4A78DE21" w14:textId="77777777" w:rsidTr="00F87BBE">
        <w:tc>
          <w:tcPr>
            <w:tcW w:w="3821" w:type="dxa"/>
          </w:tcPr>
          <w:p w14:paraId="4DF2A159" w14:textId="177CE264" w:rsidR="00F87BBE" w:rsidRDefault="00F87BBE" w:rsidP="00F87BBE">
            <w:pPr>
              <w:rPr>
                <w:lang w:eastAsia="sv-SE"/>
              </w:rPr>
            </w:pPr>
            <w:r w:rsidRPr="00E22A5A">
              <w:t>Biodiesel</w:t>
            </w:r>
          </w:p>
        </w:tc>
        <w:tc>
          <w:tcPr>
            <w:tcW w:w="3822" w:type="dxa"/>
          </w:tcPr>
          <w:p w14:paraId="7024AFCA" w14:textId="5F32BD7F" w:rsidR="00F87BBE" w:rsidRDefault="00F87BBE" w:rsidP="00F87BBE">
            <w:pPr>
              <w:rPr>
                <w:lang w:eastAsia="sv-SE"/>
              </w:rPr>
            </w:pPr>
            <w:r>
              <w:rPr>
                <w:lang w:eastAsia="sv-SE"/>
              </w:rPr>
              <w:t>Kubikmeter/ton</w:t>
            </w:r>
          </w:p>
        </w:tc>
      </w:tr>
    </w:tbl>
    <w:p w14:paraId="673F93BA" w14:textId="77777777" w:rsidR="00F87BBE" w:rsidRDefault="00F87BBE" w:rsidP="00F87BBE">
      <w:pPr>
        <w:rPr>
          <w:lang w:eastAsia="sv-SE"/>
        </w:rPr>
      </w:pPr>
    </w:p>
    <w:p w14:paraId="38B3F668" w14:textId="5EB74C22" w:rsidR="00F87BBE" w:rsidRDefault="006B5032" w:rsidP="00F87BBE">
      <w:pPr>
        <w:rPr>
          <w:lang w:eastAsia="sv-SE"/>
        </w:rPr>
      </w:pPr>
      <w:r>
        <w:rPr>
          <w:lang w:eastAsia="sv-SE"/>
        </w:rPr>
        <w:t xml:space="preserve">Samtliga bränslen </w:t>
      </w:r>
      <w:r w:rsidR="006E79D2">
        <w:rPr>
          <w:lang w:eastAsia="sv-SE"/>
        </w:rPr>
        <w:t>för</w:t>
      </w:r>
      <w:r>
        <w:rPr>
          <w:lang w:eastAsia="sv-SE"/>
        </w:rPr>
        <w:t xml:space="preserve">utom el och fjärrvärme </w:t>
      </w:r>
      <w:r w:rsidR="00020F76">
        <w:rPr>
          <w:lang w:eastAsia="sv-SE"/>
        </w:rPr>
        <w:t>grupperas</w:t>
      </w:r>
      <w:r>
        <w:rPr>
          <w:lang w:eastAsia="sv-SE"/>
        </w:rPr>
        <w:t xml:space="preserve"> </w:t>
      </w:r>
      <w:r w:rsidR="00F24987">
        <w:rPr>
          <w:lang w:eastAsia="sv-SE"/>
        </w:rPr>
        <w:t>i</w:t>
      </w:r>
      <w:r w:rsidR="00F87BBE">
        <w:rPr>
          <w:lang w:eastAsia="sv-SE"/>
        </w:rPr>
        <w:t xml:space="preserve"> använd</w:t>
      </w:r>
      <w:r w:rsidR="00D74C9D">
        <w:rPr>
          <w:lang w:eastAsia="sv-SE"/>
        </w:rPr>
        <w:softHyphen/>
      </w:r>
      <w:r w:rsidR="00F87BBE">
        <w:rPr>
          <w:lang w:eastAsia="sv-SE"/>
        </w:rPr>
        <w:t>nings</w:t>
      </w:r>
      <w:r w:rsidR="00D74C9D">
        <w:rPr>
          <w:lang w:eastAsia="sv-SE"/>
        </w:rPr>
        <w:softHyphen/>
      </w:r>
      <w:r w:rsidR="00F87BBE">
        <w:rPr>
          <w:lang w:eastAsia="sv-SE"/>
        </w:rPr>
        <w:t>kategorierna byggnader, transporter och verksamhet</w:t>
      </w:r>
      <w:r>
        <w:rPr>
          <w:lang w:eastAsia="sv-SE"/>
        </w:rPr>
        <w:t>.</w:t>
      </w:r>
    </w:p>
    <w:p w14:paraId="4A1AC0DE" w14:textId="030BA79F" w:rsidR="007007C0" w:rsidRDefault="00DE0AC4" w:rsidP="00F87BBE">
      <w:pPr>
        <w:rPr>
          <w:lang w:eastAsia="sv-SE"/>
        </w:rPr>
      </w:pPr>
      <w:r>
        <w:rPr>
          <w:lang w:eastAsia="sv-SE"/>
        </w:rPr>
        <w:t xml:space="preserve">För bensin och diesel </w:t>
      </w:r>
      <w:r w:rsidR="00391029">
        <w:rPr>
          <w:lang w:eastAsia="sv-SE"/>
        </w:rPr>
        <w:t>fördelas</w:t>
      </w:r>
      <w:r>
        <w:rPr>
          <w:lang w:eastAsia="sv-SE"/>
        </w:rPr>
        <w:t xml:space="preserve"> den använda mängden på två grupper.</w:t>
      </w:r>
      <w:r w:rsidR="00391029">
        <w:rPr>
          <w:lang w:eastAsia="sv-SE"/>
        </w:rPr>
        <w:t xml:space="preserve"> Den mängd som innehåller någon form av</w:t>
      </w:r>
      <w:r>
        <w:rPr>
          <w:lang w:eastAsia="sv-SE"/>
        </w:rPr>
        <w:t xml:space="preserve"> låginblandning</w:t>
      </w:r>
      <w:r w:rsidR="00D74C9D">
        <w:rPr>
          <w:lang w:eastAsia="sv-SE"/>
        </w:rPr>
        <w:t>, t.e</w:t>
      </w:r>
      <w:r>
        <w:rPr>
          <w:lang w:eastAsia="sv-SE"/>
        </w:rPr>
        <w:t xml:space="preserve">x. </w:t>
      </w:r>
      <w:r w:rsidR="00525672">
        <w:rPr>
          <w:lang w:eastAsia="sv-SE"/>
        </w:rPr>
        <w:t xml:space="preserve">av </w:t>
      </w:r>
      <w:r>
        <w:rPr>
          <w:lang w:eastAsia="sv-SE"/>
        </w:rPr>
        <w:t xml:space="preserve">FAME, HVO </w:t>
      </w:r>
      <w:r w:rsidR="00525672">
        <w:rPr>
          <w:lang w:eastAsia="sv-SE"/>
        </w:rPr>
        <w:t xml:space="preserve">eller </w:t>
      </w:r>
      <w:r>
        <w:rPr>
          <w:lang w:eastAsia="sv-SE"/>
        </w:rPr>
        <w:t>etanol</w:t>
      </w:r>
      <w:r w:rsidR="00D74C9D">
        <w:rPr>
          <w:lang w:eastAsia="sv-SE"/>
        </w:rPr>
        <w:t>,</w:t>
      </w:r>
      <w:r w:rsidR="00391029">
        <w:rPr>
          <w:lang w:eastAsia="sv-SE"/>
        </w:rPr>
        <w:t xml:space="preserve"> och den mängd som inte innehåller någon låginblandning. Samma uppdelning görs för om mängden bensin och diesel </w:t>
      </w:r>
      <w:r w:rsidR="00020F76">
        <w:rPr>
          <w:lang w:eastAsia="sv-SE"/>
        </w:rPr>
        <w:t>köps</w:t>
      </w:r>
      <w:r w:rsidR="00391029">
        <w:rPr>
          <w:lang w:eastAsia="sv-SE"/>
        </w:rPr>
        <w:t xml:space="preserve"> direkt från bensin</w:t>
      </w:r>
      <w:r w:rsidR="00D74C9D">
        <w:rPr>
          <w:lang w:eastAsia="sv-SE"/>
        </w:rPr>
        <w:softHyphen/>
      </w:r>
      <w:r w:rsidR="00391029">
        <w:rPr>
          <w:lang w:eastAsia="sv-SE"/>
        </w:rPr>
        <w:t>s</w:t>
      </w:r>
      <w:r w:rsidR="00D74C9D">
        <w:rPr>
          <w:lang w:eastAsia="sv-SE"/>
        </w:rPr>
        <w:t>t</w:t>
      </w:r>
      <w:r w:rsidR="00391029">
        <w:rPr>
          <w:lang w:eastAsia="sv-SE"/>
        </w:rPr>
        <w:t>ation eller nyckelräkneverk, eller om b</w:t>
      </w:r>
      <w:r w:rsidR="00D74C9D">
        <w:rPr>
          <w:lang w:eastAsia="sv-SE"/>
        </w:rPr>
        <w:t>rä</w:t>
      </w:r>
      <w:r w:rsidR="00391029">
        <w:rPr>
          <w:lang w:eastAsia="sv-SE"/>
        </w:rPr>
        <w:t xml:space="preserve">nslet </w:t>
      </w:r>
      <w:r w:rsidR="00020F76">
        <w:rPr>
          <w:lang w:eastAsia="sv-SE"/>
        </w:rPr>
        <w:t>köps</w:t>
      </w:r>
      <w:r w:rsidR="00391029">
        <w:rPr>
          <w:lang w:eastAsia="sv-SE"/>
        </w:rPr>
        <w:t xml:space="preserve"> </w:t>
      </w:r>
      <w:r w:rsidR="00020F76">
        <w:rPr>
          <w:lang w:eastAsia="sv-SE"/>
        </w:rPr>
        <w:t>genom</w:t>
      </w:r>
      <w:r w:rsidR="00391029">
        <w:rPr>
          <w:lang w:eastAsia="sv-SE"/>
        </w:rPr>
        <w:t xml:space="preserve"> direkt</w:t>
      </w:r>
      <w:r w:rsidR="00525672">
        <w:rPr>
          <w:lang w:eastAsia="sv-SE"/>
        </w:rPr>
        <w:softHyphen/>
      </w:r>
      <w:r w:rsidR="00391029">
        <w:rPr>
          <w:lang w:eastAsia="sv-SE"/>
        </w:rPr>
        <w:t xml:space="preserve">leverans till </w:t>
      </w:r>
      <w:r w:rsidR="00021024">
        <w:rPr>
          <w:lang w:eastAsia="sv-SE"/>
        </w:rPr>
        <w:t>verksamhetsplatsen</w:t>
      </w:r>
      <w:r w:rsidR="00391029">
        <w:rPr>
          <w:lang w:eastAsia="sv-SE"/>
        </w:rPr>
        <w:t>.</w:t>
      </w:r>
    </w:p>
    <w:p w14:paraId="471ED0F4" w14:textId="77777777" w:rsidR="007007C0" w:rsidRDefault="007007C0">
      <w:pPr>
        <w:spacing w:after="200" w:line="276" w:lineRule="auto"/>
        <w:rPr>
          <w:lang w:eastAsia="sv-SE"/>
        </w:rPr>
      </w:pPr>
      <w:r>
        <w:rPr>
          <w:lang w:eastAsia="sv-SE"/>
        </w:rPr>
        <w:br w:type="page"/>
      </w:r>
    </w:p>
    <w:p w14:paraId="308EFA90" w14:textId="188B293E" w:rsidR="006B5032" w:rsidRDefault="007007C0" w:rsidP="007007C0">
      <w:pPr>
        <w:pStyle w:val="Rubrik1"/>
        <w:rPr>
          <w:lang w:eastAsia="sv-SE"/>
        </w:rPr>
      </w:pPr>
      <w:bookmarkStart w:id="241" w:name="_Toc535416168"/>
      <w:r>
        <w:rPr>
          <w:lang w:eastAsia="sv-SE"/>
        </w:rPr>
        <w:lastRenderedPageBreak/>
        <w:t>Bilaga 2</w:t>
      </w:r>
      <w:bookmarkEnd w:id="241"/>
    </w:p>
    <w:p w14:paraId="2DB9E540" w14:textId="3DE608AA" w:rsidR="007007C0" w:rsidRDefault="006B2435" w:rsidP="007007C0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3CE74A0F" wp14:editId="1010F54C">
            <wp:extent cx="4856480" cy="6297295"/>
            <wp:effectExtent l="0" t="0" r="1270" b="8255"/>
            <wp:docPr id="2" name="Bildobjekt 2" descr="C:\Users\scbmaav\AppData\Local\Microsoft\Windows\INetCache\Content.Word\Bygg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bmaav\AppData\Local\Microsoft\Windows\INetCache\Content.Word\Bygg_el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0C9F" w14:textId="6F8987E4" w:rsidR="007007C0" w:rsidRPr="007007C0" w:rsidRDefault="006B2435" w:rsidP="007007C0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424399A1" wp14:editId="4A4A8E49">
            <wp:extent cx="4859655" cy="4548505"/>
            <wp:effectExtent l="0" t="0" r="0" b="4445"/>
            <wp:docPr id="3" name="Bildobjekt 3" descr="C:\Users\scbmaav\AppData\Local\Microsoft\Windows\INetCache\Content.Word\Bygg_fj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cbmaav\AppData\Local\Microsoft\Windows\INetCache\Content.Word\Bygg_fjarr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12479296" wp14:editId="09A7A0F6">
            <wp:extent cx="4859655" cy="5370931"/>
            <wp:effectExtent l="0" t="0" r="0" b="1270"/>
            <wp:docPr id="4" name="Bildobjekt 4" descr="C:\Users\scbmaav\AppData\Local\Microsoft\Windows\INetCache\Content.Word\Bygg_brans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cbmaav\AppData\Local\Microsoft\Windows\INetCache\Content.Word\Bygg_bransle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537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BF1">
        <w:rPr>
          <w:lang w:eastAsia="sv-SE"/>
        </w:rPr>
        <w:lastRenderedPageBreak/>
        <w:pict w14:anchorId="02F5B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6pt;height:432.6pt">
            <v:imagedata r:id="rId25" o:title="Bygg_bransle3"/>
          </v:shape>
        </w:pict>
      </w:r>
      <w:r w:rsidR="00464BF1">
        <w:rPr>
          <w:lang w:eastAsia="sv-SE"/>
        </w:rPr>
        <w:lastRenderedPageBreak/>
        <w:pict w14:anchorId="035F2C6C">
          <v:shape id="_x0000_i1026" type="#_x0000_t75" style="width:382.8pt;height:453.6pt">
            <v:imagedata r:id="rId26" o:title="Bygg_bransle2"/>
          </v:shape>
        </w:pict>
      </w:r>
      <w:r w:rsidR="00464BF1">
        <w:rPr>
          <w:lang w:eastAsia="sv-SE"/>
        </w:rPr>
        <w:lastRenderedPageBreak/>
        <w:pict w14:anchorId="2A776C12">
          <v:shape id="_x0000_i1027" type="#_x0000_t75" style="width:381.6pt;height:342pt">
            <v:imagedata r:id="rId27" o:title="Bygg_inb2"/>
          </v:shape>
        </w:pict>
      </w:r>
      <w:r w:rsidR="00464BF1">
        <w:rPr>
          <w:lang w:eastAsia="sv-SE"/>
        </w:rPr>
        <w:pict w14:anchorId="52095F45">
          <v:shape id="_x0000_i1028" type="#_x0000_t75" style="width:382.8pt;height:285.6pt">
            <v:imagedata r:id="rId28" o:title="Bygg_inb"/>
          </v:shape>
        </w:pict>
      </w:r>
    </w:p>
    <w:sectPr w:rsidR="007007C0" w:rsidRPr="007007C0" w:rsidSect="00913378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1418" w:right="1701" w:bottom="1134" w:left="2552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92F0" w14:textId="77777777" w:rsidR="00923D69" w:rsidRDefault="00923D69" w:rsidP="0005368C">
      <w:r>
        <w:separator/>
      </w:r>
    </w:p>
  </w:endnote>
  <w:endnote w:type="continuationSeparator" w:id="0">
    <w:p w14:paraId="7EB9C362" w14:textId="77777777" w:rsidR="00923D69" w:rsidRDefault="00923D69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4211" w14:textId="77777777" w:rsidR="00923D69" w:rsidRPr="0074142D" w:rsidRDefault="00923D69" w:rsidP="00CE4874">
    <w:pPr>
      <w:pStyle w:val="Sidfot"/>
      <w:ind w:left="-19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8109" w14:textId="77777777" w:rsidR="00923D69" w:rsidRPr="000F3B13" w:rsidRDefault="00923D69" w:rsidP="004D34B4">
    <w:pPr>
      <w:pStyle w:val="Sidfot"/>
      <w:ind w:left="-19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147B" w14:textId="77777777" w:rsidR="00923D69" w:rsidRDefault="00923D69" w:rsidP="0005368C"/>
  </w:footnote>
  <w:footnote w:type="continuationSeparator" w:id="0">
    <w:p w14:paraId="666328E3" w14:textId="77777777" w:rsidR="00923D69" w:rsidRDefault="00923D69" w:rsidP="0005368C">
      <w:r>
        <w:continuationSeparator/>
      </w:r>
    </w:p>
  </w:footnote>
  <w:footnote w:type="continuationNotice" w:id="1">
    <w:p w14:paraId="66354DCA" w14:textId="77777777" w:rsidR="00923D69" w:rsidRDefault="00923D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851"/>
      <w:gridCol w:w="1134"/>
    </w:tblGrid>
    <w:tr w:rsidR="00923D69" w14:paraId="642CCAE4" w14:textId="77777777" w:rsidTr="00913378">
      <w:tc>
        <w:tcPr>
          <w:tcW w:w="5669" w:type="dxa"/>
          <w:vMerge w:val="restart"/>
        </w:tcPr>
        <w:p w14:paraId="7B491DA2" w14:textId="77777777" w:rsidR="00923D69" w:rsidRPr="00251DEF" w:rsidRDefault="00923D69" w:rsidP="00F4196C">
          <w:pPr>
            <w:rPr>
              <w:sz w:val="18"/>
              <w:szCs w:val="18"/>
            </w:rPr>
          </w:pPr>
          <w:r w:rsidRPr="00251DEF">
            <w:rPr>
              <w:sz w:val="18"/>
              <w:szCs w:val="18"/>
            </w:rPr>
            <w:t>Statistikansvarig myndighet</w:t>
          </w:r>
        </w:p>
        <w:p w14:paraId="3F02B874" w14:textId="2EBCF88B" w:rsidR="00923D69" w:rsidRPr="005D744F" w:rsidRDefault="00923D69" w:rsidP="00E15819">
          <w:r>
            <w:t>Statens energimyndighet</w:t>
          </w:r>
        </w:p>
      </w:tc>
      <w:tc>
        <w:tcPr>
          <w:tcW w:w="3402" w:type="dxa"/>
        </w:tcPr>
        <w:p w14:paraId="666B037E" w14:textId="1BC8AC3A" w:rsidR="00923D69" w:rsidRPr="00251DEF" w:rsidRDefault="00923D69" w:rsidP="00251DEF">
          <w:pPr>
            <w:pStyle w:val="Sidhuvud"/>
            <w:spacing w:after="120"/>
            <w:rPr>
              <w:rFonts w:ascii="Arial" w:hAnsi="Arial" w:cs="Arial"/>
              <w:sz w:val="18"/>
              <w:szCs w:val="18"/>
            </w:rPr>
          </w:pPr>
          <w:r>
            <w:rPr>
              <w:sz w:val="18"/>
              <w:szCs w:val="18"/>
            </w:rPr>
            <w:t>Kvalitetsdeklaration version 1</w:t>
          </w:r>
        </w:p>
      </w:tc>
      <w:tc>
        <w:tcPr>
          <w:tcW w:w="851" w:type="dxa"/>
        </w:tcPr>
        <w:p w14:paraId="3271F24F" w14:textId="77777777" w:rsidR="00923D69" w:rsidRPr="005B2B5B" w:rsidRDefault="00923D69" w:rsidP="002F7EEC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</w:tcPr>
        <w:p w14:paraId="58698C00" w14:textId="77777777" w:rsidR="00923D69" w:rsidRPr="00251DEF" w:rsidRDefault="00923D69" w:rsidP="002F7EEC">
          <w:pPr>
            <w:pStyle w:val="Sidhuvud"/>
            <w:rPr>
              <w:sz w:val="18"/>
              <w:szCs w:val="18"/>
            </w:rPr>
          </w:pPr>
          <w:r w:rsidRPr="00251DEF">
            <w:rPr>
              <w:rFonts w:ascii="Arial" w:hAnsi="Arial" w:cs="Arial"/>
              <w:sz w:val="18"/>
              <w:szCs w:val="18"/>
            </w:rPr>
            <w:t>Sida</w:t>
          </w:r>
        </w:p>
      </w:tc>
    </w:tr>
    <w:tr w:rsidR="00923D69" w14:paraId="17ABA1C3" w14:textId="77777777" w:rsidTr="00913378">
      <w:tc>
        <w:tcPr>
          <w:tcW w:w="5669" w:type="dxa"/>
          <w:vMerge/>
        </w:tcPr>
        <w:p w14:paraId="25708670" w14:textId="77777777" w:rsidR="00923D69" w:rsidRDefault="00923D69" w:rsidP="002F7EEC">
          <w:pPr>
            <w:pStyle w:val="Sidhuvud"/>
          </w:pPr>
        </w:p>
      </w:tc>
      <w:tc>
        <w:tcPr>
          <w:tcW w:w="3402" w:type="dxa"/>
          <w:vAlign w:val="center"/>
        </w:tcPr>
        <w:p w14:paraId="68E248F5" w14:textId="77777777" w:rsidR="00923D69" w:rsidRPr="005B2B5B" w:rsidRDefault="00923D69" w:rsidP="00913378">
          <w:pPr>
            <w:spacing w:after="0" w:line="240" w:lineRule="auto"/>
          </w:pPr>
          <w:r>
            <w:t>&lt;Datum för offentliggörande&gt;</w:t>
          </w:r>
        </w:p>
      </w:tc>
      <w:tc>
        <w:tcPr>
          <w:tcW w:w="851" w:type="dxa"/>
        </w:tcPr>
        <w:p w14:paraId="4C15C9C7" w14:textId="77777777" w:rsidR="00923D69" w:rsidRPr="005B2B5B" w:rsidRDefault="00923D69" w:rsidP="00F4196C">
          <w:pPr>
            <w:spacing w:after="0"/>
          </w:pPr>
          <w:r w:rsidRPr="00D7233A">
            <w:rPr>
              <w:bCs/>
            </w:rPr>
            <w:t xml:space="preserve"> </w:t>
          </w:r>
        </w:p>
      </w:tc>
      <w:tc>
        <w:tcPr>
          <w:tcW w:w="1134" w:type="dxa"/>
        </w:tcPr>
        <w:p w14:paraId="7AEAAAE9" w14:textId="65066DB0" w:rsidR="00923D69" w:rsidRDefault="00923D69" w:rsidP="002F7EEC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18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923D69" w14:paraId="1C70204F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2E6965B8" w14:textId="77777777" w:rsidR="00923D69" w:rsidRDefault="00923D69" w:rsidP="002F7EEC">
          <w:pPr>
            <w:pStyle w:val="Sidhuvud"/>
          </w:pPr>
        </w:p>
      </w:tc>
    </w:tr>
    <w:tr w:rsidR="00923D69" w:rsidRPr="006B1232" w14:paraId="13F78874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14942FB9" w14:textId="77777777" w:rsidR="00923D69" w:rsidRDefault="00923D69" w:rsidP="002F7EEC">
          <w:pPr>
            <w:pStyle w:val="Sidhuvud"/>
          </w:pPr>
        </w:p>
      </w:tc>
    </w:tr>
  </w:tbl>
  <w:p w14:paraId="1A3A7F1E" w14:textId="77777777" w:rsidR="00923D69" w:rsidRPr="00E72EEA" w:rsidRDefault="00923D69" w:rsidP="00251DEF">
    <w:pPr>
      <w:pStyle w:val="Sidhuvud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3032"/>
      <w:gridCol w:w="1668"/>
      <w:gridCol w:w="998"/>
    </w:tblGrid>
    <w:tr w:rsidR="00923D69" w:rsidRPr="00731259" w14:paraId="3BB0BEEA" w14:textId="77777777" w:rsidTr="00731259">
      <w:tc>
        <w:tcPr>
          <w:tcW w:w="4959" w:type="dxa"/>
        </w:tcPr>
        <w:p w14:paraId="0A4EAFC5" w14:textId="77777777" w:rsidR="00923D69" w:rsidRPr="00731259" w:rsidRDefault="00923D69" w:rsidP="00731259">
          <w:pPr>
            <w:pStyle w:val="Ingetavstnd"/>
            <w:rPr>
              <w:rFonts w:ascii="Arial" w:hAnsi="Arial" w:cs="Arial"/>
              <w:iCs/>
              <w:sz w:val="14"/>
              <w:szCs w:val="14"/>
            </w:rPr>
          </w:pPr>
          <w:r w:rsidRPr="00731259">
            <w:rPr>
              <w:rFonts w:ascii="Arial" w:hAnsi="Arial" w:cs="Arial"/>
              <w:iCs/>
              <w:sz w:val="14"/>
              <w:szCs w:val="14"/>
            </w:rPr>
            <w:t>Statistikansvarig myndighet</w:t>
          </w:r>
        </w:p>
      </w:tc>
      <w:tc>
        <w:tcPr>
          <w:tcW w:w="2837" w:type="dxa"/>
          <w:vAlign w:val="center"/>
        </w:tcPr>
        <w:p w14:paraId="07B9BFD5" w14:textId="77777777" w:rsidR="00923D69" w:rsidRDefault="00923D69" w:rsidP="00731259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Kvalitetsdeklaration version x</w:t>
          </w:r>
        </w:p>
      </w:tc>
      <w:tc>
        <w:tcPr>
          <w:tcW w:w="1561" w:type="dxa"/>
        </w:tcPr>
        <w:p w14:paraId="7C0108BF" w14:textId="77777777" w:rsidR="00923D69" w:rsidRPr="005B2B5B" w:rsidRDefault="00923D69" w:rsidP="00731259">
          <w:pPr>
            <w:spacing w:after="0"/>
          </w:pPr>
        </w:p>
      </w:tc>
      <w:tc>
        <w:tcPr>
          <w:tcW w:w="934" w:type="dxa"/>
        </w:tcPr>
        <w:p w14:paraId="4EB97455" w14:textId="77777777" w:rsidR="00923D69" w:rsidRPr="00731259" w:rsidRDefault="00923D69" w:rsidP="00731259">
          <w:pPr>
            <w:pStyle w:val="Sidhuvud"/>
            <w:rPr>
              <w:rFonts w:ascii="Arial" w:hAnsi="Arial" w:cs="Arial"/>
              <w:sz w:val="14"/>
              <w:szCs w:val="14"/>
            </w:rPr>
          </w:pPr>
          <w:r w:rsidRPr="00731259">
            <w:rPr>
              <w:rFonts w:ascii="Arial" w:hAnsi="Arial" w:cs="Arial"/>
              <w:sz w:val="14"/>
              <w:szCs w:val="14"/>
            </w:rPr>
            <w:t>Sida</w:t>
          </w:r>
        </w:p>
      </w:tc>
    </w:tr>
    <w:tr w:rsidR="00923D69" w14:paraId="6086941B" w14:textId="77777777" w:rsidTr="00731259">
      <w:tc>
        <w:tcPr>
          <w:tcW w:w="4959" w:type="dxa"/>
        </w:tcPr>
        <w:p w14:paraId="0698EF47" w14:textId="77777777" w:rsidR="00923D69" w:rsidRPr="005726C5" w:rsidRDefault="00923D69" w:rsidP="00731259">
          <w:pPr>
            <w:spacing w:after="0"/>
            <w:rPr>
              <w:iCs/>
            </w:rPr>
          </w:pPr>
          <w:r w:rsidRPr="005726C5">
            <w:rPr>
              <w:iCs/>
            </w:rPr>
            <w:t>&lt;Statistik</w:t>
          </w:r>
          <w:r>
            <w:rPr>
              <w:iCs/>
            </w:rPr>
            <w:t>ansvarig myndighet</w:t>
          </w:r>
          <w:r w:rsidRPr="005726C5">
            <w:rPr>
              <w:iCs/>
            </w:rPr>
            <w:t>&gt;</w:t>
          </w:r>
        </w:p>
      </w:tc>
      <w:tc>
        <w:tcPr>
          <w:tcW w:w="2837" w:type="dxa"/>
          <w:vAlign w:val="center"/>
        </w:tcPr>
        <w:p w14:paraId="34202939" w14:textId="77777777" w:rsidR="00923D69" w:rsidRPr="00F219F2" w:rsidRDefault="00923D69" w:rsidP="004450F5">
          <w:pPr>
            <w:spacing w:after="0"/>
          </w:pPr>
          <w:r>
            <w:t>&lt;Datum för offentliggörande&gt;</w:t>
          </w:r>
        </w:p>
      </w:tc>
      <w:tc>
        <w:tcPr>
          <w:tcW w:w="1561" w:type="dxa"/>
        </w:tcPr>
        <w:p w14:paraId="50DA2C8C" w14:textId="77777777" w:rsidR="00923D69" w:rsidRPr="005B2B5B" w:rsidRDefault="00923D69" w:rsidP="00731259">
          <w:pPr>
            <w:spacing w:after="0"/>
          </w:pPr>
        </w:p>
      </w:tc>
      <w:tc>
        <w:tcPr>
          <w:tcW w:w="934" w:type="dxa"/>
        </w:tcPr>
        <w:p w14:paraId="5CEBE394" w14:textId="2297AAB0" w:rsidR="00923D69" w:rsidRDefault="00923D69" w:rsidP="00731259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923D69" w:rsidRPr="005726C5" w14:paraId="11D800A7" w14:textId="77777777" w:rsidTr="00731259">
      <w:tc>
        <w:tcPr>
          <w:tcW w:w="4959" w:type="dxa"/>
        </w:tcPr>
        <w:p w14:paraId="25ECCCDE" w14:textId="77777777" w:rsidR="00923D69" w:rsidRPr="005726C5" w:rsidRDefault="00923D69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087C1A32" w14:textId="77777777" w:rsidR="00923D69" w:rsidRPr="005726C5" w:rsidRDefault="00923D69" w:rsidP="00731259">
          <w:pPr>
            <w:pStyle w:val="Ingetavstnd"/>
          </w:pPr>
        </w:p>
      </w:tc>
      <w:tc>
        <w:tcPr>
          <w:tcW w:w="1561" w:type="dxa"/>
        </w:tcPr>
        <w:p w14:paraId="1C05B6D3" w14:textId="77777777" w:rsidR="00923D69" w:rsidRPr="005726C5" w:rsidRDefault="00923D69" w:rsidP="00731259">
          <w:pPr>
            <w:pStyle w:val="Ingetavstnd"/>
          </w:pPr>
        </w:p>
      </w:tc>
      <w:tc>
        <w:tcPr>
          <w:tcW w:w="934" w:type="dxa"/>
        </w:tcPr>
        <w:p w14:paraId="22437B25" w14:textId="77777777" w:rsidR="00923D69" w:rsidRPr="005726C5" w:rsidRDefault="00923D69" w:rsidP="00731259">
          <w:pPr>
            <w:pStyle w:val="Ingetavstnd"/>
          </w:pPr>
        </w:p>
      </w:tc>
    </w:tr>
    <w:tr w:rsidR="00923D69" w:rsidRPr="005726C5" w14:paraId="0993222D" w14:textId="77777777" w:rsidTr="00731259">
      <w:trPr>
        <w:trHeight w:val="80"/>
      </w:trPr>
      <w:tc>
        <w:tcPr>
          <w:tcW w:w="4959" w:type="dxa"/>
        </w:tcPr>
        <w:p w14:paraId="269DC1B7" w14:textId="77777777" w:rsidR="00923D69" w:rsidRPr="005726C5" w:rsidRDefault="00923D69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0D1D420E" w14:textId="77777777" w:rsidR="00923D69" w:rsidRPr="005726C5" w:rsidRDefault="00923D69" w:rsidP="00731259">
          <w:pPr>
            <w:pStyle w:val="Ingetavstnd"/>
          </w:pPr>
        </w:p>
      </w:tc>
      <w:tc>
        <w:tcPr>
          <w:tcW w:w="1561" w:type="dxa"/>
        </w:tcPr>
        <w:p w14:paraId="367BCBE2" w14:textId="77777777" w:rsidR="00923D69" w:rsidRPr="005726C5" w:rsidRDefault="00923D69" w:rsidP="00731259">
          <w:pPr>
            <w:pStyle w:val="Ingetavstnd"/>
          </w:pPr>
        </w:p>
      </w:tc>
      <w:tc>
        <w:tcPr>
          <w:tcW w:w="934" w:type="dxa"/>
        </w:tcPr>
        <w:p w14:paraId="46496ACD" w14:textId="77777777" w:rsidR="00923D69" w:rsidRPr="005726C5" w:rsidRDefault="00923D69" w:rsidP="00731259">
          <w:pPr>
            <w:pStyle w:val="Ingetavstnd"/>
          </w:pPr>
        </w:p>
      </w:tc>
    </w:tr>
  </w:tbl>
  <w:p w14:paraId="6C92DACF" w14:textId="77777777" w:rsidR="00923D69" w:rsidRDefault="00923D69"/>
  <w:p w14:paraId="58E11575" w14:textId="77777777" w:rsidR="00923D69" w:rsidRDefault="00923D69"/>
  <w:p w14:paraId="4E0116D3" w14:textId="77777777" w:rsidR="00923D69" w:rsidRDefault="00923D69"/>
  <w:p w14:paraId="1AD57705" w14:textId="77777777" w:rsidR="00923D69" w:rsidRPr="00E72EEA" w:rsidRDefault="00923D69" w:rsidP="00E72EEA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5330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43583"/>
    <w:multiLevelType w:val="multilevel"/>
    <w:tmpl w:val="6346F904"/>
    <w:lvl w:ilvl="0">
      <w:start w:val="1"/>
      <w:numFmt w:val="decimal"/>
      <w:lvlText w:val="%1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13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3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3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8" w:hanging="13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57873"/>
    <w:multiLevelType w:val="multilevel"/>
    <w:tmpl w:val="6AD2821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DA08FE"/>
    <w:multiLevelType w:val="multilevel"/>
    <w:tmpl w:val="412224F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4C1BC1"/>
    <w:multiLevelType w:val="multilevel"/>
    <w:tmpl w:val="AB3A648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38"/>
    <w:rsid w:val="00002F2D"/>
    <w:rsid w:val="00014324"/>
    <w:rsid w:val="00016F68"/>
    <w:rsid w:val="00020BE9"/>
    <w:rsid w:val="00020F76"/>
    <w:rsid w:val="00021024"/>
    <w:rsid w:val="000232A7"/>
    <w:rsid w:val="00023E77"/>
    <w:rsid w:val="00025360"/>
    <w:rsid w:val="00025BE1"/>
    <w:rsid w:val="00025C9C"/>
    <w:rsid w:val="00033EEA"/>
    <w:rsid w:val="00034147"/>
    <w:rsid w:val="00036681"/>
    <w:rsid w:val="00036940"/>
    <w:rsid w:val="00036A51"/>
    <w:rsid w:val="00036FB3"/>
    <w:rsid w:val="00043101"/>
    <w:rsid w:val="000435C3"/>
    <w:rsid w:val="0004593F"/>
    <w:rsid w:val="00051910"/>
    <w:rsid w:val="00051EF7"/>
    <w:rsid w:val="00051FFC"/>
    <w:rsid w:val="0005368C"/>
    <w:rsid w:val="0005552B"/>
    <w:rsid w:val="000578DB"/>
    <w:rsid w:val="00057EF8"/>
    <w:rsid w:val="000613D7"/>
    <w:rsid w:val="00061A74"/>
    <w:rsid w:val="00062659"/>
    <w:rsid w:val="000629A7"/>
    <w:rsid w:val="000650CB"/>
    <w:rsid w:val="000656D1"/>
    <w:rsid w:val="00066E12"/>
    <w:rsid w:val="00070CD7"/>
    <w:rsid w:val="00071A28"/>
    <w:rsid w:val="0007359B"/>
    <w:rsid w:val="00073A06"/>
    <w:rsid w:val="00073E0D"/>
    <w:rsid w:val="000777EE"/>
    <w:rsid w:val="00077FA6"/>
    <w:rsid w:val="000803F7"/>
    <w:rsid w:val="00080CCB"/>
    <w:rsid w:val="0008182B"/>
    <w:rsid w:val="000900BE"/>
    <w:rsid w:val="00092A3C"/>
    <w:rsid w:val="00093AD6"/>
    <w:rsid w:val="000A2DF9"/>
    <w:rsid w:val="000A3B68"/>
    <w:rsid w:val="000A5661"/>
    <w:rsid w:val="000B07F0"/>
    <w:rsid w:val="000B1770"/>
    <w:rsid w:val="000B283D"/>
    <w:rsid w:val="000B3D3F"/>
    <w:rsid w:val="000B5818"/>
    <w:rsid w:val="000C0085"/>
    <w:rsid w:val="000C08A6"/>
    <w:rsid w:val="000C1F32"/>
    <w:rsid w:val="000C23A0"/>
    <w:rsid w:val="000C354C"/>
    <w:rsid w:val="000C5C83"/>
    <w:rsid w:val="000C6234"/>
    <w:rsid w:val="000C7C58"/>
    <w:rsid w:val="000D2282"/>
    <w:rsid w:val="000D2BFA"/>
    <w:rsid w:val="000D7B94"/>
    <w:rsid w:val="000E021F"/>
    <w:rsid w:val="000E1189"/>
    <w:rsid w:val="000E38F3"/>
    <w:rsid w:val="000E5E99"/>
    <w:rsid w:val="000E6343"/>
    <w:rsid w:val="000F0420"/>
    <w:rsid w:val="000F079F"/>
    <w:rsid w:val="000F3B13"/>
    <w:rsid w:val="000F4FA5"/>
    <w:rsid w:val="00101621"/>
    <w:rsid w:val="00101B68"/>
    <w:rsid w:val="0010201B"/>
    <w:rsid w:val="0010264E"/>
    <w:rsid w:val="00105112"/>
    <w:rsid w:val="00105E01"/>
    <w:rsid w:val="0010603A"/>
    <w:rsid w:val="00107A62"/>
    <w:rsid w:val="00110B18"/>
    <w:rsid w:val="00111043"/>
    <w:rsid w:val="00113221"/>
    <w:rsid w:val="001148D3"/>
    <w:rsid w:val="00115644"/>
    <w:rsid w:val="0011576B"/>
    <w:rsid w:val="00116116"/>
    <w:rsid w:val="00117C69"/>
    <w:rsid w:val="001201BD"/>
    <w:rsid w:val="001214B4"/>
    <w:rsid w:val="0012452B"/>
    <w:rsid w:val="00126D46"/>
    <w:rsid w:val="00126F4C"/>
    <w:rsid w:val="00126FBF"/>
    <w:rsid w:val="00130769"/>
    <w:rsid w:val="00130DD7"/>
    <w:rsid w:val="00132A3E"/>
    <w:rsid w:val="0013586B"/>
    <w:rsid w:val="001459A8"/>
    <w:rsid w:val="0014724D"/>
    <w:rsid w:val="001509E5"/>
    <w:rsid w:val="001514ED"/>
    <w:rsid w:val="00154AD5"/>
    <w:rsid w:val="001561B3"/>
    <w:rsid w:val="00160827"/>
    <w:rsid w:val="0016285E"/>
    <w:rsid w:val="001634E3"/>
    <w:rsid w:val="00166E2D"/>
    <w:rsid w:val="001675BB"/>
    <w:rsid w:val="00172028"/>
    <w:rsid w:val="00172CB6"/>
    <w:rsid w:val="00174764"/>
    <w:rsid w:val="00174E41"/>
    <w:rsid w:val="0017598F"/>
    <w:rsid w:val="001766FD"/>
    <w:rsid w:val="001807F9"/>
    <w:rsid w:val="001818E7"/>
    <w:rsid w:val="00181A7D"/>
    <w:rsid w:val="00182336"/>
    <w:rsid w:val="00183F9B"/>
    <w:rsid w:val="001853DB"/>
    <w:rsid w:val="00190567"/>
    <w:rsid w:val="00190F99"/>
    <w:rsid w:val="0019210A"/>
    <w:rsid w:val="00192540"/>
    <w:rsid w:val="00195E58"/>
    <w:rsid w:val="00196656"/>
    <w:rsid w:val="001971BF"/>
    <w:rsid w:val="001A4071"/>
    <w:rsid w:val="001A59ED"/>
    <w:rsid w:val="001A6D9F"/>
    <w:rsid w:val="001A7BBC"/>
    <w:rsid w:val="001B1B12"/>
    <w:rsid w:val="001B3653"/>
    <w:rsid w:val="001B5006"/>
    <w:rsid w:val="001B58AC"/>
    <w:rsid w:val="001C0609"/>
    <w:rsid w:val="001C25F4"/>
    <w:rsid w:val="001C5A2C"/>
    <w:rsid w:val="001C6253"/>
    <w:rsid w:val="001D2EA4"/>
    <w:rsid w:val="001D33A7"/>
    <w:rsid w:val="001D4DDE"/>
    <w:rsid w:val="001D4F86"/>
    <w:rsid w:val="001D7B6A"/>
    <w:rsid w:val="001E3EDE"/>
    <w:rsid w:val="001E5BCB"/>
    <w:rsid w:val="001E747D"/>
    <w:rsid w:val="001F39DF"/>
    <w:rsid w:val="001F499C"/>
    <w:rsid w:val="001F5168"/>
    <w:rsid w:val="001F5E0E"/>
    <w:rsid w:val="00203E80"/>
    <w:rsid w:val="002040D6"/>
    <w:rsid w:val="00207A89"/>
    <w:rsid w:val="00211646"/>
    <w:rsid w:val="00211F58"/>
    <w:rsid w:val="00212824"/>
    <w:rsid w:val="002128EC"/>
    <w:rsid w:val="0021388B"/>
    <w:rsid w:val="00220185"/>
    <w:rsid w:val="00221719"/>
    <w:rsid w:val="00223125"/>
    <w:rsid w:val="00225A32"/>
    <w:rsid w:val="00226144"/>
    <w:rsid w:val="00227BB7"/>
    <w:rsid w:val="00227C37"/>
    <w:rsid w:val="0023148B"/>
    <w:rsid w:val="002329F7"/>
    <w:rsid w:val="002339B4"/>
    <w:rsid w:val="00237BDE"/>
    <w:rsid w:val="00241B4A"/>
    <w:rsid w:val="00242CC2"/>
    <w:rsid w:val="0025042B"/>
    <w:rsid w:val="00251DEF"/>
    <w:rsid w:val="002534EC"/>
    <w:rsid w:val="002572CD"/>
    <w:rsid w:val="00257934"/>
    <w:rsid w:val="00260517"/>
    <w:rsid w:val="00263859"/>
    <w:rsid w:val="00264F36"/>
    <w:rsid w:val="00265A76"/>
    <w:rsid w:val="0026623A"/>
    <w:rsid w:val="00267A9D"/>
    <w:rsid w:val="0027033F"/>
    <w:rsid w:val="002704AB"/>
    <w:rsid w:val="0027411E"/>
    <w:rsid w:val="002768B4"/>
    <w:rsid w:val="0027726F"/>
    <w:rsid w:val="002774F2"/>
    <w:rsid w:val="00284F32"/>
    <w:rsid w:val="00284FF2"/>
    <w:rsid w:val="00286356"/>
    <w:rsid w:val="0028698D"/>
    <w:rsid w:val="00287A5A"/>
    <w:rsid w:val="00287D2B"/>
    <w:rsid w:val="002917F8"/>
    <w:rsid w:val="00291933"/>
    <w:rsid w:val="00293174"/>
    <w:rsid w:val="0029478A"/>
    <w:rsid w:val="00294F93"/>
    <w:rsid w:val="00295CDB"/>
    <w:rsid w:val="00296C07"/>
    <w:rsid w:val="00296F27"/>
    <w:rsid w:val="002974AE"/>
    <w:rsid w:val="00297962"/>
    <w:rsid w:val="002A06A2"/>
    <w:rsid w:val="002A0B12"/>
    <w:rsid w:val="002A1A15"/>
    <w:rsid w:val="002A364B"/>
    <w:rsid w:val="002A5B5D"/>
    <w:rsid w:val="002B0910"/>
    <w:rsid w:val="002B0ED0"/>
    <w:rsid w:val="002B13E9"/>
    <w:rsid w:val="002B27AF"/>
    <w:rsid w:val="002B2B07"/>
    <w:rsid w:val="002B7AD4"/>
    <w:rsid w:val="002B7B1B"/>
    <w:rsid w:val="002C1040"/>
    <w:rsid w:val="002C1494"/>
    <w:rsid w:val="002C1683"/>
    <w:rsid w:val="002C36DA"/>
    <w:rsid w:val="002D492F"/>
    <w:rsid w:val="002D7622"/>
    <w:rsid w:val="002D7BA1"/>
    <w:rsid w:val="002E0182"/>
    <w:rsid w:val="002E0BEF"/>
    <w:rsid w:val="002E10E7"/>
    <w:rsid w:val="002E1C5A"/>
    <w:rsid w:val="002E4D29"/>
    <w:rsid w:val="002E5797"/>
    <w:rsid w:val="002E5C2E"/>
    <w:rsid w:val="002F0013"/>
    <w:rsid w:val="002F7EEC"/>
    <w:rsid w:val="003002E6"/>
    <w:rsid w:val="00300671"/>
    <w:rsid w:val="00302206"/>
    <w:rsid w:val="00302F2F"/>
    <w:rsid w:val="00303871"/>
    <w:rsid w:val="003045D8"/>
    <w:rsid w:val="00305057"/>
    <w:rsid w:val="00306A66"/>
    <w:rsid w:val="00306F19"/>
    <w:rsid w:val="003104A0"/>
    <w:rsid w:val="0031161C"/>
    <w:rsid w:val="00315011"/>
    <w:rsid w:val="00315A34"/>
    <w:rsid w:val="00316904"/>
    <w:rsid w:val="00317B4C"/>
    <w:rsid w:val="00320B7D"/>
    <w:rsid w:val="00322A6B"/>
    <w:rsid w:val="003246D2"/>
    <w:rsid w:val="00325A74"/>
    <w:rsid w:val="003270DE"/>
    <w:rsid w:val="003309D8"/>
    <w:rsid w:val="00332920"/>
    <w:rsid w:val="00333C48"/>
    <w:rsid w:val="00334144"/>
    <w:rsid w:val="0033513F"/>
    <w:rsid w:val="00336BD0"/>
    <w:rsid w:val="00337047"/>
    <w:rsid w:val="00337890"/>
    <w:rsid w:val="003423B4"/>
    <w:rsid w:val="00343E75"/>
    <w:rsid w:val="00346E1C"/>
    <w:rsid w:val="00354A96"/>
    <w:rsid w:val="00356CCD"/>
    <w:rsid w:val="00356D2F"/>
    <w:rsid w:val="003619E5"/>
    <w:rsid w:val="003668F7"/>
    <w:rsid w:val="00370F33"/>
    <w:rsid w:val="0037313E"/>
    <w:rsid w:val="00374CE9"/>
    <w:rsid w:val="00376607"/>
    <w:rsid w:val="00377692"/>
    <w:rsid w:val="00380E7C"/>
    <w:rsid w:val="0038122B"/>
    <w:rsid w:val="00381933"/>
    <w:rsid w:val="00381BA3"/>
    <w:rsid w:val="00382383"/>
    <w:rsid w:val="003850A8"/>
    <w:rsid w:val="00387507"/>
    <w:rsid w:val="00387ED6"/>
    <w:rsid w:val="003900FB"/>
    <w:rsid w:val="00391029"/>
    <w:rsid w:val="003914F3"/>
    <w:rsid w:val="00393458"/>
    <w:rsid w:val="00397329"/>
    <w:rsid w:val="00397D14"/>
    <w:rsid w:val="003A0AA9"/>
    <w:rsid w:val="003A6A97"/>
    <w:rsid w:val="003B2852"/>
    <w:rsid w:val="003B2FB8"/>
    <w:rsid w:val="003B402C"/>
    <w:rsid w:val="003B684B"/>
    <w:rsid w:val="003B6BE5"/>
    <w:rsid w:val="003C2A7A"/>
    <w:rsid w:val="003C32D6"/>
    <w:rsid w:val="003C3CD0"/>
    <w:rsid w:val="003C472E"/>
    <w:rsid w:val="003C79C6"/>
    <w:rsid w:val="003D0294"/>
    <w:rsid w:val="003D42A0"/>
    <w:rsid w:val="003D42DA"/>
    <w:rsid w:val="003D7E93"/>
    <w:rsid w:val="003E2BDB"/>
    <w:rsid w:val="003E3A2E"/>
    <w:rsid w:val="003F1723"/>
    <w:rsid w:val="003F23C1"/>
    <w:rsid w:val="003F6409"/>
    <w:rsid w:val="004015D3"/>
    <w:rsid w:val="00402CC3"/>
    <w:rsid w:val="004031C4"/>
    <w:rsid w:val="0040460F"/>
    <w:rsid w:val="00404887"/>
    <w:rsid w:val="00406035"/>
    <w:rsid w:val="00411467"/>
    <w:rsid w:val="0041365A"/>
    <w:rsid w:val="00416B59"/>
    <w:rsid w:val="00422BF4"/>
    <w:rsid w:val="00422ECF"/>
    <w:rsid w:val="00423AF1"/>
    <w:rsid w:val="004240C5"/>
    <w:rsid w:val="0042692B"/>
    <w:rsid w:val="00426D48"/>
    <w:rsid w:val="0043377B"/>
    <w:rsid w:val="00433B57"/>
    <w:rsid w:val="004400D3"/>
    <w:rsid w:val="004450F5"/>
    <w:rsid w:val="00446AB0"/>
    <w:rsid w:val="0045173A"/>
    <w:rsid w:val="0045248C"/>
    <w:rsid w:val="0045285D"/>
    <w:rsid w:val="00452AFC"/>
    <w:rsid w:val="0046144C"/>
    <w:rsid w:val="00461A14"/>
    <w:rsid w:val="00461C0C"/>
    <w:rsid w:val="00463A3F"/>
    <w:rsid w:val="00464BF1"/>
    <w:rsid w:val="00464F2D"/>
    <w:rsid w:val="00466A78"/>
    <w:rsid w:val="00467A38"/>
    <w:rsid w:val="00470B19"/>
    <w:rsid w:val="00471346"/>
    <w:rsid w:val="00471969"/>
    <w:rsid w:val="004724DB"/>
    <w:rsid w:val="004730BA"/>
    <w:rsid w:val="00474E25"/>
    <w:rsid w:val="004764FE"/>
    <w:rsid w:val="004821B7"/>
    <w:rsid w:val="004822C3"/>
    <w:rsid w:val="00482735"/>
    <w:rsid w:val="00482992"/>
    <w:rsid w:val="00483AC0"/>
    <w:rsid w:val="00486001"/>
    <w:rsid w:val="00487B18"/>
    <w:rsid w:val="00487C23"/>
    <w:rsid w:val="004954DC"/>
    <w:rsid w:val="00497318"/>
    <w:rsid w:val="004A1770"/>
    <w:rsid w:val="004A2CEA"/>
    <w:rsid w:val="004A5039"/>
    <w:rsid w:val="004B10F0"/>
    <w:rsid w:val="004B4718"/>
    <w:rsid w:val="004B4CA4"/>
    <w:rsid w:val="004B4CAD"/>
    <w:rsid w:val="004B5530"/>
    <w:rsid w:val="004B659D"/>
    <w:rsid w:val="004B7CCC"/>
    <w:rsid w:val="004C0AD7"/>
    <w:rsid w:val="004C215A"/>
    <w:rsid w:val="004C2607"/>
    <w:rsid w:val="004C4E64"/>
    <w:rsid w:val="004C4E6D"/>
    <w:rsid w:val="004C5CFB"/>
    <w:rsid w:val="004C6F1B"/>
    <w:rsid w:val="004C7019"/>
    <w:rsid w:val="004D14D8"/>
    <w:rsid w:val="004D196C"/>
    <w:rsid w:val="004D241D"/>
    <w:rsid w:val="004D2839"/>
    <w:rsid w:val="004D34B4"/>
    <w:rsid w:val="004D3856"/>
    <w:rsid w:val="004D6CAF"/>
    <w:rsid w:val="004E266A"/>
    <w:rsid w:val="004E3FE7"/>
    <w:rsid w:val="004E59AE"/>
    <w:rsid w:val="004F027C"/>
    <w:rsid w:val="004F2525"/>
    <w:rsid w:val="004F3045"/>
    <w:rsid w:val="004F3CC3"/>
    <w:rsid w:val="004F4C7A"/>
    <w:rsid w:val="004F4D40"/>
    <w:rsid w:val="004F5C33"/>
    <w:rsid w:val="00501D98"/>
    <w:rsid w:val="0050236D"/>
    <w:rsid w:val="005028F7"/>
    <w:rsid w:val="0050313C"/>
    <w:rsid w:val="00503EA7"/>
    <w:rsid w:val="005076A6"/>
    <w:rsid w:val="00507867"/>
    <w:rsid w:val="0051142A"/>
    <w:rsid w:val="005142AD"/>
    <w:rsid w:val="0051447F"/>
    <w:rsid w:val="0051606B"/>
    <w:rsid w:val="005179E3"/>
    <w:rsid w:val="00521784"/>
    <w:rsid w:val="005219B2"/>
    <w:rsid w:val="00522D88"/>
    <w:rsid w:val="005252D2"/>
    <w:rsid w:val="00525672"/>
    <w:rsid w:val="00530A5F"/>
    <w:rsid w:val="00532B29"/>
    <w:rsid w:val="00532E87"/>
    <w:rsid w:val="00533C4F"/>
    <w:rsid w:val="00534194"/>
    <w:rsid w:val="00536738"/>
    <w:rsid w:val="00537852"/>
    <w:rsid w:val="005378DA"/>
    <w:rsid w:val="005417B6"/>
    <w:rsid w:val="00541E7C"/>
    <w:rsid w:val="00541E94"/>
    <w:rsid w:val="005456F0"/>
    <w:rsid w:val="00545AF7"/>
    <w:rsid w:val="00545BCA"/>
    <w:rsid w:val="00546288"/>
    <w:rsid w:val="00547D93"/>
    <w:rsid w:val="00552962"/>
    <w:rsid w:val="00556E0D"/>
    <w:rsid w:val="00560C69"/>
    <w:rsid w:val="00561468"/>
    <w:rsid w:val="00561CBB"/>
    <w:rsid w:val="00563BB4"/>
    <w:rsid w:val="0056476D"/>
    <w:rsid w:val="00570693"/>
    <w:rsid w:val="00570D37"/>
    <w:rsid w:val="00570E55"/>
    <w:rsid w:val="005726C5"/>
    <w:rsid w:val="0057279D"/>
    <w:rsid w:val="005727E6"/>
    <w:rsid w:val="0057321C"/>
    <w:rsid w:val="005748EC"/>
    <w:rsid w:val="00575E14"/>
    <w:rsid w:val="00577D00"/>
    <w:rsid w:val="00577FC6"/>
    <w:rsid w:val="00582C96"/>
    <w:rsid w:val="00585C80"/>
    <w:rsid w:val="005901D7"/>
    <w:rsid w:val="0059452E"/>
    <w:rsid w:val="00594786"/>
    <w:rsid w:val="005971FB"/>
    <w:rsid w:val="005A1019"/>
    <w:rsid w:val="005A27CB"/>
    <w:rsid w:val="005A3C47"/>
    <w:rsid w:val="005A484A"/>
    <w:rsid w:val="005A4AB5"/>
    <w:rsid w:val="005B1515"/>
    <w:rsid w:val="005B2B5B"/>
    <w:rsid w:val="005B34BF"/>
    <w:rsid w:val="005B48CE"/>
    <w:rsid w:val="005B56C1"/>
    <w:rsid w:val="005B69E0"/>
    <w:rsid w:val="005D142C"/>
    <w:rsid w:val="005D1A1B"/>
    <w:rsid w:val="005D3CCE"/>
    <w:rsid w:val="005D470A"/>
    <w:rsid w:val="005E1879"/>
    <w:rsid w:val="005E1F2C"/>
    <w:rsid w:val="005E38EA"/>
    <w:rsid w:val="005E6CB8"/>
    <w:rsid w:val="005E7F68"/>
    <w:rsid w:val="005F1415"/>
    <w:rsid w:val="005F7A81"/>
    <w:rsid w:val="006024C8"/>
    <w:rsid w:val="006025E6"/>
    <w:rsid w:val="00602C3A"/>
    <w:rsid w:val="00602EC6"/>
    <w:rsid w:val="00603615"/>
    <w:rsid w:val="00604E34"/>
    <w:rsid w:val="0060549D"/>
    <w:rsid w:val="00611900"/>
    <w:rsid w:val="00612402"/>
    <w:rsid w:val="0061447A"/>
    <w:rsid w:val="006173AE"/>
    <w:rsid w:val="00617413"/>
    <w:rsid w:val="00624B4C"/>
    <w:rsid w:val="00624CE4"/>
    <w:rsid w:val="00626F38"/>
    <w:rsid w:val="00633A87"/>
    <w:rsid w:val="006403E6"/>
    <w:rsid w:val="00640E5C"/>
    <w:rsid w:val="00646E71"/>
    <w:rsid w:val="00652865"/>
    <w:rsid w:val="00653344"/>
    <w:rsid w:val="00657C05"/>
    <w:rsid w:val="006600CB"/>
    <w:rsid w:val="00660434"/>
    <w:rsid w:val="006617B5"/>
    <w:rsid w:val="00663FC1"/>
    <w:rsid w:val="00664FAB"/>
    <w:rsid w:val="00667E40"/>
    <w:rsid w:val="006716AC"/>
    <w:rsid w:val="00676A09"/>
    <w:rsid w:val="00676EA3"/>
    <w:rsid w:val="0067734D"/>
    <w:rsid w:val="006811C0"/>
    <w:rsid w:val="00682341"/>
    <w:rsid w:val="006846C7"/>
    <w:rsid w:val="00684E24"/>
    <w:rsid w:val="00686C96"/>
    <w:rsid w:val="00690C68"/>
    <w:rsid w:val="00694129"/>
    <w:rsid w:val="00694A3D"/>
    <w:rsid w:val="0069790D"/>
    <w:rsid w:val="006A23B7"/>
    <w:rsid w:val="006A2FAC"/>
    <w:rsid w:val="006A626F"/>
    <w:rsid w:val="006B1232"/>
    <w:rsid w:val="006B1843"/>
    <w:rsid w:val="006B1A7B"/>
    <w:rsid w:val="006B2435"/>
    <w:rsid w:val="006B2EB1"/>
    <w:rsid w:val="006B377B"/>
    <w:rsid w:val="006B5032"/>
    <w:rsid w:val="006B5E00"/>
    <w:rsid w:val="006B5FDE"/>
    <w:rsid w:val="006B6B25"/>
    <w:rsid w:val="006C3EAF"/>
    <w:rsid w:val="006D0B7F"/>
    <w:rsid w:val="006D1E7D"/>
    <w:rsid w:val="006D73ED"/>
    <w:rsid w:val="006E026B"/>
    <w:rsid w:val="006E07E0"/>
    <w:rsid w:val="006E1153"/>
    <w:rsid w:val="006E18C9"/>
    <w:rsid w:val="006E5D32"/>
    <w:rsid w:val="006E61A1"/>
    <w:rsid w:val="006E717E"/>
    <w:rsid w:val="006E79D2"/>
    <w:rsid w:val="006F0FD3"/>
    <w:rsid w:val="006F3A33"/>
    <w:rsid w:val="006F3F63"/>
    <w:rsid w:val="006F6376"/>
    <w:rsid w:val="006F74B8"/>
    <w:rsid w:val="006F7EF4"/>
    <w:rsid w:val="007007C0"/>
    <w:rsid w:val="0070576E"/>
    <w:rsid w:val="00705EFF"/>
    <w:rsid w:val="00706367"/>
    <w:rsid w:val="007074D4"/>
    <w:rsid w:val="00711C8E"/>
    <w:rsid w:val="00713B61"/>
    <w:rsid w:val="0071701A"/>
    <w:rsid w:val="007173B2"/>
    <w:rsid w:val="00717CA5"/>
    <w:rsid w:val="00723027"/>
    <w:rsid w:val="007234BE"/>
    <w:rsid w:val="00723D60"/>
    <w:rsid w:val="00723EAF"/>
    <w:rsid w:val="00725781"/>
    <w:rsid w:val="00731259"/>
    <w:rsid w:val="00732299"/>
    <w:rsid w:val="0073265C"/>
    <w:rsid w:val="00732841"/>
    <w:rsid w:val="00735FEB"/>
    <w:rsid w:val="007373AA"/>
    <w:rsid w:val="00737A40"/>
    <w:rsid w:val="00740310"/>
    <w:rsid w:val="0074142D"/>
    <w:rsid w:val="007416D7"/>
    <w:rsid w:val="00744E54"/>
    <w:rsid w:val="007471E7"/>
    <w:rsid w:val="007514BB"/>
    <w:rsid w:val="00753512"/>
    <w:rsid w:val="00757609"/>
    <w:rsid w:val="00757FA0"/>
    <w:rsid w:val="007616D7"/>
    <w:rsid w:val="00765AD6"/>
    <w:rsid w:val="00771244"/>
    <w:rsid w:val="00773F48"/>
    <w:rsid w:val="0077594D"/>
    <w:rsid w:val="0077704B"/>
    <w:rsid w:val="00777190"/>
    <w:rsid w:val="00784537"/>
    <w:rsid w:val="0078554A"/>
    <w:rsid w:val="007913AF"/>
    <w:rsid w:val="00791D0A"/>
    <w:rsid w:val="00792100"/>
    <w:rsid w:val="00792739"/>
    <w:rsid w:val="00794AB2"/>
    <w:rsid w:val="00795FF9"/>
    <w:rsid w:val="00796421"/>
    <w:rsid w:val="007964A4"/>
    <w:rsid w:val="0079761E"/>
    <w:rsid w:val="007A308D"/>
    <w:rsid w:val="007A359C"/>
    <w:rsid w:val="007A4829"/>
    <w:rsid w:val="007A4B33"/>
    <w:rsid w:val="007A5241"/>
    <w:rsid w:val="007A7885"/>
    <w:rsid w:val="007B2644"/>
    <w:rsid w:val="007B2A34"/>
    <w:rsid w:val="007B5482"/>
    <w:rsid w:val="007B5B0B"/>
    <w:rsid w:val="007C346C"/>
    <w:rsid w:val="007C6119"/>
    <w:rsid w:val="007C70FA"/>
    <w:rsid w:val="007D17EE"/>
    <w:rsid w:val="007D1A01"/>
    <w:rsid w:val="007E0014"/>
    <w:rsid w:val="007E0AA4"/>
    <w:rsid w:val="007E16AE"/>
    <w:rsid w:val="007E4856"/>
    <w:rsid w:val="007E62C6"/>
    <w:rsid w:val="007E7EEB"/>
    <w:rsid w:val="007F21D5"/>
    <w:rsid w:val="007F556C"/>
    <w:rsid w:val="007F58AE"/>
    <w:rsid w:val="007F59EA"/>
    <w:rsid w:val="00800AD9"/>
    <w:rsid w:val="00800B9F"/>
    <w:rsid w:val="00801CAB"/>
    <w:rsid w:val="00801FF1"/>
    <w:rsid w:val="00802619"/>
    <w:rsid w:val="00804930"/>
    <w:rsid w:val="00806E89"/>
    <w:rsid w:val="008071C1"/>
    <w:rsid w:val="00807251"/>
    <w:rsid w:val="00811772"/>
    <w:rsid w:val="0081247B"/>
    <w:rsid w:val="00812756"/>
    <w:rsid w:val="00814248"/>
    <w:rsid w:val="008166B4"/>
    <w:rsid w:val="00816F18"/>
    <w:rsid w:val="00817F0B"/>
    <w:rsid w:val="00820621"/>
    <w:rsid w:val="00822998"/>
    <w:rsid w:val="00827053"/>
    <w:rsid w:val="00835A5F"/>
    <w:rsid w:val="00835E7C"/>
    <w:rsid w:val="008365B3"/>
    <w:rsid w:val="00844316"/>
    <w:rsid w:val="00852590"/>
    <w:rsid w:val="0085376A"/>
    <w:rsid w:val="00854CAF"/>
    <w:rsid w:val="00855D7F"/>
    <w:rsid w:val="008609BD"/>
    <w:rsid w:val="00861352"/>
    <w:rsid w:val="00862CDC"/>
    <w:rsid w:val="0086669D"/>
    <w:rsid w:val="008674EF"/>
    <w:rsid w:val="00867CD0"/>
    <w:rsid w:val="0087189F"/>
    <w:rsid w:val="008719C4"/>
    <w:rsid w:val="008747B2"/>
    <w:rsid w:val="00874D58"/>
    <w:rsid w:val="00876A25"/>
    <w:rsid w:val="00876AEE"/>
    <w:rsid w:val="00877DE3"/>
    <w:rsid w:val="008803FC"/>
    <w:rsid w:val="00881F65"/>
    <w:rsid w:val="008846EB"/>
    <w:rsid w:val="0089022A"/>
    <w:rsid w:val="008910AA"/>
    <w:rsid w:val="00891AC0"/>
    <w:rsid w:val="00893B94"/>
    <w:rsid w:val="00896606"/>
    <w:rsid w:val="00896693"/>
    <w:rsid w:val="00896C18"/>
    <w:rsid w:val="008A14DC"/>
    <w:rsid w:val="008A18AC"/>
    <w:rsid w:val="008A7DAE"/>
    <w:rsid w:val="008B0675"/>
    <w:rsid w:val="008B0F47"/>
    <w:rsid w:val="008B18F3"/>
    <w:rsid w:val="008B2218"/>
    <w:rsid w:val="008B68D2"/>
    <w:rsid w:val="008B78A7"/>
    <w:rsid w:val="008C0ED9"/>
    <w:rsid w:val="008C1FE2"/>
    <w:rsid w:val="008C7FFC"/>
    <w:rsid w:val="008D01FC"/>
    <w:rsid w:val="008D02B0"/>
    <w:rsid w:val="008D1564"/>
    <w:rsid w:val="008D300F"/>
    <w:rsid w:val="008D30B6"/>
    <w:rsid w:val="008D47EE"/>
    <w:rsid w:val="008D4A41"/>
    <w:rsid w:val="008D6AF5"/>
    <w:rsid w:val="008E3E66"/>
    <w:rsid w:val="008E4CCD"/>
    <w:rsid w:val="008F0A62"/>
    <w:rsid w:val="008F144D"/>
    <w:rsid w:val="008F3CAE"/>
    <w:rsid w:val="008F4E14"/>
    <w:rsid w:val="008F51CC"/>
    <w:rsid w:val="008F63CB"/>
    <w:rsid w:val="008F6869"/>
    <w:rsid w:val="008F6A60"/>
    <w:rsid w:val="008F6B60"/>
    <w:rsid w:val="00902B1E"/>
    <w:rsid w:val="009053FB"/>
    <w:rsid w:val="00905805"/>
    <w:rsid w:val="00906EA0"/>
    <w:rsid w:val="00906F71"/>
    <w:rsid w:val="00910273"/>
    <w:rsid w:val="00913378"/>
    <w:rsid w:val="009133C8"/>
    <w:rsid w:val="009140C6"/>
    <w:rsid w:val="0091496B"/>
    <w:rsid w:val="009153E2"/>
    <w:rsid w:val="00917212"/>
    <w:rsid w:val="009179EB"/>
    <w:rsid w:val="00922401"/>
    <w:rsid w:val="00923025"/>
    <w:rsid w:val="00923D69"/>
    <w:rsid w:val="009242DF"/>
    <w:rsid w:val="009302E9"/>
    <w:rsid w:val="00931563"/>
    <w:rsid w:val="00931882"/>
    <w:rsid w:val="00931929"/>
    <w:rsid w:val="00932F34"/>
    <w:rsid w:val="009340CA"/>
    <w:rsid w:val="00935723"/>
    <w:rsid w:val="009371EC"/>
    <w:rsid w:val="009379EB"/>
    <w:rsid w:val="0094445D"/>
    <w:rsid w:val="009446B7"/>
    <w:rsid w:val="00947A83"/>
    <w:rsid w:val="009524FA"/>
    <w:rsid w:val="00952653"/>
    <w:rsid w:val="0095360B"/>
    <w:rsid w:val="00953EC6"/>
    <w:rsid w:val="00956B76"/>
    <w:rsid w:val="0096242E"/>
    <w:rsid w:val="00963ED8"/>
    <w:rsid w:val="00964CC2"/>
    <w:rsid w:val="00967178"/>
    <w:rsid w:val="009706AA"/>
    <w:rsid w:val="00974DCE"/>
    <w:rsid w:val="009755D9"/>
    <w:rsid w:val="009822C9"/>
    <w:rsid w:val="009823CA"/>
    <w:rsid w:val="00982F49"/>
    <w:rsid w:val="00983134"/>
    <w:rsid w:val="00983263"/>
    <w:rsid w:val="009839FA"/>
    <w:rsid w:val="0098722A"/>
    <w:rsid w:val="0099006D"/>
    <w:rsid w:val="00992DDB"/>
    <w:rsid w:val="00994BFD"/>
    <w:rsid w:val="00997DAC"/>
    <w:rsid w:val="009A251A"/>
    <w:rsid w:val="009A2F4A"/>
    <w:rsid w:val="009A4DC0"/>
    <w:rsid w:val="009A4EC2"/>
    <w:rsid w:val="009B5E9A"/>
    <w:rsid w:val="009C3D6E"/>
    <w:rsid w:val="009C4794"/>
    <w:rsid w:val="009C61A1"/>
    <w:rsid w:val="009C75EB"/>
    <w:rsid w:val="009D2A5C"/>
    <w:rsid w:val="009D2C5A"/>
    <w:rsid w:val="009D2DD5"/>
    <w:rsid w:val="009D47FF"/>
    <w:rsid w:val="009D5B50"/>
    <w:rsid w:val="009D630F"/>
    <w:rsid w:val="009D6C1D"/>
    <w:rsid w:val="009E38B6"/>
    <w:rsid w:val="009E635B"/>
    <w:rsid w:val="009E6460"/>
    <w:rsid w:val="009F3157"/>
    <w:rsid w:val="009F53B6"/>
    <w:rsid w:val="009F72F2"/>
    <w:rsid w:val="009F7355"/>
    <w:rsid w:val="00A004E4"/>
    <w:rsid w:val="00A0165C"/>
    <w:rsid w:val="00A037B5"/>
    <w:rsid w:val="00A0398A"/>
    <w:rsid w:val="00A056D3"/>
    <w:rsid w:val="00A05F79"/>
    <w:rsid w:val="00A10F67"/>
    <w:rsid w:val="00A1169E"/>
    <w:rsid w:val="00A118BB"/>
    <w:rsid w:val="00A2010F"/>
    <w:rsid w:val="00A21060"/>
    <w:rsid w:val="00A2126E"/>
    <w:rsid w:val="00A21E99"/>
    <w:rsid w:val="00A22A67"/>
    <w:rsid w:val="00A25A34"/>
    <w:rsid w:val="00A27AEF"/>
    <w:rsid w:val="00A27F8F"/>
    <w:rsid w:val="00A31673"/>
    <w:rsid w:val="00A35724"/>
    <w:rsid w:val="00A36ECF"/>
    <w:rsid w:val="00A37A92"/>
    <w:rsid w:val="00A44DF5"/>
    <w:rsid w:val="00A50004"/>
    <w:rsid w:val="00A51CE8"/>
    <w:rsid w:val="00A53682"/>
    <w:rsid w:val="00A54C94"/>
    <w:rsid w:val="00A551F5"/>
    <w:rsid w:val="00A55A77"/>
    <w:rsid w:val="00A55FDA"/>
    <w:rsid w:val="00A5638B"/>
    <w:rsid w:val="00A56D77"/>
    <w:rsid w:val="00A60321"/>
    <w:rsid w:val="00A6091B"/>
    <w:rsid w:val="00A61D62"/>
    <w:rsid w:val="00A62E34"/>
    <w:rsid w:val="00A65C73"/>
    <w:rsid w:val="00A74379"/>
    <w:rsid w:val="00A768D4"/>
    <w:rsid w:val="00A81B01"/>
    <w:rsid w:val="00A82D14"/>
    <w:rsid w:val="00A833E7"/>
    <w:rsid w:val="00A83B2B"/>
    <w:rsid w:val="00A90734"/>
    <w:rsid w:val="00A92D95"/>
    <w:rsid w:val="00A93AC2"/>
    <w:rsid w:val="00A96B6B"/>
    <w:rsid w:val="00AA019D"/>
    <w:rsid w:val="00AA0816"/>
    <w:rsid w:val="00AA23DD"/>
    <w:rsid w:val="00AA2B7E"/>
    <w:rsid w:val="00AA2F45"/>
    <w:rsid w:val="00AA3003"/>
    <w:rsid w:val="00AA342F"/>
    <w:rsid w:val="00AA4475"/>
    <w:rsid w:val="00AA522A"/>
    <w:rsid w:val="00AB2998"/>
    <w:rsid w:val="00AB2A96"/>
    <w:rsid w:val="00AB4658"/>
    <w:rsid w:val="00AB552D"/>
    <w:rsid w:val="00AB5E38"/>
    <w:rsid w:val="00AC3A4F"/>
    <w:rsid w:val="00AC482C"/>
    <w:rsid w:val="00AC6E2A"/>
    <w:rsid w:val="00AC7D9B"/>
    <w:rsid w:val="00AD18AC"/>
    <w:rsid w:val="00AD2768"/>
    <w:rsid w:val="00AD2890"/>
    <w:rsid w:val="00AD572F"/>
    <w:rsid w:val="00AD6B4E"/>
    <w:rsid w:val="00AD7513"/>
    <w:rsid w:val="00AD796A"/>
    <w:rsid w:val="00AE2EB2"/>
    <w:rsid w:val="00AE5FBC"/>
    <w:rsid w:val="00AF1350"/>
    <w:rsid w:val="00B01559"/>
    <w:rsid w:val="00B03404"/>
    <w:rsid w:val="00B04251"/>
    <w:rsid w:val="00B054CF"/>
    <w:rsid w:val="00B06380"/>
    <w:rsid w:val="00B10387"/>
    <w:rsid w:val="00B20986"/>
    <w:rsid w:val="00B2442C"/>
    <w:rsid w:val="00B25F34"/>
    <w:rsid w:val="00B2622D"/>
    <w:rsid w:val="00B27362"/>
    <w:rsid w:val="00B33464"/>
    <w:rsid w:val="00B35EAD"/>
    <w:rsid w:val="00B3652A"/>
    <w:rsid w:val="00B442E8"/>
    <w:rsid w:val="00B44643"/>
    <w:rsid w:val="00B45074"/>
    <w:rsid w:val="00B47AFE"/>
    <w:rsid w:val="00B50E04"/>
    <w:rsid w:val="00B51A5F"/>
    <w:rsid w:val="00B53450"/>
    <w:rsid w:val="00B557A9"/>
    <w:rsid w:val="00B6149D"/>
    <w:rsid w:val="00B6216F"/>
    <w:rsid w:val="00B626A3"/>
    <w:rsid w:val="00B662AD"/>
    <w:rsid w:val="00B76363"/>
    <w:rsid w:val="00B779F3"/>
    <w:rsid w:val="00B82D6C"/>
    <w:rsid w:val="00B845E9"/>
    <w:rsid w:val="00B85621"/>
    <w:rsid w:val="00B91090"/>
    <w:rsid w:val="00B95DF4"/>
    <w:rsid w:val="00BA0552"/>
    <w:rsid w:val="00BA0F30"/>
    <w:rsid w:val="00BA5860"/>
    <w:rsid w:val="00BA64D1"/>
    <w:rsid w:val="00BA772D"/>
    <w:rsid w:val="00BA795F"/>
    <w:rsid w:val="00BA7E13"/>
    <w:rsid w:val="00BC1FD6"/>
    <w:rsid w:val="00BC35E6"/>
    <w:rsid w:val="00BD3A1D"/>
    <w:rsid w:val="00BD3FDD"/>
    <w:rsid w:val="00BD4432"/>
    <w:rsid w:val="00BD44B9"/>
    <w:rsid w:val="00BD4B2C"/>
    <w:rsid w:val="00BD5918"/>
    <w:rsid w:val="00BE0D08"/>
    <w:rsid w:val="00BE2FE3"/>
    <w:rsid w:val="00BF0A5F"/>
    <w:rsid w:val="00BF510B"/>
    <w:rsid w:val="00C00D32"/>
    <w:rsid w:val="00C0292B"/>
    <w:rsid w:val="00C044F1"/>
    <w:rsid w:val="00C05B6F"/>
    <w:rsid w:val="00C062EF"/>
    <w:rsid w:val="00C0687E"/>
    <w:rsid w:val="00C068F9"/>
    <w:rsid w:val="00C06E53"/>
    <w:rsid w:val="00C07FEF"/>
    <w:rsid w:val="00C11FD1"/>
    <w:rsid w:val="00C1225E"/>
    <w:rsid w:val="00C13777"/>
    <w:rsid w:val="00C15CC6"/>
    <w:rsid w:val="00C15D26"/>
    <w:rsid w:val="00C173E4"/>
    <w:rsid w:val="00C216E6"/>
    <w:rsid w:val="00C22920"/>
    <w:rsid w:val="00C23984"/>
    <w:rsid w:val="00C268F6"/>
    <w:rsid w:val="00C26AC0"/>
    <w:rsid w:val="00C2784C"/>
    <w:rsid w:val="00C30AF8"/>
    <w:rsid w:val="00C31227"/>
    <w:rsid w:val="00C339C6"/>
    <w:rsid w:val="00C35097"/>
    <w:rsid w:val="00C445B3"/>
    <w:rsid w:val="00C446E3"/>
    <w:rsid w:val="00C45503"/>
    <w:rsid w:val="00C5400F"/>
    <w:rsid w:val="00C552B2"/>
    <w:rsid w:val="00C557A4"/>
    <w:rsid w:val="00C575FD"/>
    <w:rsid w:val="00C60199"/>
    <w:rsid w:val="00C606E8"/>
    <w:rsid w:val="00C60C56"/>
    <w:rsid w:val="00C624CF"/>
    <w:rsid w:val="00C63750"/>
    <w:rsid w:val="00C63F9A"/>
    <w:rsid w:val="00C65C37"/>
    <w:rsid w:val="00C66350"/>
    <w:rsid w:val="00C71B78"/>
    <w:rsid w:val="00C74743"/>
    <w:rsid w:val="00C76A49"/>
    <w:rsid w:val="00C8551F"/>
    <w:rsid w:val="00C859EB"/>
    <w:rsid w:val="00C863A5"/>
    <w:rsid w:val="00C91367"/>
    <w:rsid w:val="00C925BE"/>
    <w:rsid w:val="00C9452D"/>
    <w:rsid w:val="00C957F1"/>
    <w:rsid w:val="00C95FB4"/>
    <w:rsid w:val="00C972F7"/>
    <w:rsid w:val="00C976B2"/>
    <w:rsid w:val="00CA0C02"/>
    <w:rsid w:val="00CA0E94"/>
    <w:rsid w:val="00CA165D"/>
    <w:rsid w:val="00CA4970"/>
    <w:rsid w:val="00CA684C"/>
    <w:rsid w:val="00CB3A16"/>
    <w:rsid w:val="00CB4AC9"/>
    <w:rsid w:val="00CB51FF"/>
    <w:rsid w:val="00CB5CB3"/>
    <w:rsid w:val="00CB7FD5"/>
    <w:rsid w:val="00CC104E"/>
    <w:rsid w:val="00CC1C3E"/>
    <w:rsid w:val="00CC34A2"/>
    <w:rsid w:val="00CC40AB"/>
    <w:rsid w:val="00CC7C52"/>
    <w:rsid w:val="00CC7CF7"/>
    <w:rsid w:val="00CD28C2"/>
    <w:rsid w:val="00CD6BE1"/>
    <w:rsid w:val="00CE3514"/>
    <w:rsid w:val="00CE4874"/>
    <w:rsid w:val="00CE6C1C"/>
    <w:rsid w:val="00CE7A17"/>
    <w:rsid w:val="00CF0EDA"/>
    <w:rsid w:val="00CF19BB"/>
    <w:rsid w:val="00CF2F52"/>
    <w:rsid w:val="00CF6D21"/>
    <w:rsid w:val="00D03D90"/>
    <w:rsid w:val="00D04412"/>
    <w:rsid w:val="00D0647B"/>
    <w:rsid w:val="00D07FE1"/>
    <w:rsid w:val="00D1165E"/>
    <w:rsid w:val="00D11A83"/>
    <w:rsid w:val="00D14797"/>
    <w:rsid w:val="00D16473"/>
    <w:rsid w:val="00D2293E"/>
    <w:rsid w:val="00D25135"/>
    <w:rsid w:val="00D27F17"/>
    <w:rsid w:val="00D3039F"/>
    <w:rsid w:val="00D31492"/>
    <w:rsid w:val="00D3428B"/>
    <w:rsid w:val="00D351A0"/>
    <w:rsid w:val="00D36F11"/>
    <w:rsid w:val="00D42B97"/>
    <w:rsid w:val="00D43F4A"/>
    <w:rsid w:val="00D4669B"/>
    <w:rsid w:val="00D4773B"/>
    <w:rsid w:val="00D50AFD"/>
    <w:rsid w:val="00D53B22"/>
    <w:rsid w:val="00D54C7C"/>
    <w:rsid w:val="00D5754A"/>
    <w:rsid w:val="00D6191D"/>
    <w:rsid w:val="00D62057"/>
    <w:rsid w:val="00D62BD4"/>
    <w:rsid w:val="00D633BC"/>
    <w:rsid w:val="00D63A1D"/>
    <w:rsid w:val="00D66FF8"/>
    <w:rsid w:val="00D7079F"/>
    <w:rsid w:val="00D70A48"/>
    <w:rsid w:val="00D7233A"/>
    <w:rsid w:val="00D74008"/>
    <w:rsid w:val="00D74C9D"/>
    <w:rsid w:val="00D75AA2"/>
    <w:rsid w:val="00D77101"/>
    <w:rsid w:val="00D83158"/>
    <w:rsid w:val="00D837F8"/>
    <w:rsid w:val="00D83C1E"/>
    <w:rsid w:val="00D905AA"/>
    <w:rsid w:val="00D951AA"/>
    <w:rsid w:val="00D9551F"/>
    <w:rsid w:val="00D95E9A"/>
    <w:rsid w:val="00DA28CA"/>
    <w:rsid w:val="00DA3FE9"/>
    <w:rsid w:val="00DA45BA"/>
    <w:rsid w:val="00DA473D"/>
    <w:rsid w:val="00DA6D0E"/>
    <w:rsid w:val="00DB001D"/>
    <w:rsid w:val="00DB3B2F"/>
    <w:rsid w:val="00DB40EE"/>
    <w:rsid w:val="00DB54B9"/>
    <w:rsid w:val="00DB739E"/>
    <w:rsid w:val="00DC10FE"/>
    <w:rsid w:val="00DC3880"/>
    <w:rsid w:val="00DC6BF3"/>
    <w:rsid w:val="00DD2D33"/>
    <w:rsid w:val="00DD47A3"/>
    <w:rsid w:val="00DD4876"/>
    <w:rsid w:val="00DE0AC4"/>
    <w:rsid w:val="00DE3B84"/>
    <w:rsid w:val="00DE741B"/>
    <w:rsid w:val="00DF0CAD"/>
    <w:rsid w:val="00DF27F6"/>
    <w:rsid w:val="00DF694B"/>
    <w:rsid w:val="00DF6E8D"/>
    <w:rsid w:val="00E01897"/>
    <w:rsid w:val="00E02539"/>
    <w:rsid w:val="00E0284A"/>
    <w:rsid w:val="00E03592"/>
    <w:rsid w:val="00E03A3E"/>
    <w:rsid w:val="00E12449"/>
    <w:rsid w:val="00E147B4"/>
    <w:rsid w:val="00E15819"/>
    <w:rsid w:val="00E1617B"/>
    <w:rsid w:val="00E16BBB"/>
    <w:rsid w:val="00E20333"/>
    <w:rsid w:val="00E20387"/>
    <w:rsid w:val="00E21ACA"/>
    <w:rsid w:val="00E24DEC"/>
    <w:rsid w:val="00E25C92"/>
    <w:rsid w:val="00E26C1A"/>
    <w:rsid w:val="00E33723"/>
    <w:rsid w:val="00E34DEA"/>
    <w:rsid w:val="00E4033A"/>
    <w:rsid w:val="00E410CF"/>
    <w:rsid w:val="00E413D4"/>
    <w:rsid w:val="00E43395"/>
    <w:rsid w:val="00E452B8"/>
    <w:rsid w:val="00E465E2"/>
    <w:rsid w:val="00E60B99"/>
    <w:rsid w:val="00E61AF8"/>
    <w:rsid w:val="00E6542E"/>
    <w:rsid w:val="00E717B7"/>
    <w:rsid w:val="00E719F7"/>
    <w:rsid w:val="00E72EEA"/>
    <w:rsid w:val="00E749FD"/>
    <w:rsid w:val="00E74E82"/>
    <w:rsid w:val="00E81494"/>
    <w:rsid w:val="00E824FA"/>
    <w:rsid w:val="00E82F07"/>
    <w:rsid w:val="00E84DD3"/>
    <w:rsid w:val="00E870A9"/>
    <w:rsid w:val="00E91D7C"/>
    <w:rsid w:val="00E920D8"/>
    <w:rsid w:val="00E928B5"/>
    <w:rsid w:val="00E930B8"/>
    <w:rsid w:val="00E94582"/>
    <w:rsid w:val="00E96330"/>
    <w:rsid w:val="00E96FC1"/>
    <w:rsid w:val="00EA2895"/>
    <w:rsid w:val="00EA3658"/>
    <w:rsid w:val="00EA3698"/>
    <w:rsid w:val="00EA6CB8"/>
    <w:rsid w:val="00EA7769"/>
    <w:rsid w:val="00EB16B2"/>
    <w:rsid w:val="00EB180C"/>
    <w:rsid w:val="00EB2540"/>
    <w:rsid w:val="00EB34C6"/>
    <w:rsid w:val="00EB65A5"/>
    <w:rsid w:val="00EB6D28"/>
    <w:rsid w:val="00EB759A"/>
    <w:rsid w:val="00EC3AA8"/>
    <w:rsid w:val="00EC3C33"/>
    <w:rsid w:val="00EC3C7A"/>
    <w:rsid w:val="00EC402B"/>
    <w:rsid w:val="00EC4F2C"/>
    <w:rsid w:val="00EC579F"/>
    <w:rsid w:val="00EC5A38"/>
    <w:rsid w:val="00ED3660"/>
    <w:rsid w:val="00ED5492"/>
    <w:rsid w:val="00ED6504"/>
    <w:rsid w:val="00ED66BD"/>
    <w:rsid w:val="00EE121C"/>
    <w:rsid w:val="00EE450C"/>
    <w:rsid w:val="00EE55C0"/>
    <w:rsid w:val="00EE5CA6"/>
    <w:rsid w:val="00EE67B5"/>
    <w:rsid w:val="00EE7C2D"/>
    <w:rsid w:val="00EE7F4E"/>
    <w:rsid w:val="00EF075F"/>
    <w:rsid w:val="00EF2589"/>
    <w:rsid w:val="00EF30D0"/>
    <w:rsid w:val="00EF46B6"/>
    <w:rsid w:val="00EF54C3"/>
    <w:rsid w:val="00EF5A24"/>
    <w:rsid w:val="00EF60E5"/>
    <w:rsid w:val="00EF7E07"/>
    <w:rsid w:val="00EF7F13"/>
    <w:rsid w:val="00F034B9"/>
    <w:rsid w:val="00F069EA"/>
    <w:rsid w:val="00F1023E"/>
    <w:rsid w:val="00F107F9"/>
    <w:rsid w:val="00F10C2B"/>
    <w:rsid w:val="00F130C3"/>
    <w:rsid w:val="00F13199"/>
    <w:rsid w:val="00F162CC"/>
    <w:rsid w:val="00F17AA9"/>
    <w:rsid w:val="00F2031A"/>
    <w:rsid w:val="00F219F2"/>
    <w:rsid w:val="00F21BF8"/>
    <w:rsid w:val="00F24987"/>
    <w:rsid w:val="00F25B77"/>
    <w:rsid w:val="00F25F1D"/>
    <w:rsid w:val="00F326F5"/>
    <w:rsid w:val="00F33A25"/>
    <w:rsid w:val="00F33CF7"/>
    <w:rsid w:val="00F33E8A"/>
    <w:rsid w:val="00F37BD3"/>
    <w:rsid w:val="00F4132D"/>
    <w:rsid w:val="00F4196C"/>
    <w:rsid w:val="00F4762A"/>
    <w:rsid w:val="00F5052C"/>
    <w:rsid w:val="00F51100"/>
    <w:rsid w:val="00F51B4E"/>
    <w:rsid w:val="00F51B55"/>
    <w:rsid w:val="00F52887"/>
    <w:rsid w:val="00F52B0A"/>
    <w:rsid w:val="00F549AF"/>
    <w:rsid w:val="00F559AA"/>
    <w:rsid w:val="00F56AE4"/>
    <w:rsid w:val="00F624A1"/>
    <w:rsid w:val="00F63C31"/>
    <w:rsid w:val="00F73147"/>
    <w:rsid w:val="00F73227"/>
    <w:rsid w:val="00F73986"/>
    <w:rsid w:val="00F73AB3"/>
    <w:rsid w:val="00F7495F"/>
    <w:rsid w:val="00F76674"/>
    <w:rsid w:val="00F8327E"/>
    <w:rsid w:val="00F87BBE"/>
    <w:rsid w:val="00F91D81"/>
    <w:rsid w:val="00F92083"/>
    <w:rsid w:val="00F92118"/>
    <w:rsid w:val="00F92388"/>
    <w:rsid w:val="00F93E36"/>
    <w:rsid w:val="00FA4E5F"/>
    <w:rsid w:val="00FA5E96"/>
    <w:rsid w:val="00FA72E8"/>
    <w:rsid w:val="00FA7AAE"/>
    <w:rsid w:val="00FA7E62"/>
    <w:rsid w:val="00FA7FF4"/>
    <w:rsid w:val="00FB058A"/>
    <w:rsid w:val="00FB2752"/>
    <w:rsid w:val="00FB2880"/>
    <w:rsid w:val="00FB310A"/>
    <w:rsid w:val="00FB3E89"/>
    <w:rsid w:val="00FB5BAA"/>
    <w:rsid w:val="00FB7E15"/>
    <w:rsid w:val="00FC1132"/>
    <w:rsid w:val="00FC1330"/>
    <w:rsid w:val="00FC1846"/>
    <w:rsid w:val="00FC37AB"/>
    <w:rsid w:val="00FC5B77"/>
    <w:rsid w:val="00FC5E9D"/>
    <w:rsid w:val="00FC616D"/>
    <w:rsid w:val="00FC7235"/>
    <w:rsid w:val="00FD1C2B"/>
    <w:rsid w:val="00FD1D03"/>
    <w:rsid w:val="00FD1DA9"/>
    <w:rsid w:val="00FD7105"/>
    <w:rsid w:val="00FE054C"/>
    <w:rsid w:val="00FE14C9"/>
    <w:rsid w:val="00FE2A72"/>
    <w:rsid w:val="00FE640C"/>
    <w:rsid w:val="00FE6E79"/>
    <w:rsid w:val="00FE7F8F"/>
    <w:rsid w:val="00FF0CB7"/>
    <w:rsid w:val="00FF33DF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F93BB6"/>
  <w15:docId w15:val="{379ABA8C-9E88-4D8F-BCF6-8C19E9F3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5A5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qFormat/>
    <w:rsid w:val="003D0294"/>
    <w:pPr>
      <w:spacing w:before="120" w:after="0"/>
    </w:pPr>
    <w:rPr>
      <w:rFonts w:ascii="Arial" w:hAnsi="Arial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3D0294"/>
    <w:pPr>
      <w:tabs>
        <w:tab w:val="left" w:pos="660"/>
        <w:tab w:val="right" w:leader="dot" w:pos="7643"/>
      </w:tabs>
      <w:spacing w:before="60" w:after="0"/>
      <w:ind w:left="221"/>
    </w:pPr>
    <w:rPr>
      <w:rFonts w:ascii="Arial" w:hAnsi="Arial"/>
      <w:noProof/>
      <w:sz w:val="18"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DB3B2F"/>
    <w:pPr>
      <w:spacing w:before="20" w:after="0"/>
      <w:ind w:left="442"/>
    </w:pPr>
    <w:rPr>
      <w:rFonts w:ascii="Arial" w:hAnsi="Arial"/>
      <w:iCs/>
      <w:sz w:val="18"/>
      <w:szCs w:val="20"/>
    </w:rPr>
  </w:style>
  <w:style w:type="paragraph" w:styleId="Innehll4">
    <w:name w:val="toc 4"/>
    <w:basedOn w:val="Underrubrik"/>
    <w:next w:val="Underrubrik"/>
    <w:autoRedefine/>
    <w:uiPriority w:val="39"/>
    <w:rsid w:val="00DB3B2F"/>
    <w:pPr>
      <w:keepNext w:val="0"/>
      <w:keepLines w:val="0"/>
      <w:spacing w:after="0"/>
      <w:ind w:left="660"/>
    </w:pPr>
    <w:rPr>
      <w:rFonts w:ascii="Arial" w:eastAsiaTheme="minorHAnsi" w:hAnsi="Arial" w:cstheme="minorBidi"/>
      <w:iCs w:val="0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B2736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B2736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B2736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B2736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B27362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Numreradlista">
    <w:name w:val="List Number"/>
    <w:basedOn w:val="Normal"/>
    <w:uiPriority w:val="99"/>
    <w:qFormat/>
    <w:rsid w:val="00093AD6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paragraph" w:styleId="Fotnotstext">
    <w:name w:val="footnote text"/>
    <w:basedOn w:val="Normal"/>
    <w:link w:val="FotnotstextChar"/>
    <w:uiPriority w:val="99"/>
    <w:rsid w:val="00AA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A23D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rsid w:val="00AA23DD"/>
    <w:rPr>
      <w:vertAlign w:val="superscript"/>
    </w:rPr>
  </w:style>
  <w:style w:type="character" w:styleId="Kommentarsreferens">
    <w:name w:val="annotation reference"/>
    <w:basedOn w:val="Standardstycketeckensnitt"/>
    <w:rsid w:val="00C0687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068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C0687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22A"/>
    <w:pPr>
      <w:overflowPunct/>
      <w:autoSpaceDE/>
      <w:autoSpaceDN/>
      <w:adjustRightInd/>
      <w:textAlignment w:val="auto"/>
    </w:pPr>
    <w:rPr>
      <w:rFonts w:ascii="Book Antiqua" w:eastAsiaTheme="minorHAnsi" w:hAnsi="Book Antiqua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22A"/>
    <w:rPr>
      <w:rFonts w:ascii="Book Antiqua" w:eastAsia="Times New Roman" w:hAnsi="Book Antiqua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7852"/>
    <w:rPr>
      <w:color w:val="800080" w:themeColor="followedHyperlink"/>
      <w:u w:val="single"/>
    </w:rPr>
  </w:style>
  <w:style w:type="character" w:customStyle="1" w:styleId="FormatmallKursiv">
    <w:name w:val="Formatmall Kursiv"/>
    <w:basedOn w:val="Standardstycketeckensnitt"/>
    <w:rsid w:val="00537852"/>
    <w:rPr>
      <w:rFonts w:ascii="Times New Roman" w:hAnsi="Times New Roman"/>
      <w:i/>
      <w:iCs/>
      <w:sz w:val="24"/>
    </w:rPr>
  </w:style>
  <w:style w:type="paragraph" w:customStyle="1" w:styleId="FormatmallRubrik4InteFet">
    <w:name w:val="Formatmall Rubrik 4 + Inte Fet"/>
    <w:basedOn w:val="Rubrik4"/>
    <w:link w:val="FormatmallRubrik4InteFetChar"/>
    <w:rsid w:val="00561468"/>
    <w:pPr>
      <w:tabs>
        <w:tab w:val="left" w:pos="852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/>
      <w:bCs w:val="0"/>
      <w:i/>
      <w:sz w:val="24"/>
      <w:szCs w:val="24"/>
      <w:lang w:eastAsia="sv-SE"/>
    </w:rPr>
  </w:style>
  <w:style w:type="character" w:customStyle="1" w:styleId="FormatmallRubrik4InteFetChar">
    <w:name w:val="Formatmall Rubrik 4 + Inte Fet Char"/>
    <w:basedOn w:val="Rubrik4Char"/>
    <w:link w:val="FormatmallRubrik4InteFet"/>
    <w:rsid w:val="00561468"/>
    <w:rPr>
      <w:rFonts w:ascii="Times New Roman" w:eastAsia="Times New Roman" w:hAnsi="Times New Roman" w:cs="Times New Roman"/>
      <w:b/>
      <w:bCs w:val="0"/>
      <w:i/>
      <w:i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EC579F"/>
    <w:pPr>
      <w:spacing w:after="0" w:line="240" w:lineRule="auto"/>
    </w:pPr>
    <w:rPr>
      <w:rFonts w:ascii="Book Antiqua" w:hAnsi="Book Antiqua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33EEA"/>
    <w:pPr>
      <w:spacing w:after="100" w:line="240" w:lineRule="auto"/>
      <w:ind w:left="4252"/>
    </w:pPr>
    <w:rPr>
      <w:rFonts w:ascii="Palatino" w:eastAsiaTheme="minorEastAsia" w:hAnsi="Palatino"/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33EEA"/>
    <w:rPr>
      <w:rFonts w:ascii="Palatino" w:eastAsiaTheme="minorEastAsia" w:hAnsi="Palatino"/>
      <w:sz w:val="20"/>
    </w:rPr>
  </w:style>
  <w:style w:type="paragraph" w:customStyle="1" w:styleId="ingress">
    <w:name w:val="ingress"/>
    <w:basedOn w:val="Normal"/>
    <w:rsid w:val="00D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9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qFormat/>
    <w:rsid w:val="00876AEE"/>
    <w:pPr>
      <w:spacing w:after="290" w:line="290" w:lineRule="atLeas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87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ksdagen.se/sv/dokument-lagar/dokument/svensk-forfattningssamling/forordning-2001100-om-den-officiella_sfs-2001-100" TargetMode="External"/><Relationship Id="rId18" Type="http://schemas.openxmlformats.org/officeDocument/2006/relationships/hyperlink" Target="https://eur-lex.europa.eu/legal-content/SV/TXT/?uri=celex%3A32016R0679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energimyndigheten.se/globalassets/om-oss/foreskrifter/stemfs_5_2016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iksdagen.se/sv/dokument-lagar/dokument/svensk-forfattningssamling/lag-200199-om-den-officiella-statistiken_sfs-2001-99" TargetMode="External"/><Relationship Id="rId17" Type="http://schemas.openxmlformats.org/officeDocument/2006/relationships/hyperlink" Target="http://www.riksdagen.se/sv/dokument-lagar/dokument/svensk-forfattningssamling/forordning-2001100-om-den-officiella_sfs-2001-100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ksdagen.se/sv/dokument-lagar/dokument/svensk-forfattningssamling/lag-200199-om-den-officiella-statistiken_sfs-2001-99" TargetMode="External"/><Relationship Id="rId20" Type="http://schemas.openxmlformats.org/officeDocument/2006/relationships/hyperlink" Target="http://www.riksdagen.se/sv/dokument-lagar/dokument/svensk-forfattningssamling/forordning-2001100-om-den-officiella_sfs-2001-10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riksdagen.se/sv/dokument-lagar/dokument/svensk-forfattningssamling/offentlighets--och-sekretesslag-2009400_sfs-2009-400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hyperlink" Target="http://www.riksdagen.se/sv/dokument-lagar/dokument/svensk-forfattningssamling/lag-200199-om-den-officiella-statistiken_sfs-2001-99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b.se/Grupp/OmSCB/Verksamhet/Foreskrifter/Tillganglighet-SOS/SCB-FS-2016-17.pdf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cess xmlns="ff6e3ada-3560-43b1-ab9c-5d7f504f2806" xsi:nil="true"/>
    <Process xmlns="bedc0e1e-3385-461a-9eaa-48e770fb8710">47</Proc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DCA6EE10C0544837FB103A79948EE" ma:contentTypeVersion="4" ma:contentTypeDescription="Skapa ett nytt dokument." ma:contentTypeScope="" ma:versionID="82e4fec2c07c4127ee6e118b67655cab">
  <xsd:schema xmlns:xsd="http://www.w3.org/2001/XMLSchema" xmlns:xs="http://www.w3.org/2001/XMLSchema" xmlns:p="http://schemas.microsoft.com/office/2006/metadata/properties" xmlns:ns2="bedc0e1e-3385-461a-9eaa-48e770fb8710" xmlns:ns3="ff6e3ada-3560-43b1-ab9c-5d7f504f2806" targetNamespace="http://schemas.microsoft.com/office/2006/metadata/properties" ma:root="true" ma:fieldsID="b2f8de7c0e42f4b995286b3351a8ac92" ns2:_="" ns3:_="">
    <xsd:import namespace="bedc0e1e-3385-461a-9eaa-48e770fb8710"/>
    <xsd:import namespace="ff6e3ada-3560-43b1-ab9c-5d7f504f2806"/>
    <xsd:element name="properties">
      <xsd:complexType>
        <xsd:sequence>
          <xsd:element name="documentManagement">
            <xsd:complexType>
              <xsd:all>
                <xsd:element ref="ns2:Process" minOccurs="0"/>
                <xsd:element ref="ns3:Del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0e1e-3385-461a-9eaa-48e770fb8710" elementFormDefault="qualified">
    <xsd:import namespace="http://schemas.microsoft.com/office/2006/documentManagement/types"/>
    <xsd:import namespace="http://schemas.microsoft.com/office/infopath/2007/PartnerControls"/>
    <xsd:element name="Process" ma:index="8" nillable="true" ma:displayName="Process" ma:list="7e8ef179-13db-4ca5-90db-61b4c3184bba" ma:internalName="Process" ma:showField="Title" ma:web="bedc0e1e-3385-461a-9eaa-48e770fb871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3ada-3560-43b1-ab9c-5d7f504f2806" elementFormDefault="qualified">
    <xsd:import namespace="http://schemas.microsoft.com/office/2006/documentManagement/types"/>
    <xsd:import namespace="http://schemas.microsoft.com/office/infopath/2007/PartnerControls"/>
    <xsd:element name="Delprocess" ma:index="10" nillable="true" ma:displayName="Delprocess" ma:description="Här skirver du in processer som inte ännu finns med i Processlistan. Nivå 3 och neråt. Ex: 1.1.1" ma:internalName="Delprocess">
      <xsd:simpleType>
        <xsd:restriction base="dms:Text">
          <xsd:maxLength value="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E2D5-CA7A-4F97-A5B4-7669C18B85A8}">
  <ds:schemaRefs>
    <ds:schemaRef ds:uri="http://purl.org/dc/terms/"/>
    <ds:schemaRef ds:uri="http://purl.org/dc/dcmitype/"/>
    <ds:schemaRef ds:uri="ff6e3ada-3560-43b1-ab9c-5d7f504f280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edc0e1e-3385-461a-9eaa-48e770fb8710"/>
  </ds:schemaRefs>
</ds:datastoreItem>
</file>

<file path=customXml/itemProps2.xml><?xml version="1.0" encoding="utf-8"?>
<ds:datastoreItem xmlns:ds="http://schemas.openxmlformats.org/officeDocument/2006/customXml" ds:itemID="{D8592E4B-0D24-44BC-987A-D34687625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76EF-D185-4681-9096-086A6BD19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c0e1e-3385-461a-9eaa-48e770fb8710"/>
    <ds:schemaRef ds:uri="ff6e3ada-3560-43b1-ab9c-5d7f504f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BE4A8-064B-4988-98D3-68D25720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3966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kvalitetdeklaration</vt:lpstr>
    </vt:vector>
  </TitlesOfParts>
  <Company>SCB</Company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kvalitetdeklaration</dc:title>
  <dc:subject>Kvalitet för officiell statistik - en handbok</dc:subject>
  <dc:creator>Arvidsson Mattias RM/ET-Ö</dc:creator>
  <cp:lastModifiedBy>Klas Unger</cp:lastModifiedBy>
  <cp:revision>8</cp:revision>
  <cp:lastPrinted>2019-01-12T17:26:00Z</cp:lastPrinted>
  <dcterms:created xsi:type="dcterms:W3CDTF">2019-02-08T09:53:00Z</dcterms:created>
  <dcterms:modified xsi:type="dcterms:W3CDTF">2019-02-22T09:15:00Z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0x010100965DCA6EE10C0544837FB103A79948EE</vt:lpwstr>
  </property>
</Properties>
</file>