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97" w:rsidRDefault="00096B97" w:rsidP="00C0687E">
      <w:pPr>
        <w:pStyle w:val="Rubrik"/>
        <w:rPr>
          <w:b/>
          <w:sz w:val="20"/>
          <w:szCs w:val="20"/>
        </w:rPr>
      </w:pPr>
      <w:bookmarkStart w:id="0" w:name="_GoBack"/>
      <w:bookmarkEnd w:id="0"/>
    </w:p>
    <w:p w:rsidR="00097DE4" w:rsidRPr="00097DE4" w:rsidRDefault="00097DE4" w:rsidP="00097DE4"/>
    <w:p w:rsidR="00096B97" w:rsidRDefault="00096B97" w:rsidP="00C0687E">
      <w:pPr>
        <w:pStyle w:val="Rubrik"/>
        <w:rPr>
          <w:b/>
          <w:sz w:val="46"/>
          <w:szCs w:val="46"/>
        </w:rPr>
      </w:pPr>
    </w:p>
    <w:p w:rsidR="00767786" w:rsidRPr="00767786" w:rsidRDefault="00767786" w:rsidP="00C0687E">
      <w:pPr>
        <w:pStyle w:val="Rubrik"/>
        <w:rPr>
          <w:b/>
          <w:sz w:val="46"/>
          <w:szCs w:val="46"/>
        </w:rPr>
      </w:pPr>
      <w:r w:rsidRPr="00767786">
        <w:rPr>
          <w:b/>
          <w:sz w:val="46"/>
          <w:szCs w:val="46"/>
        </w:rPr>
        <w:t>STATISTIKENS FRAMTAGNING</w:t>
      </w:r>
    </w:p>
    <w:p w:rsidR="00767786" w:rsidRDefault="00767786" w:rsidP="00C0687E">
      <w:pPr>
        <w:pStyle w:val="Rubrik"/>
        <w:rPr>
          <w:b/>
        </w:rPr>
      </w:pPr>
    </w:p>
    <w:p w:rsidR="00CA6DB9" w:rsidRDefault="00463674" w:rsidP="00C0687E">
      <w:pPr>
        <w:pStyle w:val="Rubrik"/>
        <w:rPr>
          <w:b/>
        </w:rPr>
      </w:pPr>
      <w:r>
        <w:rPr>
          <w:b/>
        </w:rPr>
        <w:t>Trädbränsle- och torvpriser</w:t>
      </w:r>
    </w:p>
    <w:p w:rsidR="00051EF7" w:rsidRPr="00D50AFD" w:rsidRDefault="00463674" w:rsidP="00D50AFD">
      <w:pPr>
        <w:pStyle w:val="Innehllsfrteckningsrubrik"/>
        <w:rPr>
          <w:rFonts w:ascii="Book Antiqua" w:hAnsi="Book Antiqua"/>
        </w:rPr>
      </w:pPr>
      <w:r>
        <w:rPr>
          <w:rFonts w:ascii="Book Antiqua" w:hAnsi="Book Antiqua"/>
        </w:rPr>
        <w:t>2016</w:t>
      </w:r>
    </w:p>
    <w:p w:rsidR="00051EF7" w:rsidRPr="00C0687E" w:rsidRDefault="00463674" w:rsidP="00C0687E">
      <w:pPr>
        <w:pStyle w:val="Underrubrik"/>
      </w:pPr>
      <w:r>
        <w:t>EN0307</w:t>
      </w:r>
    </w:p>
    <w:p w:rsidR="00CB4938" w:rsidRPr="00CB4938" w:rsidRDefault="00CB4938">
      <w:pPr>
        <w:spacing w:after="200" w:line="276" w:lineRule="auto"/>
        <w:rPr>
          <w:rFonts w:eastAsia="Times New Roman" w:cs="Times New Roman"/>
          <w:lang w:eastAsia="sv-SE"/>
        </w:rPr>
      </w:pPr>
      <w:r w:rsidRPr="00CB4938">
        <w:rPr>
          <w:rFonts w:eastAsia="Times New Roman" w:cs="Times New Roman"/>
          <w:lang w:eastAsia="sv-SE"/>
        </w:rPr>
        <w:br w:type="page"/>
      </w:r>
    </w:p>
    <w:p w:rsidR="00CB4938" w:rsidRPr="00CB4938" w:rsidRDefault="00CB4938" w:rsidP="00C068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sdt>
      <w:sdtPr>
        <w:rPr>
          <w:rFonts w:ascii="Book Antiqua" w:eastAsiaTheme="minorHAnsi" w:hAnsi="Book Antiqua" w:cstheme="minorBidi"/>
          <w:b w:val="0"/>
          <w:bCs w:val="0"/>
          <w:sz w:val="22"/>
          <w:szCs w:val="22"/>
          <w:lang w:bidi="ar-SA"/>
        </w:rPr>
        <w:id w:val="-524479302"/>
        <w:docPartObj>
          <w:docPartGallery w:val="Table of Contents"/>
          <w:docPartUnique/>
        </w:docPartObj>
      </w:sdtPr>
      <w:sdtEndPr/>
      <w:sdtContent>
        <w:p w:rsidR="00C0687E" w:rsidRDefault="00C0687E">
          <w:pPr>
            <w:pStyle w:val="Innehllsfrteckningsrubrik"/>
          </w:pPr>
          <w:r>
            <w:t>Innehåll</w:t>
          </w:r>
        </w:p>
        <w:p w:rsidR="00E43961" w:rsidRDefault="00FD1D03">
          <w:pPr>
            <w:pStyle w:val="Innehll1"/>
            <w:tabs>
              <w:tab w:val="left" w:pos="442"/>
              <w:tab w:val="right" w:leader="dot" w:pos="679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289515" w:history="1">
            <w:r w:rsidR="00E43961" w:rsidRPr="0017697C">
              <w:rPr>
                <w:rStyle w:val="Hyperlnk"/>
                <w:rFonts w:eastAsia="Times New Roman"/>
                <w:noProof/>
                <w:lang w:eastAsia="sv-SE"/>
              </w:rPr>
              <w:t>0</w:t>
            </w:r>
            <w:r w:rsidR="00E43961">
              <w:rPr>
                <w:rFonts w:asciiTheme="minorHAnsi" w:eastAsiaTheme="minorEastAsia" w:hAnsiTheme="minorHAnsi"/>
                <w:b w:val="0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rFonts w:eastAsia="Times New Roman"/>
                <w:noProof/>
                <w:lang w:eastAsia="sv-SE"/>
              </w:rPr>
              <w:t>Allmänna uppgifter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_Toc466289515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16" w:history="1">
            <w:r w:rsidR="00E43961" w:rsidRPr="0017697C">
              <w:rPr>
                <w:rStyle w:val="Hyperlnk"/>
                <w:noProof/>
              </w:rPr>
              <w:t>0.1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Ämnesområde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_Toc466289516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17" w:history="1">
            <w:r w:rsidR="00E43961" w:rsidRPr="0017697C">
              <w:rPr>
                <w:rStyle w:val="Hyperlnk"/>
                <w:noProof/>
              </w:rPr>
              <w:t>0.2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Statistikområde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_Toc466289517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18" w:history="1">
            <w:r w:rsidR="00E43961" w:rsidRPr="0017697C">
              <w:rPr>
                <w:rStyle w:val="Hyperlnk"/>
                <w:noProof/>
              </w:rPr>
              <w:t>0.3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SOS-klassificering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_Toc466289518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19" w:history="1">
            <w:r w:rsidR="00E43961" w:rsidRPr="0017697C">
              <w:rPr>
                <w:rStyle w:val="Hyperlnk"/>
                <w:noProof/>
              </w:rPr>
              <w:t>0.4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Statistikansvarig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_Toc466289519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0" w:history="1">
            <w:r w:rsidR="00E43961" w:rsidRPr="0017697C">
              <w:rPr>
                <w:rStyle w:val="Hyperlnk"/>
                <w:noProof/>
              </w:rPr>
              <w:t>0.5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Statistikproducent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_Toc466289520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1" w:history="1">
            <w:r w:rsidR="00E43961" w:rsidRPr="0017697C">
              <w:rPr>
                <w:rStyle w:val="Hyperlnk"/>
                <w:noProof/>
              </w:rPr>
              <w:t>0.6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Uppgiftsskyldighet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_Toc466289521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2" w:history="1">
            <w:r w:rsidR="00E43961" w:rsidRPr="0017697C">
              <w:rPr>
                <w:rStyle w:val="Hyperlnk"/>
                <w:noProof/>
              </w:rPr>
              <w:t>0.7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Sekretess och regler för behandling av  personuppgifter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_Toc466289522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3" w:history="1">
            <w:r w:rsidR="00E43961" w:rsidRPr="0017697C">
              <w:rPr>
                <w:rStyle w:val="Hyperlnk"/>
                <w:noProof/>
              </w:rPr>
              <w:t>0.8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Gallringsföreskrifter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_Toc466289523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4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4" w:history="1">
            <w:r w:rsidR="00E43961" w:rsidRPr="0017697C">
              <w:rPr>
                <w:rStyle w:val="Hyperlnk"/>
                <w:noProof/>
              </w:rPr>
              <w:t>0.9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EU-reglering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_Toc466289524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4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5" w:history="1">
            <w:r w:rsidR="00E43961" w:rsidRPr="0017697C">
              <w:rPr>
                <w:rStyle w:val="Hyperlnk"/>
                <w:noProof/>
              </w:rPr>
              <w:t>0.10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Syfte och historik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_Toc466289525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4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6" w:history="1">
            <w:r w:rsidR="00E43961" w:rsidRPr="0017697C">
              <w:rPr>
                <w:rStyle w:val="Hyperlnk"/>
                <w:noProof/>
              </w:rPr>
              <w:t>0.11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Statistikanvändning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_Toc466289526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4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7" w:history="1">
            <w:r w:rsidR="00E43961" w:rsidRPr="0017697C">
              <w:rPr>
                <w:rStyle w:val="Hyperlnk"/>
                <w:noProof/>
              </w:rPr>
              <w:t>0.12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Upplägg och genomförande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_Toc466289527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4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8" w:history="1">
            <w:r w:rsidR="00E43961" w:rsidRPr="0017697C">
              <w:rPr>
                <w:rStyle w:val="Hyperlnk"/>
                <w:noProof/>
              </w:rPr>
              <w:t>0.13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Internationell rapportering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_Toc466289528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5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29" w:history="1">
            <w:r w:rsidR="00E43961" w:rsidRPr="0017697C">
              <w:rPr>
                <w:rStyle w:val="Hyperlnk"/>
                <w:noProof/>
              </w:rPr>
              <w:t>0.14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Planerade förändringar i kommande undersökningar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_Toc466289529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5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1"/>
            <w:tabs>
              <w:tab w:val="left" w:pos="442"/>
              <w:tab w:val="right" w:leader="dot" w:pos="679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sv-SE"/>
            </w:rPr>
          </w:pPr>
          <w:hyperlink w:anchor="_Toc466289530" w:history="1">
            <w:r w:rsidR="00E43961" w:rsidRPr="0017697C">
              <w:rPr>
                <w:rStyle w:val="Hyperlnk"/>
                <w:noProof/>
              </w:rPr>
              <w:t>1</w:t>
            </w:r>
            <w:r w:rsidR="00E43961">
              <w:rPr>
                <w:rFonts w:asciiTheme="minorHAnsi" w:eastAsiaTheme="minorEastAsia" w:hAnsiTheme="minorHAnsi"/>
                <w:b w:val="0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Innehållsöversikt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_Toc466289530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5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1" w:history="1">
            <w:r w:rsidR="00E43961" w:rsidRPr="0017697C">
              <w:rPr>
                <w:rStyle w:val="Hyperlnk"/>
                <w:noProof/>
              </w:rPr>
              <w:t>1.1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Undersökta populationer och variabler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_Toc466289531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6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2" w:history="1">
            <w:r w:rsidR="00E43961" w:rsidRPr="0017697C">
              <w:rPr>
                <w:rStyle w:val="Hyperlnk"/>
                <w:noProof/>
              </w:rPr>
              <w:t>1.2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Redovisade populationer och storheter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_Toc466289532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7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3" w:history="1">
            <w:r w:rsidR="00E43961" w:rsidRPr="0017697C">
              <w:rPr>
                <w:rStyle w:val="Hyperlnk"/>
                <w:noProof/>
              </w:rPr>
              <w:t>1.3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Utflöden: statistik och mikrodata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_Toc466289533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7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4" w:history="1">
            <w:r w:rsidR="00E43961" w:rsidRPr="0017697C">
              <w:rPr>
                <w:rStyle w:val="Hyperlnk"/>
                <w:noProof/>
              </w:rPr>
              <w:t>1.4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Dokumentation och metadata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_Toc466289534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8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1"/>
            <w:tabs>
              <w:tab w:val="left" w:pos="442"/>
              <w:tab w:val="right" w:leader="dot" w:pos="679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sv-SE"/>
            </w:rPr>
          </w:pPr>
          <w:hyperlink w:anchor="_Toc466289535" w:history="1">
            <w:r w:rsidR="00E43961" w:rsidRPr="0017697C">
              <w:rPr>
                <w:rStyle w:val="Hyperlnk"/>
                <w:noProof/>
              </w:rPr>
              <w:t>2</w:t>
            </w:r>
            <w:r w:rsidR="00E43961">
              <w:rPr>
                <w:rFonts w:asciiTheme="minorHAnsi" w:eastAsiaTheme="minorEastAsia" w:hAnsiTheme="minorHAnsi"/>
                <w:b w:val="0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Uppgiftsinsamling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_Toc466289535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8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6" w:history="1">
            <w:r w:rsidR="00E43961" w:rsidRPr="0017697C">
              <w:rPr>
                <w:rStyle w:val="Hyperlnk"/>
                <w:noProof/>
              </w:rPr>
              <w:t>2.1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Ram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_Toc466289536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8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7" w:history="1">
            <w:r w:rsidR="00E43961" w:rsidRPr="0017697C">
              <w:rPr>
                <w:rStyle w:val="Hyperlnk"/>
                <w:noProof/>
              </w:rPr>
              <w:t>2.2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Urval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_Toc466289537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8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8" w:history="1">
            <w:r w:rsidR="00E43961" w:rsidRPr="0017697C">
              <w:rPr>
                <w:rStyle w:val="Hyperlnk"/>
                <w:noProof/>
              </w:rPr>
              <w:t>2.3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Mätinstrument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_Toc466289538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9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39" w:history="1">
            <w:r w:rsidR="00E43961" w:rsidRPr="0017697C">
              <w:rPr>
                <w:rStyle w:val="Hyperlnk"/>
                <w:noProof/>
              </w:rPr>
              <w:t>2.4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Insamling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_Toc466289539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9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0" w:history="1">
            <w:r w:rsidR="00E43961" w:rsidRPr="0017697C">
              <w:rPr>
                <w:rStyle w:val="Hyperlnk"/>
                <w:noProof/>
              </w:rPr>
              <w:t>2.5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Databeredning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_Toc466289540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9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1"/>
            <w:tabs>
              <w:tab w:val="left" w:pos="442"/>
              <w:tab w:val="right" w:leader="dot" w:pos="679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sv-SE"/>
            </w:rPr>
          </w:pPr>
          <w:hyperlink w:anchor="_Toc466289541" w:history="1">
            <w:r w:rsidR="00E43961" w:rsidRPr="0017697C">
              <w:rPr>
                <w:rStyle w:val="Hyperlnk"/>
                <w:noProof/>
              </w:rPr>
              <w:t>3</w:t>
            </w:r>
            <w:r w:rsidR="00E43961">
              <w:rPr>
                <w:rFonts w:asciiTheme="minorHAnsi" w:eastAsiaTheme="minorEastAsia" w:hAnsiTheme="minorHAnsi"/>
                <w:b w:val="0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Statistisk bearbetning: antaganden och  beräkningsformler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_Toc466289541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10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1"/>
            <w:tabs>
              <w:tab w:val="left" w:pos="442"/>
              <w:tab w:val="right" w:leader="dot" w:pos="679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sv-SE"/>
            </w:rPr>
          </w:pPr>
          <w:hyperlink w:anchor="_Toc466289542" w:history="1">
            <w:r w:rsidR="00E43961" w:rsidRPr="0017697C">
              <w:rPr>
                <w:rStyle w:val="Hyperlnk"/>
                <w:noProof/>
              </w:rPr>
              <w:t>4</w:t>
            </w:r>
            <w:r w:rsidR="00E43961">
              <w:rPr>
                <w:rFonts w:asciiTheme="minorHAnsi" w:eastAsiaTheme="minorEastAsia" w:hAnsiTheme="minorHAnsi"/>
                <w:b w:val="0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Slutliga observationsregister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_Toc466289542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10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3" w:history="1">
            <w:r w:rsidR="00E43961" w:rsidRPr="0017697C">
              <w:rPr>
                <w:rStyle w:val="Hyperlnk"/>
                <w:noProof/>
              </w:rPr>
              <w:t>4.1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Produktionsversioner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_Toc466289543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10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4" w:history="1">
            <w:r w:rsidR="00E43961" w:rsidRPr="0017697C">
              <w:rPr>
                <w:rStyle w:val="Hyperlnk"/>
                <w:noProof/>
              </w:rPr>
              <w:t>4.2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Arkiveringsversioner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_Toc466289544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10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5" w:history="1">
            <w:r w:rsidR="00E43961" w:rsidRPr="0017697C">
              <w:rPr>
                <w:rStyle w:val="Hyperlnk"/>
                <w:noProof/>
              </w:rPr>
              <w:t>4.3</w:t>
            </w:r>
            <w:r w:rsidR="00E43961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E43961" w:rsidRPr="0017697C">
              <w:rPr>
                <w:rStyle w:val="Hyperlnk"/>
                <w:noProof/>
              </w:rPr>
              <w:t>Erfarenheter från denna undersökningsomgång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_Toc466289545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10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1"/>
            <w:tabs>
              <w:tab w:val="right" w:leader="dot" w:pos="679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sv-SE"/>
            </w:rPr>
          </w:pPr>
          <w:hyperlink w:anchor="_Toc466289546" w:history="1">
            <w:r w:rsidR="00E43961" w:rsidRPr="0017697C">
              <w:rPr>
                <w:rStyle w:val="Hyperlnk"/>
                <w:noProof/>
              </w:rPr>
              <w:t>Bilagor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_Toc466289546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11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7" w:history="1">
            <w:r w:rsidR="00E43961" w:rsidRPr="0017697C">
              <w:rPr>
                <w:rStyle w:val="Hyperlnk"/>
                <w:noProof/>
              </w:rPr>
              <w:t>Bilaga 1 Introduktionsbrev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_Toc466289547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11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8" w:history="1">
            <w:r w:rsidR="00E43961" w:rsidRPr="0017697C">
              <w:rPr>
                <w:rStyle w:val="Hyperlnk"/>
                <w:noProof/>
              </w:rPr>
              <w:t>Bilaga 2 Frågeformulär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_Toc466289548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13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49" w:history="1">
            <w:r w:rsidR="00E43961" w:rsidRPr="0017697C">
              <w:rPr>
                <w:rStyle w:val="Hyperlnk"/>
                <w:noProof/>
              </w:rPr>
              <w:t>Bilaga 3 Påminnelsebrev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_Toc466289549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14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E43961" w:rsidRDefault="00713AB9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466289550" w:history="1">
            <w:r w:rsidR="00E43961" w:rsidRPr="0017697C">
              <w:rPr>
                <w:rStyle w:val="Hyperlnk"/>
                <w:noProof/>
              </w:rPr>
              <w:t>Bilaga 4 Urval, punktskattningar och varianser</w:t>
            </w:r>
            <w:r w:rsidR="00E43961">
              <w:rPr>
                <w:noProof/>
                <w:webHidden/>
              </w:rPr>
              <w:tab/>
            </w:r>
            <w:r w:rsidR="00E43961">
              <w:rPr>
                <w:noProof/>
                <w:webHidden/>
              </w:rPr>
              <w:fldChar w:fldCharType="begin"/>
            </w:r>
            <w:r w:rsidR="00E43961">
              <w:rPr>
                <w:noProof/>
                <w:webHidden/>
              </w:rPr>
              <w:instrText xml:space="preserve"> PAGEREF _Toc466289550 \h </w:instrText>
            </w:r>
            <w:r w:rsidR="00E43961">
              <w:rPr>
                <w:noProof/>
                <w:webHidden/>
              </w:rPr>
            </w:r>
            <w:r w:rsidR="00E43961">
              <w:rPr>
                <w:noProof/>
                <w:webHidden/>
              </w:rPr>
              <w:fldChar w:fldCharType="separate"/>
            </w:r>
            <w:r w:rsidR="00E43961">
              <w:rPr>
                <w:noProof/>
                <w:webHidden/>
              </w:rPr>
              <w:t>15</w:t>
            </w:r>
            <w:r w:rsidR="00E43961">
              <w:rPr>
                <w:noProof/>
                <w:webHidden/>
              </w:rPr>
              <w:fldChar w:fldCharType="end"/>
            </w:r>
          </w:hyperlink>
        </w:p>
        <w:p w:rsidR="00C0687E" w:rsidRDefault="00FD1D03">
          <w:r>
            <w:rPr>
              <w:sz w:val="18"/>
            </w:rPr>
            <w:fldChar w:fldCharType="end"/>
          </w:r>
        </w:p>
      </w:sdtContent>
    </w:sdt>
    <w:p w:rsidR="00CB4938" w:rsidRPr="00CB4938" w:rsidRDefault="00CB4938" w:rsidP="00CB4938">
      <w:pPr>
        <w:spacing w:after="200" w:line="276" w:lineRule="auto"/>
        <w:rPr>
          <w:rFonts w:eastAsia="Times New Roman" w:cs="Times New Roman"/>
          <w:lang w:eastAsia="sv-SE"/>
        </w:rPr>
      </w:pPr>
      <w:bookmarkStart w:id="1" w:name="_Toc350128446"/>
      <w:bookmarkStart w:id="2" w:name="_Toc323044831"/>
      <w:bookmarkStart w:id="3" w:name="_Toc389028314"/>
      <w:bookmarkStart w:id="4" w:name="_Toc423431707"/>
      <w:r w:rsidRPr="00CB4938">
        <w:rPr>
          <w:rFonts w:eastAsia="Times New Roman" w:cs="Times New Roman"/>
          <w:lang w:eastAsia="sv-SE"/>
        </w:rPr>
        <w:br w:type="page"/>
      </w:r>
    </w:p>
    <w:p w:rsidR="00C0687E" w:rsidRPr="00C0687E" w:rsidRDefault="005748EC" w:rsidP="00097DE4">
      <w:pPr>
        <w:pStyle w:val="Rubrik1"/>
        <w:spacing w:after="120"/>
        <w:rPr>
          <w:rFonts w:eastAsia="Times New Roman"/>
          <w:lang w:eastAsia="sv-SE"/>
        </w:rPr>
      </w:pPr>
      <w:bookmarkStart w:id="5" w:name="_Toc466289515"/>
      <w:r w:rsidRPr="005748EC">
        <w:rPr>
          <w:rFonts w:eastAsia="Times New Roman"/>
          <w:lang w:eastAsia="sv-SE"/>
        </w:rPr>
        <w:lastRenderedPageBreak/>
        <w:t>0</w:t>
      </w:r>
      <w:r w:rsidRPr="005748EC">
        <w:rPr>
          <w:rFonts w:eastAsia="Times New Roman"/>
          <w:lang w:eastAsia="sv-SE"/>
        </w:rPr>
        <w:tab/>
      </w:r>
      <w:bookmarkEnd w:id="1"/>
      <w:r w:rsidRPr="005748EC">
        <w:rPr>
          <w:rFonts w:eastAsia="Times New Roman"/>
          <w:lang w:eastAsia="sv-SE"/>
        </w:rPr>
        <w:t>Allmänna uppgifter</w:t>
      </w:r>
      <w:bookmarkEnd w:id="2"/>
      <w:bookmarkEnd w:id="3"/>
      <w:bookmarkEnd w:id="4"/>
      <w:bookmarkEnd w:id="5"/>
    </w:p>
    <w:p w:rsidR="005748EC" w:rsidRPr="005748EC" w:rsidRDefault="005748EC" w:rsidP="005748EC">
      <w:pPr>
        <w:pStyle w:val="Rubrik2"/>
      </w:pPr>
      <w:bookmarkStart w:id="6" w:name="_Toc350128447"/>
      <w:bookmarkStart w:id="7" w:name="_Toc323044832"/>
      <w:bookmarkStart w:id="8" w:name="_Toc389028315"/>
      <w:bookmarkStart w:id="9" w:name="_Toc423431708"/>
      <w:bookmarkStart w:id="10" w:name="_Toc466289516"/>
      <w:r w:rsidRPr="005748EC">
        <w:t>0.1</w:t>
      </w:r>
      <w:r w:rsidRPr="005748EC">
        <w:tab/>
      </w:r>
      <w:bookmarkEnd w:id="6"/>
      <w:r w:rsidRPr="005748EC">
        <w:t>Ämnesområde</w:t>
      </w:r>
      <w:bookmarkEnd w:id="7"/>
      <w:bookmarkEnd w:id="8"/>
      <w:bookmarkEnd w:id="9"/>
      <w:bookmarkEnd w:id="10"/>
    </w:p>
    <w:p w:rsidR="00AA23DD" w:rsidRDefault="009E061C" w:rsidP="00581C9A">
      <w:pPr>
        <w:spacing w:line="276" w:lineRule="auto"/>
      </w:pPr>
      <w:r w:rsidRPr="00EF563B">
        <w:t>Energi</w:t>
      </w:r>
      <w:r w:rsidR="000C5561">
        <w:t>.</w:t>
      </w:r>
    </w:p>
    <w:p w:rsidR="005748EC" w:rsidRPr="005748EC" w:rsidRDefault="005748EC" w:rsidP="005748EC">
      <w:pPr>
        <w:pStyle w:val="Rubrik2"/>
      </w:pPr>
      <w:bookmarkStart w:id="11" w:name="_Toc350128448"/>
      <w:bookmarkStart w:id="12" w:name="_Toc323044833"/>
      <w:bookmarkStart w:id="13" w:name="_Toc389028316"/>
      <w:bookmarkStart w:id="14" w:name="_Toc423431709"/>
      <w:bookmarkStart w:id="15" w:name="_Toc466289517"/>
      <w:r w:rsidRPr="005748EC">
        <w:t>0.2</w:t>
      </w:r>
      <w:r w:rsidRPr="005748EC">
        <w:tab/>
        <w:t>Statistikområde</w:t>
      </w:r>
      <w:bookmarkEnd w:id="11"/>
      <w:bookmarkEnd w:id="12"/>
      <w:bookmarkEnd w:id="13"/>
      <w:bookmarkEnd w:id="14"/>
      <w:bookmarkEnd w:id="15"/>
    </w:p>
    <w:p w:rsidR="005748EC" w:rsidRDefault="009E061C" w:rsidP="005748EC">
      <w:pPr>
        <w:spacing w:line="276" w:lineRule="auto"/>
      </w:pPr>
      <w:r>
        <w:t>Pr</w:t>
      </w:r>
      <w:r w:rsidR="0001140C">
        <w:t>isutveckling inom energiområdet</w:t>
      </w:r>
      <w:r w:rsidR="000C5561">
        <w:t>.</w:t>
      </w:r>
    </w:p>
    <w:p w:rsidR="005748EC" w:rsidRDefault="005748EC" w:rsidP="005748EC">
      <w:pPr>
        <w:pStyle w:val="Rubrik2"/>
      </w:pPr>
      <w:bookmarkStart w:id="16" w:name="_Toc323044834"/>
      <w:bookmarkStart w:id="17" w:name="_Toc389028317"/>
      <w:bookmarkStart w:id="18" w:name="_Toc423431710"/>
      <w:bookmarkStart w:id="19" w:name="_Toc466289518"/>
      <w:r>
        <w:t>0.3</w:t>
      </w:r>
      <w:r>
        <w:tab/>
        <w:t>SOS-klassificering</w:t>
      </w:r>
      <w:bookmarkEnd w:id="16"/>
      <w:bookmarkEnd w:id="17"/>
      <w:bookmarkEnd w:id="18"/>
      <w:bookmarkEnd w:id="19"/>
    </w:p>
    <w:p w:rsidR="009E061C" w:rsidRPr="00700C56" w:rsidRDefault="009E061C" w:rsidP="009E061C">
      <w:pPr>
        <w:spacing w:line="276" w:lineRule="auto"/>
      </w:pPr>
      <w:r w:rsidRPr="00700C56">
        <w:t>Statistiken ingår i Sveriges officiella statistik (SOS).</w:t>
      </w:r>
    </w:p>
    <w:p w:rsidR="005748EC" w:rsidRPr="005748EC" w:rsidRDefault="00A90E9A" w:rsidP="005748EC">
      <w:pPr>
        <w:spacing w:line="276" w:lineRule="auto"/>
      </w:pPr>
      <w:r>
        <w:rPr>
          <w:noProof/>
          <w:lang w:eastAsia="sv-SE"/>
        </w:rPr>
        <w:drawing>
          <wp:inline distT="0" distB="0" distL="0" distR="0" wp14:anchorId="5987EEEA" wp14:editId="4EE5681D">
            <wp:extent cx="2066925" cy="304800"/>
            <wp:effectExtent l="0" t="0" r="9525" b="0"/>
            <wp:docPr id="10" name="Bildobjekt 10" descr="C:\Users\scbhema\AppData\Local\Microsoft\Windows\INetCache\Content.Outlook\TLOMW23X\sos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bhema\AppData\Local\Microsoft\Windows\INetCache\Content.Outlook\TLOMW23X\sos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EC" w:rsidRPr="00096B97" w:rsidRDefault="005748EC" w:rsidP="005748EC">
      <w:pPr>
        <w:spacing w:line="276" w:lineRule="auto"/>
      </w:pPr>
      <w:r w:rsidRPr="00096B97">
        <w:t xml:space="preserve">För statistik som ingår i Sveriges officiella statistik (SOS) gäller särskilda regler för kvalitet och tillgänglighet, </w:t>
      </w:r>
      <w:r w:rsidRPr="00096B97">
        <w:rPr>
          <w:rStyle w:val="Hyperlnk"/>
          <w:rFonts w:eastAsia="Times New Roman" w:cs="Times New Roman"/>
          <w:color w:val="auto"/>
          <w:u w:val="none"/>
          <w:lang w:eastAsia="sv-SE"/>
        </w:rPr>
        <w:t>se</w:t>
      </w:r>
      <w:r w:rsidR="00987237" w:rsidRPr="00096B97">
        <w:rPr>
          <w:rStyle w:val="Hyperlnk"/>
          <w:rFonts w:eastAsia="Times New Roman" w:cs="Times New Roman"/>
          <w:color w:val="auto"/>
          <w:u w:val="none"/>
          <w:lang w:eastAsia="sv-SE"/>
        </w:rPr>
        <w:t xml:space="preserve"> </w:t>
      </w:r>
      <w:hyperlink r:id="rId10" w:history="1">
        <w:r w:rsidR="00AA76AB" w:rsidRPr="00AA76AB">
          <w:rPr>
            <w:rStyle w:val="Hyperlnk"/>
            <w:rFonts w:eastAsia="Times New Roman" w:cs="Times New Roman"/>
            <w:iCs/>
            <w:lang w:eastAsia="sv-SE"/>
          </w:rPr>
          <w:t>Förordning (2001:100)</w:t>
        </w:r>
      </w:hyperlink>
      <w:r w:rsidR="00AA76AB" w:rsidRPr="00AA76AB">
        <w:rPr>
          <w:rStyle w:val="Hyperlnk"/>
          <w:rFonts w:eastAsia="Times New Roman" w:cs="Times New Roman"/>
          <w:iCs/>
          <w:lang w:eastAsia="sv-SE"/>
        </w:rPr>
        <w:t xml:space="preserve"> om den officiella statistiken</w:t>
      </w:r>
      <w:r w:rsidRPr="00AA76AB">
        <w:t>.</w:t>
      </w:r>
    </w:p>
    <w:p w:rsidR="005748EC" w:rsidRDefault="005748EC" w:rsidP="004832A9">
      <w:pPr>
        <w:pStyle w:val="Rubrik2"/>
        <w:spacing w:after="120"/>
      </w:pPr>
      <w:bookmarkStart w:id="20" w:name="_Toc350128450"/>
      <w:bookmarkStart w:id="21" w:name="_Toc323044835"/>
      <w:bookmarkStart w:id="22" w:name="_Toc389028318"/>
      <w:bookmarkStart w:id="23" w:name="_Toc423431711"/>
      <w:bookmarkStart w:id="24" w:name="_Toc466289519"/>
      <w:r>
        <w:t>0.4</w:t>
      </w:r>
      <w:r>
        <w:tab/>
      </w:r>
      <w:bookmarkEnd w:id="20"/>
      <w:r>
        <w:t>Statistikansvarig</w:t>
      </w:r>
      <w:bookmarkEnd w:id="21"/>
      <w:bookmarkEnd w:id="22"/>
      <w:bookmarkEnd w:id="23"/>
      <w:bookmarkEnd w:id="24"/>
    </w:p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2665"/>
        <w:gridCol w:w="4531"/>
      </w:tblGrid>
      <w:tr w:rsidR="00EB759A" w:rsidRPr="00EB759A" w:rsidTr="00832005">
        <w:tc>
          <w:tcPr>
            <w:tcW w:w="2665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Myndighet/organisation</w:t>
            </w:r>
          </w:p>
        </w:tc>
        <w:tc>
          <w:tcPr>
            <w:tcW w:w="4531" w:type="dxa"/>
          </w:tcPr>
          <w:p w:rsidR="00EB759A" w:rsidRPr="00EB759A" w:rsidRDefault="009E061C" w:rsidP="00EB759A">
            <w:pPr>
              <w:spacing w:line="276" w:lineRule="auto"/>
              <w:rPr>
                <w:i/>
                <w:iCs/>
              </w:rPr>
            </w:pPr>
            <w:r>
              <w:rPr>
                <w:iCs/>
              </w:rPr>
              <w:t>Energimyndigheten</w:t>
            </w:r>
          </w:p>
        </w:tc>
      </w:tr>
      <w:tr w:rsidR="00EB759A" w:rsidRPr="00EB759A" w:rsidTr="00832005">
        <w:tc>
          <w:tcPr>
            <w:tcW w:w="2665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Postadress</w:t>
            </w:r>
          </w:p>
        </w:tc>
        <w:tc>
          <w:tcPr>
            <w:tcW w:w="4531" w:type="dxa"/>
          </w:tcPr>
          <w:p w:rsidR="00EB759A" w:rsidRPr="00EB759A" w:rsidRDefault="009E061C" w:rsidP="00EB759A">
            <w:pPr>
              <w:spacing w:line="276" w:lineRule="auto"/>
              <w:rPr>
                <w:i/>
                <w:iCs/>
              </w:rPr>
            </w:pPr>
            <w:r w:rsidRPr="00F61D80">
              <w:rPr>
                <w:iCs/>
              </w:rPr>
              <w:t>Box 310, 631 04</w:t>
            </w:r>
            <w:r w:rsidR="009D59E2">
              <w:rPr>
                <w:iCs/>
              </w:rPr>
              <w:t xml:space="preserve"> </w:t>
            </w:r>
            <w:r w:rsidRPr="00F61D80">
              <w:rPr>
                <w:iCs/>
              </w:rPr>
              <w:t>Eskilstuna</w:t>
            </w:r>
          </w:p>
        </w:tc>
      </w:tr>
      <w:tr w:rsidR="00EB759A" w:rsidRPr="00EB759A" w:rsidTr="00832005">
        <w:tc>
          <w:tcPr>
            <w:tcW w:w="2665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Kontaktperson</w:t>
            </w:r>
          </w:p>
        </w:tc>
        <w:tc>
          <w:tcPr>
            <w:tcW w:w="4531" w:type="dxa"/>
          </w:tcPr>
          <w:p w:rsidR="00EB759A" w:rsidRPr="009E061C" w:rsidRDefault="009E061C" w:rsidP="00EB759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Johan Harrysson</w:t>
            </w:r>
          </w:p>
        </w:tc>
      </w:tr>
      <w:tr w:rsidR="00EB759A" w:rsidRPr="00EB759A" w:rsidTr="00832005">
        <w:tc>
          <w:tcPr>
            <w:tcW w:w="2665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Telefon</w:t>
            </w:r>
          </w:p>
        </w:tc>
        <w:tc>
          <w:tcPr>
            <w:tcW w:w="4531" w:type="dxa"/>
          </w:tcPr>
          <w:p w:rsidR="00EB759A" w:rsidRPr="009E061C" w:rsidRDefault="009E061C" w:rsidP="00EB759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016 – 544 22 83</w:t>
            </w:r>
          </w:p>
        </w:tc>
      </w:tr>
      <w:tr w:rsidR="00EB759A" w:rsidRPr="00EB759A" w:rsidTr="00832005">
        <w:tc>
          <w:tcPr>
            <w:tcW w:w="2665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  <w:lang w:val="de-DE"/>
              </w:rPr>
              <w:t>E-post</w:t>
            </w:r>
          </w:p>
        </w:tc>
        <w:tc>
          <w:tcPr>
            <w:tcW w:w="4531" w:type="dxa"/>
          </w:tcPr>
          <w:p w:rsidR="00EB759A" w:rsidRPr="00EB759A" w:rsidRDefault="009E061C" w:rsidP="00EB759A">
            <w:pPr>
              <w:spacing w:line="276" w:lineRule="auto"/>
              <w:rPr>
                <w:i/>
                <w:iCs/>
              </w:rPr>
            </w:pPr>
            <w:r w:rsidRPr="00F61D80">
              <w:rPr>
                <w:iCs/>
                <w:lang w:val="en-US"/>
              </w:rPr>
              <w:t>fornamn.efternamn@energimyndigheten.se</w:t>
            </w:r>
          </w:p>
        </w:tc>
      </w:tr>
    </w:tbl>
    <w:p w:rsidR="00EB759A" w:rsidRPr="00EB759A" w:rsidRDefault="00EB759A" w:rsidP="004832A9">
      <w:pPr>
        <w:pStyle w:val="Rubrik2"/>
        <w:spacing w:after="120"/>
      </w:pPr>
      <w:bookmarkStart w:id="25" w:name="_Toc350128451"/>
      <w:bookmarkStart w:id="26" w:name="_Toc323044836"/>
      <w:bookmarkStart w:id="27" w:name="_Toc389028319"/>
      <w:bookmarkStart w:id="28" w:name="_Toc423431712"/>
      <w:bookmarkStart w:id="29" w:name="_Toc466289520"/>
      <w:r w:rsidRPr="00EB759A">
        <w:t>0.5</w:t>
      </w:r>
      <w:r w:rsidRPr="00EB759A">
        <w:tab/>
      </w:r>
      <w:bookmarkEnd w:id="25"/>
      <w:r w:rsidRPr="00EB759A">
        <w:t>Statistikproducent</w:t>
      </w:r>
      <w:bookmarkEnd w:id="26"/>
      <w:bookmarkEnd w:id="27"/>
      <w:bookmarkEnd w:id="28"/>
      <w:bookmarkEnd w:id="29"/>
    </w:p>
    <w:p w:rsidR="008C20A2" w:rsidRDefault="008C20A2" w:rsidP="00EB759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i/>
          <w:vanish/>
          <w:color w:val="0000FF"/>
          <w:sz w:val="20"/>
          <w:szCs w:val="20"/>
          <w:lang w:eastAsia="sv-SE"/>
        </w:rPr>
        <w:sectPr w:rsidR="008C20A2" w:rsidSect="00441F2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2552" w:bottom="1134" w:left="2552" w:header="567" w:footer="567" w:gutter="0"/>
          <w:cols w:space="708"/>
          <w:titlePg/>
          <w:docGrid w:linePitch="360"/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4216"/>
      </w:tblGrid>
      <w:tr w:rsidR="00EB759A" w:rsidRPr="00EB759A" w:rsidTr="00096B97">
        <w:tc>
          <w:tcPr>
            <w:tcW w:w="2802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Myndighet/organisation</w:t>
            </w:r>
          </w:p>
        </w:tc>
        <w:tc>
          <w:tcPr>
            <w:tcW w:w="4216" w:type="dxa"/>
          </w:tcPr>
          <w:p w:rsidR="00EB759A" w:rsidRPr="00EB759A" w:rsidRDefault="009E061C" w:rsidP="00EB759A">
            <w:pPr>
              <w:spacing w:line="276" w:lineRule="auto"/>
              <w:rPr>
                <w:i/>
                <w:iCs/>
              </w:rPr>
            </w:pPr>
            <w:r w:rsidRPr="00F61D80">
              <w:rPr>
                <w:iCs/>
              </w:rPr>
              <w:t>Statistiska centralbyrån</w:t>
            </w:r>
          </w:p>
        </w:tc>
      </w:tr>
      <w:tr w:rsidR="00EB759A" w:rsidRPr="00EB759A" w:rsidTr="00096B97">
        <w:tc>
          <w:tcPr>
            <w:tcW w:w="2802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Postadress</w:t>
            </w:r>
          </w:p>
        </w:tc>
        <w:tc>
          <w:tcPr>
            <w:tcW w:w="4216" w:type="dxa"/>
          </w:tcPr>
          <w:p w:rsidR="00EB759A" w:rsidRPr="00EB759A" w:rsidRDefault="009E061C" w:rsidP="00EB759A">
            <w:pPr>
              <w:spacing w:line="276" w:lineRule="auto"/>
              <w:rPr>
                <w:i/>
                <w:iCs/>
              </w:rPr>
            </w:pPr>
            <w:r w:rsidRPr="00F61D80">
              <w:rPr>
                <w:iCs/>
              </w:rPr>
              <w:t>701 89 Örebro</w:t>
            </w:r>
          </w:p>
        </w:tc>
      </w:tr>
      <w:tr w:rsidR="00EB759A" w:rsidRPr="00EB759A" w:rsidTr="00096B97">
        <w:tc>
          <w:tcPr>
            <w:tcW w:w="2802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Kontaktperson</w:t>
            </w:r>
          </w:p>
        </w:tc>
        <w:tc>
          <w:tcPr>
            <w:tcW w:w="4216" w:type="dxa"/>
          </w:tcPr>
          <w:p w:rsidR="00EB759A" w:rsidRPr="009E061C" w:rsidRDefault="009E061C" w:rsidP="00EB759A">
            <w:pPr>
              <w:spacing w:line="276" w:lineRule="auto"/>
              <w:rPr>
                <w:iCs/>
              </w:rPr>
            </w:pPr>
            <w:r w:rsidRPr="009E061C">
              <w:rPr>
                <w:iCs/>
              </w:rPr>
              <w:t>Emilia Hygstedt</w:t>
            </w:r>
          </w:p>
        </w:tc>
      </w:tr>
      <w:tr w:rsidR="00EB759A" w:rsidRPr="00EB759A" w:rsidTr="00096B97">
        <w:tc>
          <w:tcPr>
            <w:tcW w:w="2802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</w:rPr>
              <w:t>Telefon</w:t>
            </w:r>
          </w:p>
        </w:tc>
        <w:tc>
          <w:tcPr>
            <w:tcW w:w="4216" w:type="dxa"/>
          </w:tcPr>
          <w:p w:rsidR="00EB759A" w:rsidRPr="009E061C" w:rsidRDefault="009E061C" w:rsidP="00EB759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  <w:r w:rsidR="006B54E3">
              <w:rPr>
                <w:iCs/>
              </w:rPr>
              <w:t>10</w:t>
            </w:r>
            <w:r>
              <w:rPr>
                <w:iCs/>
              </w:rPr>
              <w:t xml:space="preserve"> – </w:t>
            </w:r>
            <w:r w:rsidR="006B54E3">
              <w:rPr>
                <w:iCs/>
              </w:rPr>
              <w:t>479</w:t>
            </w:r>
            <w:r>
              <w:rPr>
                <w:iCs/>
              </w:rPr>
              <w:t xml:space="preserve"> 64 19</w:t>
            </w:r>
          </w:p>
        </w:tc>
      </w:tr>
      <w:tr w:rsidR="00EB759A" w:rsidRPr="00EB759A" w:rsidTr="00096B97">
        <w:tc>
          <w:tcPr>
            <w:tcW w:w="2802" w:type="dxa"/>
          </w:tcPr>
          <w:p w:rsidR="00EB759A" w:rsidRPr="00096B97" w:rsidRDefault="00EB759A" w:rsidP="00EB759A">
            <w:pPr>
              <w:spacing w:line="276" w:lineRule="auto"/>
              <w:rPr>
                <w:b/>
                <w:iCs/>
              </w:rPr>
            </w:pPr>
            <w:r w:rsidRPr="00096B97">
              <w:rPr>
                <w:b/>
                <w:iCs/>
                <w:lang w:val="de-DE"/>
              </w:rPr>
              <w:t>E-post</w:t>
            </w:r>
          </w:p>
        </w:tc>
        <w:tc>
          <w:tcPr>
            <w:tcW w:w="4216" w:type="dxa"/>
          </w:tcPr>
          <w:p w:rsidR="00EB759A" w:rsidRPr="00EB759A" w:rsidRDefault="009E061C" w:rsidP="00EB759A">
            <w:pPr>
              <w:spacing w:line="276" w:lineRule="auto"/>
              <w:rPr>
                <w:i/>
                <w:iCs/>
              </w:rPr>
            </w:pPr>
            <w:r w:rsidRPr="00F61D80">
              <w:rPr>
                <w:iCs/>
                <w:lang w:val="en-US"/>
              </w:rPr>
              <w:t>fornamn.efternamn@scb.se</w:t>
            </w:r>
          </w:p>
        </w:tc>
      </w:tr>
    </w:tbl>
    <w:p w:rsidR="00EB759A" w:rsidRDefault="00EB759A" w:rsidP="00581C9A">
      <w:pPr>
        <w:pStyle w:val="Rubrik2"/>
        <w:spacing w:before="240"/>
      </w:pPr>
      <w:bookmarkStart w:id="30" w:name="_Toc466289521"/>
      <w:r w:rsidRPr="00EB759A">
        <w:t>0.6</w:t>
      </w:r>
      <w:r w:rsidRPr="00EB759A">
        <w:tab/>
        <w:t>Uppgiftsskyldighet</w:t>
      </w:r>
      <w:bookmarkEnd w:id="30"/>
    </w:p>
    <w:p w:rsidR="000664B7" w:rsidRDefault="000664B7" w:rsidP="00097DE4">
      <w:pPr>
        <w:jc w:val="both"/>
      </w:pPr>
      <w:r w:rsidRPr="003E49FC">
        <w:t xml:space="preserve">Uppgiftsskyldighet föreligger enligt lagen om den officiella statistiken (SFS 2001: 99) och förordningen (SFS 2001:100) om den officiella statistiken samt </w:t>
      </w:r>
      <w:r>
        <w:t>Energimyndighetens (</w:t>
      </w:r>
      <w:r w:rsidRPr="003E49FC">
        <w:t>STEM:s</w:t>
      </w:r>
      <w:r>
        <w:t>)</w:t>
      </w:r>
      <w:r w:rsidRPr="003E49FC">
        <w:t xml:space="preserve"> föreskrifter (STEMFS 200</w:t>
      </w:r>
      <w:r w:rsidR="006B54E3">
        <w:t>6</w:t>
      </w:r>
      <w:r w:rsidRPr="003E49FC">
        <w:t>:1).</w:t>
      </w:r>
      <w:r>
        <w:t xml:space="preserve"> </w:t>
      </w:r>
    </w:p>
    <w:p w:rsidR="004C2607" w:rsidRDefault="004C2607" w:rsidP="00B805D8">
      <w:pPr>
        <w:pStyle w:val="Rubrik2"/>
        <w:ind w:left="1276" w:hanging="1276"/>
      </w:pPr>
      <w:bookmarkStart w:id="31" w:name="_Toc350128453"/>
      <w:bookmarkStart w:id="32" w:name="_Toc323044838"/>
      <w:bookmarkStart w:id="33" w:name="_Toc389028321"/>
      <w:bookmarkStart w:id="34" w:name="_Toc423431714"/>
      <w:bookmarkStart w:id="35" w:name="_Toc466289522"/>
      <w:r>
        <w:t>0.7</w:t>
      </w:r>
      <w:r>
        <w:tab/>
        <w:t>Sekretess och regler för behandling av</w:t>
      </w:r>
      <w:r w:rsidR="00D16473">
        <w:t xml:space="preserve"> </w:t>
      </w:r>
      <w:r w:rsidR="00B805D8">
        <w:br/>
      </w:r>
      <w:r>
        <w:t>personuppgifter</w:t>
      </w:r>
      <w:bookmarkEnd w:id="31"/>
      <w:bookmarkEnd w:id="32"/>
      <w:bookmarkEnd w:id="33"/>
      <w:bookmarkEnd w:id="34"/>
      <w:bookmarkEnd w:id="35"/>
    </w:p>
    <w:p w:rsidR="00F86C1B" w:rsidRPr="00F61D80" w:rsidRDefault="00F86C1B" w:rsidP="00F86C1B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iCs/>
          <w:lang w:eastAsia="sv-SE"/>
        </w:rPr>
      </w:pPr>
      <w:r w:rsidRPr="00F61D80">
        <w:rPr>
          <w:rFonts w:eastAsia="Times New Roman" w:cs="Times New Roman"/>
          <w:iCs/>
          <w:lang w:eastAsia="sv-SE"/>
        </w:rPr>
        <w:t>I myndigheternas särskilda verksamhet för framställning av statistik gälle</w:t>
      </w:r>
      <w:r>
        <w:rPr>
          <w:rFonts w:eastAsia="Times New Roman" w:cs="Times New Roman"/>
          <w:iCs/>
          <w:lang w:eastAsia="sv-SE"/>
        </w:rPr>
        <w:t xml:space="preserve">r sekretess enligt 24 kap. 8 § </w:t>
      </w:r>
      <w:hyperlink r:id="rId15" w:history="1">
        <w:r w:rsidRPr="00681E58">
          <w:rPr>
            <w:rStyle w:val="Hyperlnk"/>
            <w:rFonts w:eastAsia="Times New Roman" w:cs="Times New Roman"/>
            <w:iCs/>
            <w:lang w:eastAsia="sv-SE"/>
          </w:rPr>
          <w:t xml:space="preserve">Offentlighets- och sekretesslag </w:t>
        </w:r>
        <w:r w:rsidRPr="00681E58">
          <w:rPr>
            <w:rStyle w:val="Hyperlnk"/>
            <w:rFonts w:eastAsia="Times New Roman" w:cs="Times New Roman"/>
            <w:b/>
            <w:iCs/>
            <w:lang w:eastAsia="sv-SE"/>
          </w:rPr>
          <w:t>(2009:400)</w:t>
        </w:r>
      </w:hyperlink>
      <w:r w:rsidRPr="00F61D80">
        <w:rPr>
          <w:rFonts w:eastAsia="Times New Roman" w:cs="Times New Roman"/>
          <w:iCs/>
          <w:lang w:eastAsia="sv-SE"/>
        </w:rPr>
        <w:t>.</w:t>
      </w:r>
    </w:p>
    <w:p w:rsidR="00F86C1B" w:rsidRPr="00543446" w:rsidRDefault="00F86C1B" w:rsidP="00F86C1B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r w:rsidRPr="00F61D80">
        <w:rPr>
          <w:rFonts w:eastAsia="Times New Roman" w:cs="Times New Roman"/>
          <w:lang w:eastAsia="sv-SE"/>
        </w:rPr>
        <w:t xml:space="preserve">För att skydda enskilda personers eller företags sekretessbelagda uppgifter i den offentliggjorda statistiken, </w:t>
      </w:r>
      <w:r w:rsidRPr="00F61D80">
        <w:rPr>
          <w:rFonts w:eastAsia="Times New Roman" w:cs="Times New Roman"/>
          <w:iCs/>
          <w:lang w:eastAsia="sv-SE"/>
        </w:rPr>
        <w:t>säkerställs att de inte kan röjas varken direkt eller indirekt.</w:t>
      </w:r>
    </w:p>
    <w:p w:rsidR="00EB759A" w:rsidRPr="00444C8A" w:rsidRDefault="00F86C1B" w:rsidP="00444C8A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iCs/>
          <w:lang w:eastAsia="sv-SE"/>
        </w:rPr>
      </w:pPr>
      <w:r w:rsidRPr="00F61D80">
        <w:rPr>
          <w:rFonts w:eastAsia="Times New Roman" w:cs="Times New Roman"/>
          <w:iCs/>
          <w:lang w:eastAsia="sv-SE"/>
        </w:rPr>
        <w:t>Vid automatiserad behandling av personuppgifter gäller</w:t>
      </w:r>
      <w:r>
        <w:rPr>
          <w:rFonts w:eastAsia="Times New Roman" w:cs="Times New Roman"/>
          <w:iCs/>
          <w:lang w:eastAsia="sv-SE"/>
        </w:rPr>
        <w:t xml:space="preserve"> reglerna i </w:t>
      </w:r>
      <w:hyperlink r:id="rId16" w:history="1">
        <w:r w:rsidRPr="00681E58">
          <w:rPr>
            <w:rStyle w:val="Hyperlnk"/>
            <w:rFonts w:eastAsia="Times New Roman" w:cs="Times New Roman"/>
            <w:iCs/>
            <w:lang w:eastAsia="sv-SE"/>
          </w:rPr>
          <w:t xml:space="preserve">Personuppgiftslag </w:t>
        </w:r>
        <w:r w:rsidRPr="00681E58">
          <w:rPr>
            <w:rStyle w:val="Hyperlnk"/>
            <w:rFonts w:eastAsia="Times New Roman" w:cs="Times New Roman"/>
            <w:b/>
            <w:iCs/>
            <w:lang w:eastAsia="sv-SE"/>
          </w:rPr>
          <w:t>(1998:204)</w:t>
        </w:r>
      </w:hyperlink>
      <w:r w:rsidRPr="00F61D80">
        <w:rPr>
          <w:rFonts w:eastAsia="Times New Roman" w:cs="Times New Roman"/>
          <w:iCs/>
          <w:lang w:eastAsia="sv-SE"/>
        </w:rPr>
        <w:t xml:space="preserve">. För statistik finns också särskilda regler </w:t>
      </w:r>
      <w:r>
        <w:rPr>
          <w:rFonts w:eastAsia="Times New Roman" w:cs="Times New Roman"/>
          <w:iCs/>
          <w:lang w:eastAsia="sv-SE"/>
        </w:rPr>
        <w:t xml:space="preserve">för personuppgiftsbehandling i </w:t>
      </w:r>
      <w:hyperlink r:id="rId17" w:history="1">
        <w:r w:rsidRPr="00681E58">
          <w:rPr>
            <w:rStyle w:val="Hyperlnk"/>
            <w:rFonts w:eastAsia="Times New Roman" w:cs="Times New Roman"/>
            <w:iCs/>
            <w:lang w:eastAsia="sv-SE"/>
          </w:rPr>
          <w:t xml:space="preserve">Lag </w:t>
        </w:r>
        <w:r w:rsidRPr="00681E58">
          <w:rPr>
            <w:rStyle w:val="Hyperlnk"/>
            <w:rFonts w:eastAsia="Times New Roman" w:cs="Times New Roman"/>
            <w:b/>
            <w:iCs/>
            <w:lang w:eastAsia="sv-SE"/>
          </w:rPr>
          <w:t xml:space="preserve">(2001:99) </w:t>
        </w:r>
        <w:r w:rsidRPr="00681E58">
          <w:rPr>
            <w:rStyle w:val="Hyperlnk"/>
            <w:rFonts w:eastAsia="Times New Roman" w:cs="Times New Roman"/>
            <w:iCs/>
            <w:lang w:eastAsia="sv-SE"/>
          </w:rPr>
          <w:t>om den officiella statistiken</w:t>
        </w:r>
      </w:hyperlink>
      <w:r w:rsidRPr="00F61D80">
        <w:rPr>
          <w:rFonts w:eastAsia="Times New Roman" w:cs="Times New Roman"/>
          <w:iCs/>
          <w:lang w:eastAsia="sv-SE"/>
        </w:rPr>
        <w:t xml:space="preserve"> </w:t>
      </w:r>
      <w:r>
        <w:rPr>
          <w:rFonts w:eastAsia="Times New Roman" w:cs="Times New Roman"/>
          <w:iCs/>
          <w:lang w:eastAsia="sv-SE"/>
        </w:rPr>
        <w:t xml:space="preserve">och </w:t>
      </w:r>
      <w:hyperlink r:id="rId18" w:history="1">
        <w:r w:rsidRPr="00681E58">
          <w:rPr>
            <w:rStyle w:val="Hyperlnk"/>
            <w:rFonts w:eastAsia="Times New Roman" w:cs="Times New Roman"/>
            <w:iCs/>
            <w:lang w:eastAsia="sv-SE"/>
          </w:rPr>
          <w:t xml:space="preserve">Förordning </w:t>
        </w:r>
        <w:r w:rsidRPr="00681E58">
          <w:rPr>
            <w:rStyle w:val="Hyperlnk"/>
            <w:rFonts w:eastAsia="Times New Roman" w:cs="Times New Roman"/>
            <w:b/>
            <w:iCs/>
            <w:lang w:eastAsia="sv-SE"/>
          </w:rPr>
          <w:t>(2001:100)</w:t>
        </w:r>
      </w:hyperlink>
      <w:r w:rsidR="00444C8A">
        <w:rPr>
          <w:rFonts w:eastAsia="Times New Roman" w:cs="Times New Roman"/>
          <w:iCs/>
          <w:lang w:eastAsia="sv-SE"/>
        </w:rPr>
        <w:t>.</w:t>
      </w:r>
    </w:p>
    <w:p w:rsidR="004C2607" w:rsidRDefault="004C2607" w:rsidP="004C2607">
      <w:pPr>
        <w:pStyle w:val="Rubrik2"/>
      </w:pPr>
      <w:bookmarkStart w:id="36" w:name="_Toc423431715"/>
      <w:bookmarkStart w:id="37" w:name="_Toc466289523"/>
      <w:r>
        <w:t>0.8</w:t>
      </w:r>
      <w:r>
        <w:tab/>
      </w:r>
      <w:r w:rsidRPr="001107A2">
        <w:t>Gallringsföreskrifter</w:t>
      </w:r>
      <w:bookmarkEnd w:id="36"/>
      <w:bookmarkEnd w:id="37"/>
    </w:p>
    <w:p w:rsidR="000664B7" w:rsidRDefault="000664B7" w:rsidP="00833A14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v-SE"/>
        </w:rPr>
      </w:pPr>
      <w:r w:rsidRPr="00F075C7">
        <w:rPr>
          <w:lang w:eastAsia="sv-SE"/>
        </w:rPr>
        <w:t>Formulär med primäruppgifter tillhörande statistiska undersökningar inom energiområdet gallras med stöd av Riksarkivets föreskrift RA-MS 2015:57, 1 år efter att respektive undersökning har avslutats och under förutsättning att uppgifterna bevaras i slutliga observationsregister.</w:t>
      </w:r>
    </w:p>
    <w:p w:rsidR="004C2607" w:rsidRDefault="00AC17B6" w:rsidP="00CE5063">
      <w:pPr>
        <w:pStyle w:val="Rubrik2"/>
      </w:pPr>
      <w:bookmarkStart w:id="38" w:name="_Toc350128455"/>
      <w:bookmarkStart w:id="39" w:name="_Toc323044840"/>
      <w:bookmarkStart w:id="40" w:name="_Toc389028323"/>
      <w:bookmarkStart w:id="41" w:name="_Toc423431716"/>
      <w:bookmarkStart w:id="42" w:name="_Toc466289524"/>
      <w:r>
        <w:t>0.9</w:t>
      </w:r>
      <w:r>
        <w:tab/>
      </w:r>
      <w:r w:rsidR="004C2607">
        <w:t>EU-reglering</w:t>
      </w:r>
      <w:bookmarkEnd w:id="38"/>
      <w:bookmarkEnd w:id="39"/>
      <w:bookmarkEnd w:id="40"/>
      <w:bookmarkEnd w:id="41"/>
      <w:bookmarkEnd w:id="42"/>
    </w:p>
    <w:p w:rsidR="000664B7" w:rsidRPr="00EF563B" w:rsidRDefault="000664B7" w:rsidP="00833A14">
      <w:pPr>
        <w:tabs>
          <w:tab w:val="left" w:pos="709"/>
          <w:tab w:val="left" w:pos="1701"/>
        </w:tabs>
        <w:spacing w:line="276" w:lineRule="auto"/>
      </w:pPr>
      <w:r>
        <w:t>S</w:t>
      </w:r>
      <w:r w:rsidRPr="00EF563B">
        <w:t>tatistiken är inte EU-reglerad.</w:t>
      </w:r>
    </w:p>
    <w:p w:rsidR="004C2607" w:rsidRDefault="004C2607" w:rsidP="004C2607">
      <w:pPr>
        <w:pStyle w:val="Rubrik2"/>
      </w:pPr>
      <w:bookmarkStart w:id="43" w:name="_Toc323044841"/>
      <w:bookmarkStart w:id="44" w:name="_Toc389028324"/>
      <w:bookmarkStart w:id="45" w:name="_Toc423431717"/>
      <w:bookmarkStart w:id="46" w:name="_Toc466289525"/>
      <w:r>
        <w:t>0.10</w:t>
      </w:r>
      <w:r>
        <w:tab/>
        <w:t>Syfte och historik</w:t>
      </w:r>
      <w:bookmarkEnd w:id="43"/>
      <w:bookmarkEnd w:id="44"/>
      <w:bookmarkEnd w:id="45"/>
      <w:bookmarkEnd w:id="46"/>
    </w:p>
    <w:p w:rsidR="00584007" w:rsidRPr="00E82CD1" w:rsidRDefault="00584007" w:rsidP="00584007">
      <w:pPr>
        <w:tabs>
          <w:tab w:val="left" w:pos="851"/>
        </w:tabs>
        <w:rPr>
          <w:iCs/>
        </w:rPr>
      </w:pPr>
      <w:r>
        <w:rPr>
          <w:iCs/>
        </w:rPr>
        <w:t>S</w:t>
      </w:r>
      <w:r w:rsidRPr="00E82CD1">
        <w:rPr>
          <w:iCs/>
        </w:rPr>
        <w:t>yfte</w:t>
      </w:r>
      <w:r>
        <w:rPr>
          <w:iCs/>
        </w:rPr>
        <w:t>t</w:t>
      </w:r>
      <w:r w:rsidR="007277A3">
        <w:rPr>
          <w:iCs/>
        </w:rPr>
        <w:t xml:space="preserve"> med undersökningen</w:t>
      </w:r>
      <w:r w:rsidRPr="00E82CD1">
        <w:rPr>
          <w:iCs/>
        </w:rPr>
        <w:t xml:space="preserve"> är att skatta medelpriser för </w:t>
      </w:r>
      <w:r w:rsidR="00FB6143">
        <w:rPr>
          <w:iCs/>
        </w:rPr>
        <w:t>de trädbränslen och</w:t>
      </w:r>
      <w:r>
        <w:rPr>
          <w:iCs/>
        </w:rPr>
        <w:t xml:space="preserve"> torv</w:t>
      </w:r>
      <w:r w:rsidRPr="00E82CD1">
        <w:rPr>
          <w:iCs/>
        </w:rPr>
        <w:t xml:space="preserve"> som används för </w:t>
      </w:r>
      <w:r>
        <w:rPr>
          <w:iCs/>
        </w:rPr>
        <w:t>energiändamål</w:t>
      </w:r>
      <w:r w:rsidRPr="00624E0B">
        <w:rPr>
          <w:iCs/>
          <w:color w:val="FF0000"/>
        </w:rPr>
        <w:t xml:space="preserve"> </w:t>
      </w:r>
      <w:r>
        <w:rPr>
          <w:iCs/>
        </w:rPr>
        <w:t xml:space="preserve">hos </w:t>
      </w:r>
      <w:r w:rsidRPr="00E82CD1">
        <w:rPr>
          <w:iCs/>
        </w:rPr>
        <w:t xml:space="preserve">svenska </w:t>
      </w:r>
      <w:r>
        <w:rPr>
          <w:iCs/>
        </w:rPr>
        <w:t>energiproducenter</w:t>
      </w:r>
      <w:r w:rsidRPr="00E82CD1">
        <w:rPr>
          <w:iCs/>
        </w:rPr>
        <w:t xml:space="preserve"> och industrier. Medelpriser skattas </w:t>
      </w:r>
      <w:r>
        <w:rPr>
          <w:iCs/>
        </w:rPr>
        <w:t xml:space="preserve">och publiceras på riksnivå. </w:t>
      </w:r>
    </w:p>
    <w:p w:rsidR="00444C8A" w:rsidRDefault="00444C8A" w:rsidP="00444C8A">
      <w:pPr>
        <w:tabs>
          <w:tab w:val="left" w:pos="851"/>
        </w:tabs>
        <w:rPr>
          <w:iCs/>
        </w:rPr>
      </w:pPr>
      <w:r>
        <w:rPr>
          <w:iCs/>
        </w:rPr>
        <w:t xml:space="preserve">SCB har sedan 1993 genomfört undersökningen i sin nuvarande form </w:t>
      </w:r>
      <w:r w:rsidRPr="00E82CD1">
        <w:rPr>
          <w:iCs/>
        </w:rPr>
        <w:t>på uppdrag av En</w:t>
      </w:r>
      <w:r w:rsidR="00F62D2B">
        <w:rPr>
          <w:iCs/>
        </w:rPr>
        <w:t>ergimyndigheten</w:t>
      </w:r>
      <w:r w:rsidRPr="00E82CD1">
        <w:rPr>
          <w:iCs/>
        </w:rPr>
        <w:t xml:space="preserve">. </w:t>
      </w:r>
      <w:r>
        <w:rPr>
          <w:iCs/>
        </w:rPr>
        <w:t xml:space="preserve">Dessförinnan </w:t>
      </w:r>
      <w:r w:rsidRPr="00E82CD1">
        <w:rPr>
          <w:iCs/>
        </w:rPr>
        <w:t>genomförd</w:t>
      </w:r>
      <w:r>
        <w:rPr>
          <w:iCs/>
        </w:rPr>
        <w:t>e</w:t>
      </w:r>
      <w:r w:rsidRPr="00E82CD1">
        <w:rPr>
          <w:iCs/>
        </w:rPr>
        <w:t xml:space="preserve"> </w:t>
      </w:r>
      <w:r>
        <w:rPr>
          <w:iCs/>
        </w:rPr>
        <w:t>K</w:t>
      </w:r>
      <w:r w:rsidRPr="00E82CD1">
        <w:rPr>
          <w:iCs/>
        </w:rPr>
        <w:t>onkurrensverket</w:t>
      </w:r>
      <w:r>
        <w:rPr>
          <w:iCs/>
        </w:rPr>
        <w:t xml:space="preserve"> undersökningen</w:t>
      </w:r>
      <w:r w:rsidRPr="00E82CD1">
        <w:rPr>
          <w:iCs/>
        </w:rPr>
        <w:t>.</w:t>
      </w:r>
      <w:r w:rsidR="008E58A7">
        <w:rPr>
          <w:iCs/>
        </w:rPr>
        <w:t xml:space="preserve"> Undersökningen blev klassad som officiell statistik år 2011. </w:t>
      </w:r>
      <w:r w:rsidR="003C66E6">
        <w:rPr>
          <w:iCs/>
        </w:rPr>
        <w:t>Fram till år 2013 publicerades resultat uppdelat på tre geografiska områden, men sedan 2014 publiceras endast priser på riksnivå.</w:t>
      </w:r>
    </w:p>
    <w:p w:rsidR="004C2607" w:rsidRDefault="004C2607" w:rsidP="004C2607">
      <w:pPr>
        <w:pStyle w:val="Rubrik2"/>
      </w:pPr>
      <w:bookmarkStart w:id="47" w:name="_Toc323044842"/>
      <w:bookmarkStart w:id="48" w:name="_Toc389028325"/>
      <w:bookmarkStart w:id="49" w:name="_Toc423431718"/>
      <w:bookmarkStart w:id="50" w:name="_Toc466289526"/>
      <w:r>
        <w:t>0.11</w:t>
      </w:r>
      <w:r>
        <w:tab/>
        <w:t>Statistikanvändning</w:t>
      </w:r>
      <w:bookmarkEnd w:id="47"/>
      <w:bookmarkEnd w:id="48"/>
      <w:bookmarkEnd w:id="49"/>
      <w:bookmarkEnd w:id="50"/>
    </w:p>
    <w:p w:rsidR="00EB3163" w:rsidRDefault="00EB3163" w:rsidP="00EB3163">
      <w:pPr>
        <w:rPr>
          <w:iCs/>
        </w:rPr>
      </w:pPr>
      <w:r>
        <w:t>Statistikens användare är E</w:t>
      </w:r>
      <w:r w:rsidRPr="00A029FD">
        <w:t>nergimyndighet</w:t>
      </w:r>
      <w:r>
        <w:t xml:space="preserve">en. Andra användare är </w:t>
      </w:r>
      <w:r w:rsidRPr="00A029FD">
        <w:t>olika aktörer inom energiområdet</w:t>
      </w:r>
      <w:r>
        <w:t xml:space="preserve">, t.ex. </w:t>
      </w:r>
      <w:r w:rsidRPr="003F2C24">
        <w:t>användar</w:t>
      </w:r>
      <w:r>
        <w:t>e</w:t>
      </w:r>
      <w:r w:rsidRPr="003F2C24">
        <w:t>/</w:t>
      </w:r>
      <w:r>
        <w:t xml:space="preserve"> köpare och producenter/</w:t>
      </w:r>
      <w:r w:rsidRPr="003F2C24">
        <w:t>säljare av biobränslen</w:t>
      </w:r>
      <w:r w:rsidRPr="00A029FD">
        <w:t>.</w:t>
      </w:r>
      <w:r w:rsidR="00700C56">
        <w:t xml:space="preserve"> Statistiken används som underlag för prisjämförelser mellan de olika bränsleslagen, samt för att följa prisutvecklingen av trädbränslen och torv.</w:t>
      </w:r>
    </w:p>
    <w:p w:rsidR="004C2607" w:rsidRDefault="004C2607" w:rsidP="004C2607">
      <w:pPr>
        <w:pStyle w:val="Rubrik2"/>
      </w:pPr>
      <w:bookmarkStart w:id="51" w:name="_Toc323044843"/>
      <w:bookmarkStart w:id="52" w:name="_Toc389028326"/>
      <w:bookmarkStart w:id="53" w:name="_Toc423431719"/>
      <w:bookmarkStart w:id="54" w:name="_Toc466289527"/>
      <w:r>
        <w:t>0.12</w:t>
      </w:r>
      <w:r>
        <w:tab/>
        <w:t>Upplägg och genomförande</w:t>
      </w:r>
      <w:bookmarkEnd w:id="51"/>
      <w:bookmarkEnd w:id="52"/>
      <w:bookmarkEnd w:id="53"/>
      <w:bookmarkEnd w:id="54"/>
    </w:p>
    <w:p w:rsidR="00C32C13" w:rsidRDefault="00C32C13" w:rsidP="00270A20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560E7">
        <w:t xml:space="preserve">Undersökningen </w:t>
      </w:r>
      <w:r>
        <w:t>är en urvalsundersökning som omfattar arbetsställen</w:t>
      </w:r>
      <w:r w:rsidRPr="00C560E7">
        <w:t xml:space="preserve"> </w:t>
      </w:r>
      <w:r>
        <w:t xml:space="preserve">inom </w:t>
      </w:r>
      <w:r w:rsidRPr="00C560E7">
        <w:t xml:space="preserve">industri och </w:t>
      </w:r>
      <w:r>
        <w:t xml:space="preserve">hos </w:t>
      </w:r>
      <w:r w:rsidRPr="00C560E7">
        <w:t>energiproducente</w:t>
      </w:r>
      <w:r>
        <w:t xml:space="preserve">r. </w:t>
      </w:r>
      <w:r w:rsidRPr="00296D5F">
        <w:t xml:space="preserve"> </w:t>
      </w:r>
      <w:r>
        <w:t>Urvalet 2016 består av 167 arbetsställen, varav 30 är industriarbetsställen och 137 är arbetsställen hos energiproducenter</w:t>
      </w:r>
      <w:r w:rsidRPr="00D5021B">
        <w:t>.</w:t>
      </w:r>
      <w:r>
        <w:t xml:space="preserve"> </w:t>
      </w:r>
    </w:p>
    <w:p w:rsidR="00DD3B3E" w:rsidRDefault="00270A20" w:rsidP="00270A2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Style w:val="Hyperlnk"/>
        </w:rPr>
      </w:pPr>
      <w:r>
        <w:t>Uppgiftslämna</w:t>
      </w:r>
      <w:r w:rsidR="00491191">
        <w:t>r</w:t>
      </w:r>
      <w:r w:rsidR="00C32C13">
        <w:t>na</w:t>
      </w:r>
      <w:r>
        <w:t xml:space="preserve"> är ett urval av arbetsställen</w:t>
      </w:r>
      <w:r w:rsidR="00491191">
        <w:t xml:space="preserve"> från</w:t>
      </w:r>
      <w:r>
        <w:t xml:space="preserve"> undersökningen Kvartalsvis bränslestatistik. Mer om denna undersökning finns att läsa på SCB:s webb </w:t>
      </w:r>
      <w:hyperlink r:id="rId19" w:history="1">
        <w:r>
          <w:rPr>
            <w:rStyle w:val="Hyperlnk"/>
          </w:rPr>
          <w:t>www.scb.se/EN0106</w:t>
        </w:r>
      </w:hyperlink>
      <w:r>
        <w:rPr>
          <w:rStyle w:val="Hyperlnk"/>
        </w:rPr>
        <w:t>.</w:t>
      </w:r>
      <w:r w:rsidR="00DD3B3E">
        <w:rPr>
          <w:rStyle w:val="Hyperlnk"/>
        </w:rPr>
        <w:t xml:space="preserve">  </w:t>
      </w:r>
    </w:p>
    <w:p w:rsidR="00270A20" w:rsidRDefault="00270A20" w:rsidP="00270A20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DD3B3E">
        <w:t>Ramen utgörs av de arbetsställen som</w:t>
      </w:r>
      <w:r w:rsidR="00DD3B3E" w:rsidRPr="00DD3B3E">
        <w:t xml:space="preserve"> i den Kvartalsvisa bränslestatistiken</w:t>
      </w:r>
      <w:r w:rsidRPr="00DD3B3E">
        <w:t xml:space="preserve"> har</w:t>
      </w:r>
      <w:r>
        <w:t xml:space="preserve"> rapporterat att de förbrukat trädbränslen eller </w:t>
      </w:r>
      <w:r w:rsidRPr="00BE19DE">
        <w:t>torv för energiframställning under</w:t>
      </w:r>
      <w:r>
        <w:t xml:space="preserve"> året som föregick referensåret.</w:t>
      </w:r>
    </w:p>
    <w:p w:rsidR="00A23E6D" w:rsidRDefault="00C32C13" w:rsidP="00A23E6D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2CD1">
        <w:rPr>
          <w:iCs/>
        </w:rPr>
        <w:t>Undersökningen genomförs kvartalsvis</w:t>
      </w:r>
      <w:r>
        <w:rPr>
          <w:iCs/>
        </w:rPr>
        <w:t xml:space="preserve"> och u</w:t>
      </w:r>
      <w:r w:rsidR="000C1EC2">
        <w:t xml:space="preserve">ppgifter om bränsleförbrukning och total kostnad för </w:t>
      </w:r>
      <w:r w:rsidR="00C812B3">
        <w:t>använt</w:t>
      </w:r>
      <w:r w:rsidR="000C1EC2">
        <w:t xml:space="preserve"> bränsle</w:t>
      </w:r>
      <w:r w:rsidR="00066107">
        <w:t xml:space="preserve"> samlas</w:t>
      </w:r>
      <w:r w:rsidR="00444C8A" w:rsidRPr="00C560E7">
        <w:t xml:space="preserve"> in</w:t>
      </w:r>
      <w:r w:rsidR="00FB6143">
        <w:t xml:space="preserve"> från bolagen</w:t>
      </w:r>
      <w:r w:rsidR="00444C8A" w:rsidRPr="00C560E7">
        <w:t xml:space="preserve"> med hjälp av</w:t>
      </w:r>
      <w:r w:rsidR="00296D5F">
        <w:t xml:space="preserve"> </w:t>
      </w:r>
      <w:r w:rsidR="00315F51">
        <w:t>ett frågeformulär</w:t>
      </w:r>
      <w:r w:rsidR="00444C8A" w:rsidRPr="0004333A">
        <w:t xml:space="preserve">. För </w:t>
      </w:r>
      <w:r w:rsidR="00444C8A" w:rsidRPr="00C560E7">
        <w:t>de uppgiftslämnar</w:t>
      </w:r>
      <w:r w:rsidR="00444C8A">
        <w:t>e som vill, finns möjlighet att</w:t>
      </w:r>
      <w:r w:rsidR="00444C8A" w:rsidRPr="00C560E7">
        <w:t xml:space="preserve"> lämna in uppgifter</w:t>
      </w:r>
      <w:r w:rsidR="00AB14D2">
        <w:t xml:space="preserve"> i ett frågeformulär via e-post</w:t>
      </w:r>
      <w:r w:rsidR="00FA668B">
        <w:t>.</w:t>
      </w:r>
    </w:p>
    <w:p w:rsidR="00C32C13" w:rsidRDefault="00A23E6D" w:rsidP="00C32C1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Medelpriser för ett kvartals förbrukade </w:t>
      </w:r>
      <w:r>
        <w:rPr>
          <w:iCs/>
        </w:rPr>
        <w:t>trädbränslen och torv</w:t>
      </w:r>
      <w:r>
        <w:t xml:space="preserve"> beräknas därefter separat för industriföretag respektive energiproducenter. Redovisningen sker i löpande priser, fritt förbrukare</w:t>
      </w:r>
      <w:r w:rsidR="00352383">
        <w:t xml:space="preserve"> (dvs. inkl. transport till förbrukaren)</w:t>
      </w:r>
      <w:r>
        <w:t xml:space="preserve"> och är exklusive skatter. </w:t>
      </w:r>
      <w:r w:rsidR="00C32C13">
        <w:t>F</w:t>
      </w:r>
      <w:r w:rsidR="00C32C13">
        <w:rPr>
          <w:iCs/>
        </w:rPr>
        <w:t xml:space="preserve">ör energiproducenter redovisas medelpriser för frästorv och stycketorv, samt biobränslena </w:t>
      </w:r>
      <w:r w:rsidR="00C32C13">
        <w:t xml:space="preserve">skogsflis, biprodukter, skogsbränsleflis, returträ och förädlade trädbränslen. </w:t>
      </w:r>
      <w:r w:rsidR="00C32C13">
        <w:rPr>
          <w:iCs/>
        </w:rPr>
        <w:t>För industrin publiceras medelpriser för bränslekategorierna skogsflis, biprodukter och skogsbränsleflis</w:t>
      </w:r>
    </w:p>
    <w:p w:rsidR="004C2607" w:rsidRDefault="004C2607" w:rsidP="004C2607">
      <w:pPr>
        <w:pStyle w:val="Rubrik2"/>
      </w:pPr>
      <w:bookmarkStart w:id="55" w:name="_Toc323044844"/>
      <w:bookmarkStart w:id="56" w:name="_Toc389028327"/>
      <w:bookmarkStart w:id="57" w:name="_Toc423431720"/>
      <w:bookmarkStart w:id="58" w:name="_Toc466289528"/>
      <w:r>
        <w:t>0.13</w:t>
      </w:r>
      <w:r>
        <w:tab/>
        <w:t>Internationell rapportering</w:t>
      </w:r>
      <w:bookmarkEnd w:id="55"/>
      <w:bookmarkEnd w:id="56"/>
      <w:bookmarkEnd w:id="57"/>
      <w:bookmarkEnd w:id="58"/>
    </w:p>
    <w:p w:rsidR="00EB3163" w:rsidRDefault="00EB3163" w:rsidP="00EB3163">
      <w:r>
        <w:t>Ingen internationell rapportering görs.</w:t>
      </w:r>
    </w:p>
    <w:p w:rsidR="003C472E" w:rsidRDefault="003C472E" w:rsidP="005F005D">
      <w:pPr>
        <w:pStyle w:val="Rubrik2"/>
      </w:pPr>
      <w:bookmarkStart w:id="59" w:name="_Toc323044845"/>
      <w:bookmarkStart w:id="60" w:name="_Toc389028328"/>
      <w:bookmarkStart w:id="61" w:name="_Toc423431721"/>
      <w:bookmarkStart w:id="62" w:name="_Toc466289529"/>
      <w:r>
        <w:t>0.14</w:t>
      </w:r>
      <w:r>
        <w:tab/>
        <w:t>Planerade förändringar i kommande undersökningar</w:t>
      </w:r>
      <w:bookmarkEnd w:id="59"/>
      <w:bookmarkEnd w:id="60"/>
      <w:bookmarkEnd w:id="61"/>
      <w:bookmarkEnd w:id="62"/>
    </w:p>
    <w:p w:rsidR="00700C56" w:rsidRDefault="00700C56" w:rsidP="00700C56">
      <w:pPr>
        <w:overflowPunct w:val="0"/>
        <w:autoSpaceDE w:val="0"/>
        <w:autoSpaceDN w:val="0"/>
        <w:adjustRightInd w:val="0"/>
        <w:spacing w:line="240" w:lineRule="auto"/>
        <w:ind w:firstLine="4"/>
        <w:textAlignment w:val="baseline"/>
        <w:rPr>
          <w:rFonts w:eastAsia="Times New Roman" w:cs="Times New Roman"/>
          <w:lang w:eastAsia="sv-SE"/>
        </w:rPr>
      </w:pPr>
      <w:r w:rsidRPr="00F33DFB">
        <w:rPr>
          <w:rFonts w:eastAsia="Times New Roman" w:cs="Times New Roman"/>
          <w:lang w:eastAsia="sv-SE"/>
        </w:rPr>
        <w:t>Inga förändringar är planerade i kommande undersökningar.</w:t>
      </w:r>
      <w:r>
        <w:rPr>
          <w:rFonts w:eastAsia="Times New Roman" w:cs="Times New Roman"/>
          <w:lang w:eastAsia="sv-SE"/>
        </w:rPr>
        <w:t xml:space="preserve"> </w:t>
      </w:r>
    </w:p>
    <w:p w:rsidR="003C472E" w:rsidRPr="001107A2" w:rsidRDefault="003C472E" w:rsidP="005F005D">
      <w:pPr>
        <w:pStyle w:val="Rubrik1"/>
      </w:pPr>
      <w:bookmarkStart w:id="63" w:name="_Toc423431722"/>
      <w:bookmarkStart w:id="64" w:name="_Toc466289530"/>
      <w:r w:rsidRPr="009E571A">
        <w:t>1</w:t>
      </w:r>
      <w:r w:rsidRPr="009E571A">
        <w:tab/>
      </w:r>
      <w:r w:rsidRPr="0051400C">
        <w:t>Innehållsöversikt</w:t>
      </w:r>
      <w:bookmarkEnd w:id="63"/>
      <w:bookmarkEnd w:id="64"/>
    </w:p>
    <w:p w:rsidR="003F06EC" w:rsidRDefault="003F06EC" w:rsidP="003F06EC">
      <w:pPr>
        <w:tabs>
          <w:tab w:val="left" w:pos="851"/>
        </w:tabs>
      </w:pPr>
      <w:r>
        <w:t xml:space="preserve">Denna statistik redovisar </w:t>
      </w:r>
      <w:r w:rsidR="00AB14D2">
        <w:t>medelpriser</w:t>
      </w:r>
      <w:r>
        <w:t xml:space="preserve"> </w:t>
      </w:r>
      <w:r w:rsidR="00CB214A">
        <w:t xml:space="preserve">i löpande priser </w:t>
      </w:r>
      <w:r>
        <w:t>på vissa biobränslen sam</w:t>
      </w:r>
      <w:r w:rsidR="00136886">
        <w:t xml:space="preserve">t torv. </w:t>
      </w:r>
      <w:r w:rsidR="001E450D">
        <w:t>Statistiken baseras på de av SCB undersökta</w:t>
      </w:r>
      <w:r w:rsidR="00D32EA2">
        <w:t xml:space="preserve"> variablerna förbrukat bränsle och kostnad för förbrukat bränsle</w:t>
      </w:r>
      <w:r w:rsidR="001E450D">
        <w:t>, som insamlas</w:t>
      </w:r>
      <w:r w:rsidR="00D32EA2">
        <w:t xml:space="preserve"> via webbenkät på kvartalsbasis. </w:t>
      </w:r>
      <w:r w:rsidR="00763620">
        <w:t>Publiering sker på Energimyndighetens webbplats, cirka 2 månader efter ett kvartals utgång.</w:t>
      </w:r>
    </w:p>
    <w:p w:rsidR="008D4717" w:rsidRDefault="008D4717" w:rsidP="008D4717">
      <w:pPr>
        <w:spacing w:before="120"/>
      </w:pPr>
      <w:r>
        <w:t>Undersökningen omfattar</w:t>
      </w:r>
    </w:p>
    <w:p w:rsidR="008D4717" w:rsidRDefault="008D4717" w:rsidP="008D4717">
      <w:pPr>
        <w:pStyle w:val="Liststycke"/>
        <w:numPr>
          <w:ilvl w:val="0"/>
          <w:numId w:val="36"/>
        </w:numPr>
        <w:spacing w:before="120"/>
        <w:ind w:left="714" w:hanging="357"/>
        <w:contextualSpacing w:val="0"/>
      </w:pPr>
      <w:r>
        <w:t>industriarbetsställen (SNI 05-33)</w:t>
      </w:r>
    </w:p>
    <w:p w:rsidR="008D4717" w:rsidRPr="001E450D" w:rsidRDefault="00097DE4" w:rsidP="008D4717">
      <w:pPr>
        <w:pStyle w:val="Liststycke"/>
        <w:numPr>
          <w:ilvl w:val="0"/>
          <w:numId w:val="36"/>
        </w:numPr>
        <w:spacing w:before="120"/>
        <w:ind w:left="714" w:hanging="357"/>
        <w:contextualSpacing w:val="0"/>
      </w:pPr>
      <w:r>
        <w:t>energiproducenter (SNI 35)</w:t>
      </w:r>
    </w:p>
    <w:p w:rsidR="00970718" w:rsidRDefault="00970718">
      <w:pPr>
        <w:spacing w:after="200" w:line="276" w:lineRule="auto"/>
        <w:rPr>
          <w:rFonts w:ascii="Arial" w:eastAsiaTheme="majorEastAsia" w:hAnsi="Arial" w:cstheme="majorBidi"/>
          <w:b/>
          <w:bCs/>
          <w:szCs w:val="26"/>
        </w:rPr>
      </w:pPr>
      <w:bookmarkStart w:id="65" w:name="_Toc423431723"/>
      <w:r>
        <w:br w:type="page"/>
      </w:r>
    </w:p>
    <w:p w:rsidR="003C472E" w:rsidRPr="00AA3003" w:rsidRDefault="00AA3003" w:rsidP="00080CCB">
      <w:pPr>
        <w:pStyle w:val="Rubrik2"/>
        <w:spacing w:after="120"/>
      </w:pPr>
      <w:bookmarkStart w:id="66" w:name="_Toc466289531"/>
      <w:r>
        <w:t>1.1</w:t>
      </w:r>
      <w:r>
        <w:tab/>
      </w:r>
      <w:r w:rsidR="003C472E" w:rsidRPr="00AA3003">
        <w:t>Undersökta populationer och variabler</w:t>
      </w:r>
      <w:bookmarkEnd w:id="65"/>
      <w:bookmarkEnd w:id="66"/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2268"/>
        <w:gridCol w:w="1842"/>
      </w:tblGrid>
      <w:tr w:rsidR="003C472E" w:rsidRPr="008D4A41" w:rsidTr="003C472E">
        <w:tc>
          <w:tcPr>
            <w:tcW w:w="3898" w:type="dxa"/>
            <w:gridSpan w:val="2"/>
          </w:tcPr>
          <w:p w:rsidR="003C472E" w:rsidRPr="008D4A41" w:rsidRDefault="003C472E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Undersökt population</w:t>
            </w:r>
          </w:p>
        </w:tc>
        <w:tc>
          <w:tcPr>
            <w:tcW w:w="4110" w:type="dxa"/>
            <w:gridSpan w:val="2"/>
          </w:tcPr>
          <w:p w:rsidR="003C472E" w:rsidRPr="008D4A41" w:rsidRDefault="003C472E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Undersökt variabel</w:t>
            </w:r>
          </w:p>
        </w:tc>
      </w:tr>
      <w:tr w:rsidR="003C472E" w:rsidRPr="008D4A41" w:rsidTr="003C472E">
        <w:tc>
          <w:tcPr>
            <w:tcW w:w="2338" w:type="dxa"/>
          </w:tcPr>
          <w:p w:rsidR="003C472E" w:rsidRPr="008D4A41" w:rsidRDefault="003C472E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Namn</w:t>
            </w:r>
          </w:p>
        </w:tc>
        <w:tc>
          <w:tcPr>
            <w:tcW w:w="1560" w:type="dxa"/>
          </w:tcPr>
          <w:p w:rsidR="003C472E" w:rsidRPr="008D4A41" w:rsidRDefault="003C472E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Referenstid</w:t>
            </w:r>
          </w:p>
        </w:tc>
        <w:tc>
          <w:tcPr>
            <w:tcW w:w="2268" w:type="dxa"/>
          </w:tcPr>
          <w:p w:rsidR="003C472E" w:rsidRPr="008D4A41" w:rsidRDefault="003C472E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Namn</w:t>
            </w:r>
          </w:p>
        </w:tc>
        <w:tc>
          <w:tcPr>
            <w:tcW w:w="1842" w:type="dxa"/>
          </w:tcPr>
          <w:p w:rsidR="003C472E" w:rsidRPr="008D4A41" w:rsidRDefault="003C472E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Referenstid</w:t>
            </w:r>
          </w:p>
        </w:tc>
      </w:tr>
      <w:tr w:rsidR="003C472E" w:rsidRPr="00E216C4" w:rsidTr="003C472E">
        <w:tc>
          <w:tcPr>
            <w:tcW w:w="2338" w:type="dxa"/>
          </w:tcPr>
          <w:p w:rsidR="003C472E" w:rsidRPr="005B0036" w:rsidRDefault="00B6211C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Industriarbetsställen</w:t>
            </w:r>
          </w:p>
        </w:tc>
        <w:tc>
          <w:tcPr>
            <w:tcW w:w="1560" w:type="dxa"/>
          </w:tcPr>
          <w:p w:rsidR="003C472E" w:rsidRPr="005B0036" w:rsidRDefault="00B6211C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2268" w:type="dxa"/>
          </w:tcPr>
          <w:p w:rsidR="003C472E" w:rsidRDefault="00B6211C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Förbrukat bränsle</w:t>
            </w:r>
            <w:r w:rsidR="001E573A">
              <w:rPr>
                <w:szCs w:val="24"/>
              </w:rPr>
              <w:t xml:space="preserve"> </w:t>
            </w:r>
            <w:r w:rsidR="000C5561">
              <w:rPr>
                <w:szCs w:val="24"/>
              </w:rPr>
              <w:t xml:space="preserve">i MWh </w:t>
            </w:r>
            <w:r w:rsidR="001E573A">
              <w:rPr>
                <w:szCs w:val="24"/>
              </w:rPr>
              <w:t>(kvantitet ska anges före pannförluster)</w:t>
            </w:r>
          </w:p>
          <w:p w:rsidR="00B6211C" w:rsidRPr="005B0036" w:rsidRDefault="00B6211C" w:rsidP="009E54E4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Total kostnad för förbrukat bränsle</w:t>
            </w:r>
            <w:r w:rsidR="001E573A">
              <w:rPr>
                <w:szCs w:val="24"/>
              </w:rPr>
              <w:t xml:space="preserve"> </w:t>
            </w:r>
            <w:r w:rsidR="000C5561">
              <w:rPr>
                <w:szCs w:val="24"/>
              </w:rPr>
              <w:t xml:space="preserve">i tkr </w:t>
            </w:r>
            <w:r w:rsidR="001E573A">
              <w:rPr>
                <w:szCs w:val="24"/>
              </w:rPr>
              <w:t>(anges fritt mottagarens anläggning</w:t>
            </w:r>
            <w:r w:rsidR="00C32C13">
              <w:rPr>
                <w:szCs w:val="24"/>
              </w:rPr>
              <w:t>, dvs. inkl. transport till förbrukaren,</w:t>
            </w:r>
            <w:r w:rsidR="001E573A">
              <w:rPr>
                <w:szCs w:val="24"/>
              </w:rPr>
              <w:t xml:space="preserve"> samt exkl. skatter och interna avgifter)</w:t>
            </w:r>
          </w:p>
        </w:tc>
        <w:tc>
          <w:tcPr>
            <w:tcW w:w="1842" w:type="dxa"/>
          </w:tcPr>
          <w:p w:rsidR="003C472E" w:rsidRPr="005B0036" w:rsidRDefault="00B6211C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Kvartal, 2016</w:t>
            </w:r>
          </w:p>
        </w:tc>
      </w:tr>
      <w:tr w:rsidR="001E573A" w:rsidRPr="00E216C4" w:rsidTr="003C472E">
        <w:tc>
          <w:tcPr>
            <w:tcW w:w="2338" w:type="dxa"/>
          </w:tcPr>
          <w:p w:rsidR="001E573A" w:rsidRPr="005B0036" w:rsidRDefault="001E573A" w:rsidP="00874591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Arbetsställen hos energiproducenter</w:t>
            </w:r>
          </w:p>
        </w:tc>
        <w:tc>
          <w:tcPr>
            <w:tcW w:w="1560" w:type="dxa"/>
          </w:tcPr>
          <w:p w:rsidR="001E573A" w:rsidRPr="005B0036" w:rsidRDefault="001E573A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2268" w:type="dxa"/>
          </w:tcPr>
          <w:p w:rsidR="001E573A" w:rsidRDefault="001E573A" w:rsidP="002C568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Förbrukat bränsle</w:t>
            </w:r>
            <w:r w:rsidR="000C5561">
              <w:rPr>
                <w:szCs w:val="24"/>
              </w:rPr>
              <w:t xml:space="preserve"> i MWh</w:t>
            </w:r>
            <w:r>
              <w:rPr>
                <w:szCs w:val="24"/>
              </w:rPr>
              <w:t xml:space="preserve"> (kvantitet ska anges före pannförluster)</w:t>
            </w:r>
          </w:p>
          <w:p w:rsidR="001E573A" w:rsidRPr="005B0036" w:rsidRDefault="001E573A" w:rsidP="002C568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Total kostnad för förbrukat bränsle </w:t>
            </w:r>
            <w:r w:rsidR="000C5561">
              <w:rPr>
                <w:szCs w:val="24"/>
              </w:rPr>
              <w:t xml:space="preserve">i tkr </w:t>
            </w:r>
            <w:r>
              <w:rPr>
                <w:szCs w:val="24"/>
              </w:rPr>
              <w:t>(anges fritt mottagarens anläggning</w:t>
            </w:r>
            <w:r w:rsidR="00C32C13">
              <w:rPr>
                <w:szCs w:val="24"/>
              </w:rPr>
              <w:t>, dvs. inkl. transport till förbrukaren,</w:t>
            </w:r>
            <w:r>
              <w:rPr>
                <w:szCs w:val="24"/>
              </w:rPr>
              <w:t xml:space="preserve"> samt exkl. skatter och interna avgifter)</w:t>
            </w:r>
          </w:p>
        </w:tc>
        <w:tc>
          <w:tcPr>
            <w:tcW w:w="1842" w:type="dxa"/>
          </w:tcPr>
          <w:p w:rsidR="001E573A" w:rsidRPr="005B0036" w:rsidRDefault="001E573A" w:rsidP="003C472E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Kvartal, 2</w:t>
            </w:r>
            <w:r w:rsidR="00C32C13">
              <w:rPr>
                <w:szCs w:val="24"/>
              </w:rPr>
              <w:t>0</w:t>
            </w:r>
            <w:r>
              <w:rPr>
                <w:szCs w:val="24"/>
              </w:rPr>
              <w:t>16</w:t>
            </w:r>
          </w:p>
        </w:tc>
      </w:tr>
    </w:tbl>
    <w:p w:rsidR="00CE5063" w:rsidRDefault="000B098B" w:rsidP="00832005">
      <w:pPr>
        <w:spacing w:before="120" w:after="200" w:line="276" w:lineRule="auto"/>
      </w:pPr>
      <w:bookmarkStart w:id="67" w:name="_Toc350128458"/>
      <w:bookmarkStart w:id="68" w:name="_Toc323044848"/>
      <w:bookmarkStart w:id="69" w:name="_Toc324860872"/>
      <w:bookmarkStart w:id="70" w:name="_Toc423431724"/>
      <w:r>
        <w:t>De förbrukade bränslen som efterfråga</w:t>
      </w:r>
      <w:r w:rsidR="001E450D">
        <w:t xml:space="preserve">s i </w:t>
      </w:r>
      <w:r w:rsidR="00C2355C">
        <w:t xml:space="preserve">frågeformuläret </w:t>
      </w:r>
      <w:r>
        <w:t>är följande</w:t>
      </w:r>
    </w:p>
    <w:p w:rsidR="000B098B" w:rsidRDefault="000B098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Skogsflis (blandningar med mer än 90 procent skogsflis).</w:t>
      </w:r>
    </w:p>
    <w:p w:rsidR="000B098B" w:rsidRDefault="000B098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Skogsflis (blandningar med mer än 50 procent och mindre än 90 procent skogsflis).</w:t>
      </w:r>
    </w:p>
    <w:p w:rsidR="000B098B" w:rsidRDefault="000B098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Biprodu</w:t>
      </w:r>
      <w:r w:rsidR="001E450D">
        <w:t>kter och spill från industrin (s</w:t>
      </w:r>
      <w:r>
        <w:t>pån och bark m.m.</w:t>
      </w:r>
      <w:r w:rsidR="00882F5C">
        <w:t xml:space="preserve">, </w:t>
      </w:r>
      <w:r w:rsidR="00B2795A">
        <w:t xml:space="preserve">ej </w:t>
      </w:r>
      <w:r w:rsidR="00882F5C">
        <w:t>e</w:t>
      </w:r>
      <w:r>
        <w:t>gna</w:t>
      </w:r>
      <w:r w:rsidR="00B2795A">
        <w:t xml:space="preserve"> avfallsbränslen utan</w:t>
      </w:r>
      <w:r>
        <w:t xml:space="preserve"> endast inköpta).</w:t>
      </w:r>
    </w:p>
    <w:p w:rsidR="000B098B" w:rsidRDefault="000B098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Returträ (byggavfall m.m.)</w:t>
      </w:r>
      <w:r w:rsidR="001E450D">
        <w:t>.</w:t>
      </w:r>
    </w:p>
    <w:p w:rsidR="000B098B" w:rsidRDefault="001E450D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Förädlade trädbränslen (pellets och</w:t>
      </w:r>
      <w:r w:rsidR="000B098B">
        <w:t xml:space="preserve"> briketter m.m.).</w:t>
      </w:r>
    </w:p>
    <w:p w:rsidR="000B098B" w:rsidRDefault="000B098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Frästorv (torv som finfördelats och fälttorkats med hjälp av sol och vind).</w:t>
      </w:r>
    </w:p>
    <w:p w:rsidR="00CE5063" w:rsidRPr="00CE5063" w:rsidRDefault="000B098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Stycketorv (torv som bearbetats och formats till likartad styckestorlek samt fälttorkats med hjälp av sol och vind).</w:t>
      </w:r>
    </w:p>
    <w:p w:rsidR="003C472E" w:rsidRDefault="003C472E" w:rsidP="002B13E9">
      <w:pPr>
        <w:pStyle w:val="Rubrik2"/>
        <w:spacing w:after="120"/>
      </w:pPr>
      <w:bookmarkStart w:id="71" w:name="_Toc466289532"/>
      <w:r>
        <w:t>1.2</w:t>
      </w:r>
      <w:r>
        <w:tab/>
      </w:r>
      <w:r w:rsidRPr="006F12E5">
        <w:t>Redovisade popu</w:t>
      </w:r>
      <w:r w:rsidR="00C96F98">
        <w:t>lationer och storhet</w:t>
      </w:r>
      <w:r w:rsidRPr="006F12E5">
        <w:t>er</w:t>
      </w:r>
      <w:bookmarkEnd w:id="67"/>
      <w:bookmarkEnd w:id="68"/>
      <w:bookmarkEnd w:id="69"/>
      <w:bookmarkEnd w:id="70"/>
      <w:bookmarkEnd w:id="71"/>
    </w:p>
    <w:tbl>
      <w:tblPr>
        <w:tblW w:w="59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9"/>
        <w:gridCol w:w="1557"/>
        <w:gridCol w:w="1277"/>
        <w:gridCol w:w="1559"/>
        <w:gridCol w:w="1700"/>
        <w:gridCol w:w="710"/>
      </w:tblGrid>
      <w:tr w:rsidR="0025042B" w:rsidRPr="008D4A41" w:rsidTr="0040474E">
        <w:tc>
          <w:tcPr>
            <w:tcW w:w="898" w:type="pct"/>
          </w:tcPr>
          <w:p w:rsidR="003C472E" w:rsidRPr="00581C9A" w:rsidRDefault="003C472E" w:rsidP="003C47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 w:cs="Times New Roman"/>
                <w:b/>
                <w:lang w:eastAsia="sv-SE"/>
              </w:rPr>
            </w:pPr>
            <w:r w:rsidRPr="00581C9A">
              <w:rPr>
                <w:rFonts w:eastAsia="Times New Roman" w:cs="Times New Roman"/>
                <w:b/>
                <w:lang w:eastAsia="sv-SE"/>
              </w:rPr>
              <w:t>Redovisad population</w:t>
            </w:r>
          </w:p>
        </w:tc>
        <w:tc>
          <w:tcPr>
            <w:tcW w:w="939" w:type="pct"/>
          </w:tcPr>
          <w:p w:rsidR="003C472E" w:rsidRPr="00581C9A" w:rsidRDefault="003C472E" w:rsidP="003C47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 w:cs="Times New Roman"/>
                <w:b/>
                <w:lang w:eastAsia="sv-SE"/>
              </w:rPr>
            </w:pPr>
            <w:r w:rsidRPr="00581C9A">
              <w:rPr>
                <w:rFonts w:eastAsia="Times New Roman" w:cs="Times New Roman"/>
                <w:b/>
                <w:lang w:eastAsia="sv-SE"/>
              </w:rPr>
              <w:t>Indelning i redovisnings</w:t>
            </w:r>
            <w:r w:rsidR="004E3FE7" w:rsidRPr="00581C9A">
              <w:rPr>
                <w:rFonts w:eastAsia="Times New Roman" w:cs="Times New Roman"/>
                <w:b/>
                <w:lang w:eastAsia="sv-SE"/>
              </w:rPr>
              <w:t>-</w:t>
            </w:r>
            <w:r w:rsidRPr="00581C9A">
              <w:rPr>
                <w:rFonts w:eastAsia="Times New Roman" w:cs="Times New Roman"/>
                <w:b/>
                <w:lang w:eastAsia="sv-SE"/>
              </w:rPr>
              <w:t>grupper</w:t>
            </w:r>
          </w:p>
        </w:tc>
        <w:tc>
          <w:tcPr>
            <w:tcW w:w="770" w:type="pct"/>
          </w:tcPr>
          <w:p w:rsidR="003C472E" w:rsidRPr="00581C9A" w:rsidRDefault="003C472E" w:rsidP="00C96F98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 w:cs="Times New Roman"/>
                <w:b/>
                <w:lang w:eastAsia="sv-SE"/>
              </w:rPr>
            </w:pPr>
            <w:r w:rsidRPr="00581C9A">
              <w:rPr>
                <w:rFonts w:eastAsia="Times New Roman" w:cs="Times New Roman"/>
                <w:b/>
                <w:lang w:eastAsia="sv-SE"/>
              </w:rPr>
              <w:t xml:space="preserve">Redovisad </w:t>
            </w:r>
            <w:r w:rsidR="00C96F98" w:rsidRPr="00581C9A">
              <w:rPr>
                <w:rFonts w:eastAsia="Times New Roman" w:cs="Times New Roman"/>
                <w:b/>
                <w:lang w:eastAsia="sv-SE"/>
              </w:rPr>
              <w:t>storhet</w:t>
            </w:r>
          </w:p>
        </w:tc>
        <w:tc>
          <w:tcPr>
            <w:tcW w:w="940" w:type="pct"/>
          </w:tcPr>
          <w:p w:rsidR="003C472E" w:rsidRPr="00581C9A" w:rsidRDefault="003C472E" w:rsidP="00C96F98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 w:cs="Times New Roman"/>
                <w:b/>
                <w:lang w:eastAsia="sv-SE"/>
              </w:rPr>
            </w:pPr>
            <w:r w:rsidRPr="00581C9A">
              <w:rPr>
                <w:rFonts w:eastAsia="Times New Roman" w:cs="Times New Roman"/>
                <w:b/>
                <w:lang w:eastAsia="sv-SE"/>
              </w:rPr>
              <w:t xml:space="preserve">Redovisad </w:t>
            </w:r>
            <w:r w:rsidR="00C96F98" w:rsidRPr="00581C9A">
              <w:rPr>
                <w:rFonts w:eastAsia="Times New Roman" w:cs="Times New Roman"/>
                <w:b/>
                <w:lang w:eastAsia="sv-SE"/>
              </w:rPr>
              <w:t>storhets</w:t>
            </w:r>
            <w:r w:rsidRPr="00581C9A">
              <w:rPr>
                <w:rFonts w:eastAsia="Times New Roman" w:cs="Times New Roman"/>
                <w:b/>
                <w:lang w:eastAsia="sv-SE"/>
              </w:rPr>
              <w:t xml:space="preserve"> referenstid</w:t>
            </w:r>
          </w:p>
        </w:tc>
        <w:tc>
          <w:tcPr>
            <w:tcW w:w="1025" w:type="pct"/>
          </w:tcPr>
          <w:p w:rsidR="003C472E" w:rsidRPr="00581C9A" w:rsidRDefault="003C472E" w:rsidP="003C47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 w:cs="Times New Roman"/>
                <w:b/>
                <w:lang w:eastAsia="sv-SE"/>
              </w:rPr>
            </w:pPr>
            <w:r w:rsidRPr="00581C9A">
              <w:rPr>
                <w:rFonts w:eastAsia="Times New Roman" w:cs="Times New Roman"/>
                <w:b/>
                <w:lang w:eastAsia="sv-SE"/>
              </w:rPr>
              <w:t>Statistiskt mått</w:t>
            </w:r>
          </w:p>
        </w:tc>
        <w:tc>
          <w:tcPr>
            <w:tcW w:w="428" w:type="pct"/>
          </w:tcPr>
          <w:p w:rsidR="003C472E" w:rsidRPr="00581C9A" w:rsidRDefault="003C472E" w:rsidP="003C47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 w:cs="Times New Roman"/>
                <w:b/>
                <w:lang w:eastAsia="sv-SE"/>
              </w:rPr>
            </w:pPr>
            <w:r w:rsidRPr="00581C9A">
              <w:rPr>
                <w:rFonts w:eastAsia="Times New Roman" w:cs="Times New Roman"/>
                <w:b/>
                <w:lang w:eastAsia="sv-SE"/>
              </w:rPr>
              <w:t>Mått</w:t>
            </w:r>
            <w:r w:rsidR="0025042B" w:rsidRPr="00581C9A">
              <w:rPr>
                <w:rFonts w:eastAsia="Times New Roman" w:cs="Times New Roman"/>
                <w:b/>
                <w:lang w:eastAsia="sv-SE"/>
              </w:rPr>
              <w:t>-</w:t>
            </w:r>
            <w:r w:rsidRPr="00581C9A">
              <w:rPr>
                <w:rFonts w:eastAsia="Times New Roman" w:cs="Times New Roman"/>
                <w:b/>
                <w:lang w:eastAsia="sv-SE"/>
              </w:rPr>
              <w:t>enhet</w:t>
            </w:r>
          </w:p>
        </w:tc>
      </w:tr>
      <w:tr w:rsidR="0025042B" w:rsidRPr="003C472E" w:rsidTr="0040474E">
        <w:tc>
          <w:tcPr>
            <w:tcW w:w="898" w:type="pct"/>
          </w:tcPr>
          <w:p w:rsidR="003C472E" w:rsidRPr="00581C9A" w:rsidRDefault="00B6211C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>Industri-arbetsställen</w:t>
            </w:r>
          </w:p>
        </w:tc>
        <w:tc>
          <w:tcPr>
            <w:tcW w:w="939" w:type="pct"/>
          </w:tcPr>
          <w:p w:rsidR="003C472E" w:rsidRPr="00581C9A" w:rsidRDefault="00B6211C" w:rsidP="00B621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 xml:space="preserve">Bränsleslag </w:t>
            </w:r>
          </w:p>
        </w:tc>
        <w:tc>
          <w:tcPr>
            <w:tcW w:w="770" w:type="pct"/>
          </w:tcPr>
          <w:p w:rsidR="003C472E" w:rsidRPr="00581C9A" w:rsidRDefault="001E573A" w:rsidP="001E573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>P</w:t>
            </w:r>
            <w:r w:rsidR="0003792A" w:rsidRPr="00581C9A">
              <w:t>ris för förbrukat bränsle</w:t>
            </w:r>
          </w:p>
        </w:tc>
        <w:tc>
          <w:tcPr>
            <w:tcW w:w="940" w:type="pct"/>
          </w:tcPr>
          <w:p w:rsidR="003C472E" w:rsidRPr="00581C9A" w:rsidRDefault="0003792A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>Kvartal, 2016</w:t>
            </w:r>
          </w:p>
        </w:tc>
        <w:tc>
          <w:tcPr>
            <w:tcW w:w="1025" w:type="pct"/>
          </w:tcPr>
          <w:p w:rsidR="003C472E" w:rsidRPr="00581C9A" w:rsidRDefault="00874591" w:rsidP="0035238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</w:pPr>
            <w:r w:rsidRPr="00581C9A">
              <w:t>M</w:t>
            </w:r>
            <w:r w:rsidR="0003792A" w:rsidRPr="00581C9A">
              <w:t>edel</w:t>
            </w:r>
            <w:r w:rsidR="00797BEC" w:rsidRPr="00581C9A">
              <w:t>värde</w:t>
            </w:r>
            <w:r w:rsidR="00352383" w:rsidRPr="00581C9A">
              <w:t xml:space="preserve"> i löpande priser</w:t>
            </w:r>
            <w:r w:rsidR="00797BEC" w:rsidRPr="00581C9A">
              <w:t>, fritt förbrukare</w:t>
            </w:r>
            <w:r w:rsidR="00C512F2" w:rsidRPr="00581C9A">
              <w:t xml:space="preserve"> </w:t>
            </w:r>
            <w:r w:rsidR="00352383" w:rsidRPr="00581C9A">
              <w:t>(dvs. inkl. transport till förbrukaren)</w:t>
            </w:r>
            <w:r w:rsidR="00797BEC" w:rsidRPr="00581C9A">
              <w:t>, exk</w:t>
            </w:r>
            <w:r w:rsidR="0003792A" w:rsidRPr="00581C9A">
              <w:t>l. skatter</w:t>
            </w:r>
          </w:p>
        </w:tc>
        <w:tc>
          <w:tcPr>
            <w:tcW w:w="428" w:type="pct"/>
          </w:tcPr>
          <w:p w:rsidR="003C472E" w:rsidRPr="00581C9A" w:rsidRDefault="0003792A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</w:pPr>
            <w:r w:rsidRPr="00581C9A">
              <w:t>SEK/MWh</w:t>
            </w:r>
          </w:p>
        </w:tc>
      </w:tr>
      <w:tr w:rsidR="0025042B" w:rsidRPr="003C472E" w:rsidTr="0040474E">
        <w:tc>
          <w:tcPr>
            <w:tcW w:w="898" w:type="pct"/>
          </w:tcPr>
          <w:p w:rsidR="003C472E" w:rsidRPr="00581C9A" w:rsidRDefault="00874591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>Arbetsställen hos energi-producenter</w:t>
            </w:r>
          </w:p>
        </w:tc>
        <w:tc>
          <w:tcPr>
            <w:tcW w:w="939" w:type="pct"/>
          </w:tcPr>
          <w:p w:rsidR="003C472E" w:rsidRPr="00581C9A" w:rsidRDefault="00B6211C" w:rsidP="008D471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 xml:space="preserve">Bränsleslag </w:t>
            </w:r>
          </w:p>
        </w:tc>
        <w:tc>
          <w:tcPr>
            <w:tcW w:w="770" w:type="pct"/>
          </w:tcPr>
          <w:p w:rsidR="003C472E" w:rsidRPr="00581C9A" w:rsidRDefault="00797BEC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>Pris för förbrukat bränsle</w:t>
            </w:r>
          </w:p>
        </w:tc>
        <w:tc>
          <w:tcPr>
            <w:tcW w:w="940" w:type="pct"/>
          </w:tcPr>
          <w:p w:rsidR="003C472E" w:rsidRPr="00581C9A" w:rsidRDefault="00797BEC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Times New Roman"/>
                <w:lang w:eastAsia="sv-SE"/>
              </w:rPr>
            </w:pPr>
            <w:r w:rsidRPr="00581C9A">
              <w:t>Kvartal, 2016</w:t>
            </w:r>
          </w:p>
        </w:tc>
        <w:tc>
          <w:tcPr>
            <w:tcW w:w="1025" w:type="pct"/>
          </w:tcPr>
          <w:p w:rsidR="003C472E" w:rsidRPr="00581C9A" w:rsidRDefault="00874591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</w:pPr>
            <w:r w:rsidRPr="00581C9A">
              <w:t>M</w:t>
            </w:r>
            <w:r w:rsidR="00ED4B78">
              <w:t>edel</w:t>
            </w:r>
            <w:r w:rsidR="00797BEC" w:rsidRPr="00581C9A">
              <w:t>värde</w:t>
            </w:r>
            <w:r w:rsidR="00352383" w:rsidRPr="00581C9A">
              <w:t xml:space="preserve"> i löpande priser</w:t>
            </w:r>
            <w:r w:rsidR="00797BEC" w:rsidRPr="00581C9A">
              <w:t>, fritt förbrukare</w:t>
            </w:r>
            <w:r w:rsidR="00352383" w:rsidRPr="00581C9A">
              <w:t xml:space="preserve"> (dvs. inkl. transport till förbrukaren)</w:t>
            </w:r>
            <w:r w:rsidR="00797BEC" w:rsidRPr="00581C9A">
              <w:t>, exkl. skatter</w:t>
            </w:r>
          </w:p>
        </w:tc>
        <w:tc>
          <w:tcPr>
            <w:tcW w:w="428" w:type="pct"/>
          </w:tcPr>
          <w:p w:rsidR="003C472E" w:rsidRPr="00581C9A" w:rsidRDefault="00797BEC" w:rsidP="003C472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</w:pPr>
            <w:r w:rsidRPr="00581C9A">
              <w:t>SEK/MWh</w:t>
            </w:r>
          </w:p>
        </w:tc>
      </w:tr>
    </w:tbl>
    <w:p w:rsidR="000B098B" w:rsidRDefault="00D31CCD" w:rsidP="00D31CCD">
      <w:pPr>
        <w:spacing w:before="120"/>
      </w:pPr>
      <w:bookmarkStart w:id="72" w:name="_Toc423431725"/>
      <w:r>
        <w:t>Medelpriser redovisas för följande bränslen för energiproducenter (se definitioner under 1.1)</w:t>
      </w:r>
    </w:p>
    <w:p w:rsidR="00D31CCD" w:rsidRDefault="00D31CCD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 xml:space="preserve">Skogsflis </w:t>
      </w:r>
      <w:r w:rsidR="00652121">
        <w:t>(blandningar med &gt;50 procent skogsflis)</w:t>
      </w:r>
      <w:r w:rsidR="0070133B">
        <w:t>.</w:t>
      </w:r>
    </w:p>
    <w:p w:rsidR="00D31CCD" w:rsidRDefault="00D31CCD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Bipro</w:t>
      </w:r>
      <w:r w:rsidR="0070133B">
        <w:t>dukter och spill från industrin.</w:t>
      </w:r>
    </w:p>
    <w:p w:rsidR="00D31CCD" w:rsidRDefault="00D31CCD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Skogsbränsleflis</w:t>
      </w:r>
      <w:r w:rsidR="00652121">
        <w:t xml:space="preserve"> (blandningar med &gt;50 procent skogsflis samt biprodukteter och spill från industrin)</w:t>
      </w:r>
      <w:r w:rsidR="0070133B">
        <w:t>.</w:t>
      </w:r>
    </w:p>
    <w:p w:rsidR="00D31CCD" w:rsidRDefault="0070133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Returträ.</w:t>
      </w:r>
    </w:p>
    <w:p w:rsidR="00D31CCD" w:rsidRDefault="0070133B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Förädlade trädbränslen.</w:t>
      </w:r>
    </w:p>
    <w:p w:rsidR="00D31CCD" w:rsidRDefault="00D31CCD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Frästorv</w:t>
      </w:r>
      <w:r w:rsidR="0070133B">
        <w:t>.</w:t>
      </w:r>
    </w:p>
    <w:p w:rsidR="00D31CCD" w:rsidRDefault="00715610" w:rsidP="00715610">
      <w:pPr>
        <w:pStyle w:val="Liststycke"/>
        <w:numPr>
          <w:ilvl w:val="0"/>
          <w:numId w:val="38"/>
        </w:numPr>
        <w:ind w:left="714" w:hanging="357"/>
        <w:contextualSpacing w:val="0"/>
      </w:pPr>
      <w:r>
        <w:t>Stycketorv</w:t>
      </w:r>
    </w:p>
    <w:p w:rsidR="00D31CCD" w:rsidRDefault="00D31CCD" w:rsidP="00D31CCD">
      <w:pPr>
        <w:spacing w:before="120"/>
      </w:pPr>
      <w:r>
        <w:t xml:space="preserve">Medelpriser redovisas för följande bränslen för </w:t>
      </w:r>
      <w:r w:rsidR="001E573A">
        <w:t>i</w:t>
      </w:r>
      <w:r w:rsidR="009678F8">
        <w:t>ndustrin</w:t>
      </w:r>
      <w:r>
        <w:t xml:space="preserve"> (se definitioner under 1.1)</w:t>
      </w:r>
    </w:p>
    <w:p w:rsidR="00D31CCD" w:rsidRDefault="00D31CCD" w:rsidP="00C1222D">
      <w:pPr>
        <w:pStyle w:val="Liststycke"/>
        <w:numPr>
          <w:ilvl w:val="0"/>
          <w:numId w:val="40"/>
        </w:numPr>
        <w:ind w:left="714" w:hanging="357"/>
        <w:contextualSpacing w:val="0"/>
      </w:pPr>
      <w:r>
        <w:t>Skogsflis</w:t>
      </w:r>
      <w:r w:rsidR="001E573A">
        <w:t xml:space="preserve"> (blandningar med &gt;50 procent skogsflis)</w:t>
      </w:r>
    </w:p>
    <w:p w:rsidR="00D31CCD" w:rsidRDefault="00D31CCD" w:rsidP="00C1222D">
      <w:pPr>
        <w:pStyle w:val="Liststycke"/>
        <w:numPr>
          <w:ilvl w:val="0"/>
          <w:numId w:val="40"/>
        </w:numPr>
        <w:ind w:left="714" w:hanging="357"/>
        <w:contextualSpacing w:val="0"/>
      </w:pPr>
      <w:r>
        <w:t>Biprodukter</w:t>
      </w:r>
    </w:p>
    <w:p w:rsidR="00D31CCD" w:rsidRDefault="00D31CCD" w:rsidP="00C1222D">
      <w:pPr>
        <w:pStyle w:val="Liststycke"/>
        <w:numPr>
          <w:ilvl w:val="0"/>
          <w:numId w:val="40"/>
        </w:numPr>
        <w:ind w:left="714" w:hanging="357"/>
        <w:contextualSpacing w:val="0"/>
      </w:pPr>
      <w:r>
        <w:t>Skogsbränsleflis</w:t>
      </w:r>
      <w:r w:rsidR="001E450D">
        <w:t xml:space="preserve"> (blandningar med &gt;50 procent skogsflis samt biprodukteter och spill från industrin)</w:t>
      </w:r>
    </w:p>
    <w:p w:rsidR="003C472E" w:rsidRDefault="003C472E" w:rsidP="003C472E">
      <w:pPr>
        <w:pStyle w:val="Rubrik2"/>
      </w:pPr>
      <w:bookmarkStart w:id="73" w:name="_Toc466289533"/>
      <w:r>
        <w:t>1.3</w:t>
      </w:r>
      <w:r>
        <w:tab/>
        <w:t>Utflöden: statistik och mikrodata</w:t>
      </w:r>
      <w:bookmarkEnd w:id="72"/>
      <w:bookmarkEnd w:id="73"/>
    </w:p>
    <w:p w:rsidR="008D4717" w:rsidRPr="00C560E7" w:rsidRDefault="00C92703" w:rsidP="008D4717">
      <w:r w:rsidRPr="00C560E7">
        <w:t>Publiceringen</w:t>
      </w:r>
      <w:r>
        <w:t xml:space="preserve"> utförs av Energimyndigheten och</w:t>
      </w:r>
      <w:r w:rsidRPr="00C560E7">
        <w:t xml:space="preserve"> består </w:t>
      </w:r>
      <w:r>
        <w:t>av ett statistiskt meddelande samt redovisning av tidsserier från 1993 i en Excel-fil. R</w:t>
      </w:r>
      <w:r w:rsidR="008D4717" w:rsidRPr="00C560E7">
        <w:t>esult</w:t>
      </w:r>
      <w:r w:rsidR="008D4717">
        <w:t>at</w:t>
      </w:r>
      <w:r>
        <w:t>et</w:t>
      </w:r>
      <w:r w:rsidR="008D4717">
        <w:t xml:space="preserve"> publiceras kvartalsvis </w:t>
      </w:r>
      <w:r w:rsidR="001A614B">
        <w:t xml:space="preserve">ca 2 månader efter kvartalets utgång </w:t>
      </w:r>
      <w:r w:rsidR="008D4717">
        <w:t>på Energimyndighetens</w:t>
      </w:r>
      <w:r w:rsidR="008D4717" w:rsidRPr="00C560E7">
        <w:t xml:space="preserve"> webbplats </w:t>
      </w:r>
      <w:hyperlink r:id="rId20" w:history="1">
        <w:r w:rsidR="00B30A9D">
          <w:rPr>
            <w:rStyle w:val="Hyperlnk"/>
          </w:rPr>
          <w:t>www.energimyndigheten.se/statistik/energipriser</w:t>
        </w:r>
      </w:hyperlink>
      <w:r w:rsidR="008D4717" w:rsidRPr="00C560E7">
        <w:t xml:space="preserve">. </w:t>
      </w:r>
    </w:p>
    <w:p w:rsidR="00B2795A" w:rsidRDefault="00B2795A" w:rsidP="00B2795A">
      <w:pPr>
        <w:rPr>
          <w:color w:val="000000"/>
        </w:rPr>
      </w:pPr>
      <w:r>
        <w:t>Insamlade uppgifter i form av mikrodata levereras till Energimyndigheten efter avslutat referensår.</w:t>
      </w:r>
    </w:p>
    <w:p w:rsidR="00D56AD8" w:rsidRDefault="00D56AD8" w:rsidP="00D56AD8">
      <w:r>
        <w:t>Vid första publieringen av ett kvartals priser betraktas priserna vara preliminära. Vid publiering av nästföljande kvartal</w:t>
      </w:r>
      <w:r w:rsidR="00B2795A">
        <w:t xml:space="preserve"> </w:t>
      </w:r>
      <w:r>
        <w:t xml:space="preserve">publiceras de definitiva siffrorna för kvartalet dessförinnan. </w:t>
      </w:r>
    </w:p>
    <w:p w:rsidR="00961912" w:rsidRDefault="00BC6199" w:rsidP="00BC6199">
      <w:pPr>
        <w:rPr>
          <w:color w:val="000000"/>
        </w:rPr>
      </w:pPr>
      <w:r>
        <w:t>Det förekommer att publicerad statistik behöver korrigeras om information tillkommer eller om fel upptäcks efter det att statistikuppgifterna redovisas första gången</w:t>
      </w:r>
      <w:r w:rsidR="00B2795A">
        <w:t>, eller i detta fall efter att statistiken är definitiv</w:t>
      </w:r>
      <w:r>
        <w:t xml:space="preserve">. </w:t>
      </w:r>
      <w:r w:rsidRPr="00FE3120">
        <w:t xml:space="preserve">För att en korrigering ska genomföras </w:t>
      </w:r>
      <w:r>
        <w:t>ska</w:t>
      </w:r>
      <w:r w:rsidRPr="00FE3120">
        <w:t xml:space="preserve"> felet</w:t>
      </w:r>
      <w:r>
        <w:t xml:space="preserve"> bedömas</w:t>
      </w:r>
      <w:r w:rsidRPr="00FE3120">
        <w:t xml:space="preserve"> vara av det slag att det har betydande inverkan på statistikens resultat.</w:t>
      </w:r>
      <w:r>
        <w:t xml:space="preserve"> </w:t>
      </w:r>
      <w:r w:rsidRPr="00FE3120">
        <w:t xml:space="preserve">Upplysning om reviderade alternativt korrigerade uppgifter publiceras i anslutning till berörda </w:t>
      </w:r>
      <w:r>
        <w:t xml:space="preserve">tabeller och </w:t>
      </w:r>
      <w:r w:rsidRPr="00FE3120">
        <w:t>statistiskt meddelande på</w:t>
      </w:r>
      <w:r>
        <w:rPr>
          <w:color w:val="000000"/>
        </w:rPr>
        <w:t xml:space="preserve"> </w:t>
      </w:r>
      <w:hyperlink r:id="rId21" w:history="1">
        <w:r w:rsidR="00B30A9D">
          <w:rPr>
            <w:rStyle w:val="Hyperlnk"/>
          </w:rPr>
          <w:t>www.energimyndigheten.se/statistik/energipriser</w:t>
        </w:r>
      </w:hyperlink>
      <w:r>
        <w:rPr>
          <w:color w:val="000000"/>
        </w:rPr>
        <w:t>.</w:t>
      </w:r>
    </w:p>
    <w:p w:rsidR="003C472E" w:rsidRDefault="003C472E" w:rsidP="005F005D">
      <w:pPr>
        <w:pStyle w:val="Rubrik2"/>
      </w:pPr>
      <w:bookmarkStart w:id="74" w:name="_Toc350128460"/>
      <w:bookmarkStart w:id="75" w:name="_Toc323044850"/>
      <w:bookmarkStart w:id="76" w:name="_Toc324860874"/>
      <w:bookmarkStart w:id="77" w:name="_Toc423431726"/>
      <w:bookmarkStart w:id="78" w:name="_Toc466289534"/>
      <w:r>
        <w:t>1.4</w:t>
      </w:r>
      <w:r>
        <w:tab/>
        <w:t>Dokumentation och metadata</w:t>
      </w:r>
      <w:bookmarkEnd w:id="74"/>
      <w:bookmarkEnd w:id="75"/>
      <w:bookmarkEnd w:id="76"/>
      <w:bookmarkEnd w:id="77"/>
      <w:bookmarkEnd w:id="78"/>
    </w:p>
    <w:p w:rsidR="003C472E" w:rsidRPr="005F005D" w:rsidRDefault="003C472E" w:rsidP="003C472E">
      <w:r w:rsidRPr="005F005D">
        <w:t>I detta dokument beskrivs framtagningen av sta</w:t>
      </w:r>
      <w:r w:rsidR="005334B6">
        <w:t xml:space="preserve">tistiken och statistikregistret </w:t>
      </w:r>
      <w:r w:rsidRPr="005F005D">
        <w:t>S</w:t>
      </w:r>
      <w:r w:rsidRPr="005F005D">
        <w:rPr>
          <w:iCs/>
        </w:rPr>
        <w:t>tatistikens framtagning (SCBDOK)</w:t>
      </w:r>
      <w:r w:rsidRPr="005F005D">
        <w:t>.</w:t>
      </w:r>
    </w:p>
    <w:p w:rsidR="003C472E" w:rsidRPr="005F005D" w:rsidRDefault="003C472E" w:rsidP="003C472E">
      <w:r w:rsidRPr="005F005D">
        <w:t>Kvaliteten hos statistiken beskrivs i Beskrivning av statistiken</w:t>
      </w:r>
      <w:r w:rsidRPr="005F005D">
        <w:rPr>
          <w:iCs/>
        </w:rPr>
        <w:t> (BaS</w:t>
      </w:r>
      <w:r w:rsidRPr="005F005D">
        <w:t>).</w:t>
      </w:r>
    </w:p>
    <w:p w:rsidR="003C472E" w:rsidRPr="005F005D" w:rsidRDefault="003C472E" w:rsidP="003C472E">
      <w:r w:rsidRPr="005F005D">
        <w:t xml:space="preserve">Det detaljerade innehållet i statistiken beskrivs i </w:t>
      </w:r>
      <w:r w:rsidRPr="005F005D">
        <w:rPr>
          <w:iCs/>
        </w:rPr>
        <w:t>SCB:s mikrodataregister (MetaPlus)</w:t>
      </w:r>
      <w:r w:rsidRPr="005F005D">
        <w:t>.</w:t>
      </w:r>
    </w:p>
    <w:p w:rsidR="009140C6" w:rsidRPr="00E74E82" w:rsidRDefault="003C472E" w:rsidP="00E20C82">
      <w:r w:rsidRPr="005F005D">
        <w:t xml:space="preserve">Dokumentationerna finns publicerade på SCB:s webbplats, </w:t>
      </w:r>
      <w:hyperlink r:id="rId22" w:history="1">
        <w:r w:rsidR="00B30A9D">
          <w:rPr>
            <w:rStyle w:val="Hyperlnk"/>
          </w:rPr>
          <w:t>www.scb.se/EN0307</w:t>
        </w:r>
      </w:hyperlink>
      <w:r w:rsidR="00997515">
        <w:t>.</w:t>
      </w:r>
    </w:p>
    <w:p w:rsidR="003C472E" w:rsidRDefault="003C472E" w:rsidP="003C472E">
      <w:pPr>
        <w:pStyle w:val="Rubrik1"/>
      </w:pPr>
      <w:bookmarkStart w:id="79" w:name="_Toc466289535"/>
      <w:r>
        <w:t>2</w:t>
      </w:r>
      <w:r>
        <w:tab/>
      </w:r>
      <w:bookmarkStart w:id="80" w:name="_Toc507418688"/>
      <w:bookmarkStart w:id="81" w:name="_Toc507418843"/>
      <w:bookmarkStart w:id="82" w:name="_Toc507566122"/>
      <w:bookmarkStart w:id="83" w:name="_Toc508864385"/>
      <w:bookmarkStart w:id="84" w:name="_Toc509216075"/>
      <w:bookmarkStart w:id="85" w:name="_Toc512935133"/>
      <w:bookmarkStart w:id="86" w:name="_Toc513280577"/>
      <w:bookmarkStart w:id="87" w:name="_Toc513364535"/>
      <w:bookmarkStart w:id="88" w:name="_Toc513364754"/>
      <w:bookmarkStart w:id="89" w:name="_Toc526913405"/>
      <w:bookmarkStart w:id="90" w:name="_Toc529266255"/>
      <w:bookmarkStart w:id="91" w:name="_Toc225580266"/>
      <w:bookmarkStart w:id="92" w:name="_Toc335200896"/>
      <w:bookmarkStart w:id="93" w:name="_Toc423431727"/>
      <w:r>
        <w:t>Uppgiftsinsamling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B03404" w:rsidRPr="00B03404" w:rsidRDefault="00011DEC" w:rsidP="00B03404">
      <w:r>
        <w:t>Förbrukade volymer av bränsle och kostanden för dessa rapporteras av uppgiftslämnare kvartalsvis till SCB via</w:t>
      </w:r>
      <w:r w:rsidR="00F20722">
        <w:t xml:space="preserve"> frågeformulär på webben</w:t>
      </w:r>
      <w:r>
        <w:t>.</w:t>
      </w:r>
      <w:r w:rsidR="00CB214A">
        <w:t xml:space="preserve"> </w:t>
      </w:r>
      <w:r w:rsidR="00763620">
        <w:t xml:space="preserve">Uppgiftslämnare är ett urval av arbetsställen bland energiproducenter och industriföretag som i undersökningen Kvartalsvis bränslestatistik rapporterat in att de förbrukat trädbränslen eller </w:t>
      </w:r>
      <w:r w:rsidR="00763620" w:rsidRPr="00BE19DE">
        <w:t>torv för energiframställning under</w:t>
      </w:r>
      <w:r w:rsidR="00763620">
        <w:t xml:space="preserve"> året som föregick referensåret.</w:t>
      </w:r>
    </w:p>
    <w:p w:rsidR="00B03404" w:rsidRDefault="00B03404" w:rsidP="00B03404">
      <w:pPr>
        <w:pStyle w:val="Rubrik2"/>
      </w:pPr>
      <w:bookmarkStart w:id="94" w:name="_Toc350128463"/>
      <w:bookmarkStart w:id="95" w:name="_Toc323044852"/>
      <w:bookmarkStart w:id="96" w:name="_Toc324860876"/>
      <w:bookmarkStart w:id="97" w:name="_Toc423431728"/>
      <w:bookmarkStart w:id="98" w:name="_Toc466289536"/>
      <w:r>
        <w:t>2.1</w:t>
      </w:r>
      <w:r>
        <w:tab/>
        <w:t>Ram</w:t>
      </w:r>
      <w:bookmarkEnd w:id="94"/>
      <w:bookmarkEnd w:id="95"/>
      <w:bookmarkEnd w:id="96"/>
      <w:bookmarkEnd w:id="97"/>
      <w:bookmarkEnd w:id="98"/>
    </w:p>
    <w:p w:rsidR="00997515" w:rsidRDefault="00136886" w:rsidP="00831794">
      <w:pPr>
        <w:tabs>
          <w:tab w:val="left" w:pos="709"/>
          <w:tab w:val="left" w:pos="1701"/>
        </w:tabs>
        <w:spacing w:line="240" w:lineRule="auto"/>
      </w:pPr>
      <w:r>
        <w:t xml:space="preserve">För både industri och </w:t>
      </w:r>
      <w:r w:rsidR="0064045A">
        <w:t>energiproducenter</w:t>
      </w:r>
      <w:r w:rsidR="00831794">
        <w:t xml:space="preserve"> </w:t>
      </w:r>
      <w:r w:rsidR="00831794" w:rsidRPr="00B813CD">
        <w:t xml:space="preserve">hämtas ramen från </w:t>
      </w:r>
      <w:r w:rsidR="00AE7704">
        <w:t xml:space="preserve">undersökningen </w:t>
      </w:r>
      <w:r w:rsidR="00831794" w:rsidRPr="00B813CD">
        <w:t>Kvartalsvis bränslestatistik</w:t>
      </w:r>
      <w:r w:rsidR="00011DEC">
        <w:t xml:space="preserve">. Mer om denna undersökning finns att läsa </w:t>
      </w:r>
      <w:r w:rsidR="00997515">
        <w:t xml:space="preserve">på SCB:s webb </w:t>
      </w:r>
      <w:hyperlink r:id="rId23" w:history="1">
        <w:r w:rsidR="00B30A9D">
          <w:rPr>
            <w:rStyle w:val="Hyperlnk"/>
          </w:rPr>
          <w:t>www.scb.se/EN0106</w:t>
        </w:r>
      </w:hyperlink>
      <w:r w:rsidR="00831794" w:rsidRPr="00B813CD">
        <w:t>.</w:t>
      </w:r>
    </w:p>
    <w:p w:rsidR="00831794" w:rsidRDefault="00997515" w:rsidP="00831794">
      <w:pPr>
        <w:tabs>
          <w:tab w:val="left" w:pos="709"/>
          <w:tab w:val="left" w:pos="1701"/>
        </w:tabs>
        <w:spacing w:line="240" w:lineRule="auto"/>
      </w:pPr>
      <w:r>
        <w:t>Ramen</w:t>
      </w:r>
      <w:r w:rsidR="00831794" w:rsidRPr="00B813CD">
        <w:t xml:space="preserve"> </w:t>
      </w:r>
      <w:r w:rsidR="00831794">
        <w:t xml:space="preserve">utgörs av de anläggningar som </w:t>
      </w:r>
      <w:r w:rsidR="00831794" w:rsidRPr="00B813CD">
        <w:t>året</w:t>
      </w:r>
      <w:r w:rsidR="00831794">
        <w:t xml:space="preserve"> innan referensåret har</w:t>
      </w:r>
      <w:r w:rsidR="00831794" w:rsidRPr="00B813CD">
        <w:t xml:space="preserve"> förbrukning av </w:t>
      </w:r>
      <w:r w:rsidR="00AE7704">
        <w:t xml:space="preserve">något/några </w:t>
      </w:r>
      <w:r w:rsidR="00831794">
        <w:t>av bränslena</w:t>
      </w:r>
      <w:r w:rsidR="00831794" w:rsidRPr="00B813CD">
        <w:t xml:space="preserve"> torv, pellets och flis </w:t>
      </w:r>
      <w:r w:rsidR="00AE7704">
        <w:t>i den K</w:t>
      </w:r>
      <w:r w:rsidR="00831794">
        <w:t xml:space="preserve">vartalsvisa bränslestatistiken. </w:t>
      </w:r>
    </w:p>
    <w:p w:rsidR="00B03404" w:rsidRDefault="00B03404" w:rsidP="00B03404">
      <w:pPr>
        <w:pStyle w:val="Rubrik2"/>
      </w:pPr>
      <w:bookmarkStart w:id="99" w:name="_Toc350128464"/>
      <w:bookmarkStart w:id="100" w:name="_Toc323044853"/>
      <w:bookmarkStart w:id="101" w:name="_Toc324860877"/>
      <w:bookmarkStart w:id="102" w:name="_Toc423431729"/>
      <w:bookmarkStart w:id="103" w:name="_Toc466289537"/>
      <w:r>
        <w:t>2.2</w:t>
      </w:r>
      <w:r>
        <w:tab/>
        <w:t>Urval</w:t>
      </w:r>
      <w:bookmarkEnd w:id="99"/>
      <w:bookmarkEnd w:id="100"/>
      <w:bookmarkEnd w:id="101"/>
      <w:bookmarkEnd w:id="102"/>
      <w:bookmarkEnd w:id="103"/>
    </w:p>
    <w:p w:rsidR="00AE7704" w:rsidRDefault="00982389" w:rsidP="00AE7704">
      <w:r>
        <w:t xml:space="preserve">Ett nytt urval dras för varje kalenderår. </w:t>
      </w:r>
      <w:r w:rsidR="00136886">
        <w:t xml:space="preserve">För </w:t>
      </w:r>
      <w:r w:rsidR="00C80B95">
        <w:t>energiproducenterna</w:t>
      </w:r>
      <w:r w:rsidR="00AE7704">
        <w:t xml:space="preserve"> görs ett stratifierat urval. De största förbrukarna som tillsammans har hälften av den totala förbrukningen</w:t>
      </w:r>
      <w:r w:rsidR="00B72B41">
        <w:t xml:space="preserve"> </w:t>
      </w:r>
      <w:r w:rsidR="00AE7704">
        <w:t>av bränslena</w:t>
      </w:r>
      <w:r w:rsidR="00AE7704" w:rsidRPr="00B813CD">
        <w:t xml:space="preserve"> torv, pellets och flis året</w:t>
      </w:r>
      <w:r w:rsidR="00AE7704">
        <w:t xml:space="preserve"> innan referensåret</w:t>
      </w:r>
      <w:r w:rsidR="00C22BCD">
        <w:t xml:space="preserve"> </w:t>
      </w:r>
      <w:r w:rsidR="00AE7704">
        <w:t xml:space="preserve">i den </w:t>
      </w:r>
      <w:r w:rsidR="00B72B41">
        <w:t>Kvartalsvisa bränslestatistiken</w:t>
      </w:r>
      <w:r w:rsidR="00A23DCF">
        <w:t xml:space="preserve"> tilldelas strata per bränsle</w:t>
      </w:r>
      <w:r w:rsidR="00AE7704">
        <w:t xml:space="preserve"> som totalundersöks. Storleken på urvalet i </w:t>
      </w:r>
      <w:r w:rsidR="007E2DF7">
        <w:t>övriga</w:t>
      </w:r>
      <w:r w:rsidR="00A23DCF">
        <w:t xml:space="preserve"> strata</w:t>
      </w:r>
      <w:r w:rsidR="00AE7704">
        <w:t xml:space="preserve">, </w:t>
      </w:r>
      <w:r w:rsidR="00AE7704" w:rsidRPr="00624E0B">
        <w:rPr>
          <w:i/>
        </w:rPr>
        <w:t>n_h</w:t>
      </w:r>
      <w:r w:rsidR="00AE7704">
        <w:t>, f</w:t>
      </w:r>
      <w:r w:rsidR="001F45C8">
        <w:t xml:space="preserve">ör de mindre förbrukarna finns i bilaga </w:t>
      </w:r>
      <w:r w:rsidR="00F22FD5">
        <w:t>4</w:t>
      </w:r>
      <w:r w:rsidR="00AE7704">
        <w:t xml:space="preserve">. Varje företag tilldelas ett slumptal och urvalet sorteras sedan efter slumptal. I varje stratum väljs de </w:t>
      </w:r>
      <w:r w:rsidR="00AE7704" w:rsidRPr="00624E0B">
        <w:rPr>
          <w:i/>
        </w:rPr>
        <w:t xml:space="preserve">n_h </w:t>
      </w:r>
      <w:r w:rsidR="00AE7704">
        <w:t>första företagen</w:t>
      </w:r>
      <w:r w:rsidR="007E2DF7">
        <w:t>, vilket</w:t>
      </w:r>
      <w:r w:rsidR="00AE7704">
        <w:t xml:space="preserve"> ger ett slumpmässigt urval.</w:t>
      </w:r>
      <w:r>
        <w:t xml:space="preserve"> Detta görs för varje region och bränsle.</w:t>
      </w:r>
    </w:p>
    <w:p w:rsidR="00AE7704" w:rsidRDefault="00AE7704" w:rsidP="00AE7704">
      <w:r w:rsidRPr="0026459E">
        <w:t>För industrin görs ett urv</w:t>
      </w:r>
      <w:r w:rsidR="00997515" w:rsidRPr="0026459E">
        <w:t>al</w:t>
      </w:r>
      <w:r w:rsidR="005334B6" w:rsidRPr="0026459E">
        <w:t xml:space="preserve"> så att det täcker </w:t>
      </w:r>
      <w:r w:rsidR="00997515" w:rsidRPr="0026459E">
        <w:t>75 procent av bränsleförbrukningen</w:t>
      </w:r>
      <w:r w:rsidRPr="0026459E">
        <w:t>. Anläggningarna sorteras i storleksordning efter förbrukning och de största förbrukarna väljs ut.</w:t>
      </w:r>
    </w:p>
    <w:p w:rsidR="00A23E6D" w:rsidRDefault="00A23E6D" w:rsidP="00AE7704">
      <w:r>
        <w:t>Urvalet 2016 består av 167 arbetsställen, varav 137 är arbetsställen hos energiproducenter och 30 är industriarbetsställen</w:t>
      </w:r>
      <w:r w:rsidRPr="00D5021B">
        <w:t>.</w:t>
      </w:r>
    </w:p>
    <w:p w:rsidR="00DF09F0" w:rsidRPr="0026459E" w:rsidRDefault="00737A1A" w:rsidP="00AE7704">
      <w:r w:rsidRPr="00852256">
        <w:t xml:space="preserve">För mer detaljer, se </w:t>
      </w:r>
      <w:r w:rsidR="000503CC" w:rsidRPr="00852256">
        <w:t>bilaga 4</w:t>
      </w:r>
      <w:r w:rsidR="00DF09F0" w:rsidRPr="00852256">
        <w:t>.</w:t>
      </w:r>
    </w:p>
    <w:p w:rsidR="00B03404" w:rsidRDefault="00B03404" w:rsidP="00B03404">
      <w:pPr>
        <w:pStyle w:val="Rubrik2"/>
      </w:pPr>
      <w:bookmarkStart w:id="104" w:name="_Toc423431730"/>
      <w:bookmarkStart w:id="105" w:name="_Toc466289538"/>
      <w:r>
        <w:t>2.3</w:t>
      </w:r>
      <w:r>
        <w:tab/>
        <w:t>Mätinstrument</w:t>
      </w:r>
      <w:bookmarkEnd w:id="104"/>
      <w:bookmarkEnd w:id="105"/>
    </w:p>
    <w:p w:rsidR="00EB4734" w:rsidRDefault="00EB4734" w:rsidP="00EB4734">
      <w:r w:rsidRPr="005F180D">
        <w:t xml:space="preserve">Som mätinstrument används frågeformulär i SCB:s elektroniska insamlingssystem. Formulären görs tillgängliga på webben vid varje kvartals slut. </w:t>
      </w:r>
      <w:r>
        <w:t xml:space="preserve">Vid inloggning krävs ett särskilt användarnamn och lösenord, vilket skyddar uppgiftslämnandet. </w:t>
      </w:r>
      <w:r w:rsidR="00803A54">
        <w:rPr>
          <w:szCs w:val="24"/>
        </w:rPr>
        <w:t xml:space="preserve">Introduktionsbrev med inloggningsuppgifter som skickas ut till uppgiftslämnarna finns i bilaga 1. </w:t>
      </w:r>
      <w:r>
        <w:t>Inloggningsuppgifterna byts ut varje år.</w:t>
      </w:r>
      <w:r w:rsidR="0026459E">
        <w:t xml:space="preserve"> Frågeformuläret har inbyggda blankettkontroller för att minska osäkerheten.</w:t>
      </w:r>
      <w:r w:rsidR="005C744B">
        <w:t xml:space="preserve"> Frågeformuläret</w:t>
      </w:r>
      <w:r w:rsidR="00737A1A">
        <w:t xml:space="preserve"> som skickats ut i undersökningen finns i bilaga 2.</w:t>
      </w:r>
    </w:p>
    <w:p w:rsidR="00B31267" w:rsidRPr="00C410DE" w:rsidRDefault="002235C7" w:rsidP="00EB4734">
      <w:r>
        <w:rPr>
          <w:rFonts w:eastAsia="Times New Roman" w:cs="Times New Roman"/>
          <w:lang w:eastAsia="sv-SE"/>
        </w:rPr>
        <w:t>Uppgiftslämnare som inte rapporterat in uppgifter till sista svarsdag påminns via epost. Påminnelsebrevet som används finns i bilaga 3. En andra påminnelse görs vid behov via epost eller telefon.</w:t>
      </w:r>
    </w:p>
    <w:p w:rsidR="00B03404" w:rsidRDefault="00B03404" w:rsidP="00B03404">
      <w:pPr>
        <w:pStyle w:val="Rubrik2"/>
      </w:pPr>
      <w:bookmarkStart w:id="106" w:name="_Toc350128466"/>
      <w:bookmarkStart w:id="107" w:name="_Toc323044855"/>
      <w:bookmarkStart w:id="108" w:name="_Toc324860879"/>
      <w:bookmarkStart w:id="109" w:name="_Toc423431731"/>
      <w:bookmarkStart w:id="110" w:name="_Toc466289539"/>
      <w:r>
        <w:t>2.4</w:t>
      </w:r>
      <w:r>
        <w:tab/>
        <w:t>Insamling</w:t>
      </w:r>
      <w:bookmarkEnd w:id="106"/>
      <w:bookmarkEnd w:id="107"/>
      <w:bookmarkEnd w:id="108"/>
      <w:bookmarkEnd w:id="109"/>
      <w:bookmarkEnd w:id="110"/>
    </w:p>
    <w:p w:rsidR="0008678F" w:rsidRDefault="0015429E" w:rsidP="0015429E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r w:rsidRPr="005F180D">
        <w:rPr>
          <w:rFonts w:eastAsia="Times New Roman" w:cs="Times New Roman"/>
          <w:lang w:eastAsia="sv-SE"/>
        </w:rPr>
        <w:t>Utsändning av in</w:t>
      </w:r>
      <w:r>
        <w:rPr>
          <w:rFonts w:eastAsia="Times New Roman" w:cs="Times New Roman"/>
          <w:lang w:eastAsia="sv-SE"/>
        </w:rPr>
        <w:t>troduk</w:t>
      </w:r>
      <w:r w:rsidRPr="005F180D">
        <w:rPr>
          <w:rFonts w:eastAsia="Times New Roman" w:cs="Times New Roman"/>
          <w:lang w:eastAsia="sv-SE"/>
        </w:rPr>
        <w:t>tionsbrev med inloggningsuppgifte</w:t>
      </w:r>
      <w:r w:rsidR="00AD5E50">
        <w:rPr>
          <w:rFonts w:eastAsia="Times New Roman" w:cs="Times New Roman"/>
          <w:lang w:eastAsia="sv-SE"/>
        </w:rPr>
        <w:t xml:space="preserve">r till webbenkät </w:t>
      </w:r>
      <w:r>
        <w:rPr>
          <w:rFonts w:eastAsia="Times New Roman" w:cs="Times New Roman"/>
          <w:lang w:eastAsia="sv-SE"/>
        </w:rPr>
        <w:t>sker per mail</w:t>
      </w:r>
      <w:r w:rsidR="00BE19DE">
        <w:rPr>
          <w:rFonts w:eastAsia="Times New Roman" w:cs="Times New Roman"/>
          <w:lang w:eastAsia="sv-SE"/>
        </w:rPr>
        <w:t xml:space="preserve"> till uppgiftslämnare</w:t>
      </w:r>
      <w:r w:rsidRPr="005F180D">
        <w:rPr>
          <w:rFonts w:eastAsia="Times New Roman" w:cs="Times New Roman"/>
          <w:lang w:eastAsia="sv-SE"/>
        </w:rPr>
        <w:t xml:space="preserve"> i slutet av </w:t>
      </w:r>
      <w:r>
        <w:rPr>
          <w:rFonts w:eastAsia="Times New Roman" w:cs="Times New Roman"/>
          <w:lang w:eastAsia="sv-SE"/>
        </w:rPr>
        <w:t>varje</w:t>
      </w:r>
      <w:r w:rsidRPr="005F180D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referens</w:t>
      </w:r>
      <w:r w:rsidRPr="005F180D">
        <w:rPr>
          <w:rFonts w:eastAsia="Times New Roman" w:cs="Times New Roman"/>
          <w:lang w:eastAsia="sv-SE"/>
        </w:rPr>
        <w:t xml:space="preserve">kvartal. </w:t>
      </w:r>
      <w:r w:rsidR="0008678F">
        <w:rPr>
          <w:rFonts w:eastAsia="Times New Roman" w:cs="Times New Roman"/>
          <w:lang w:eastAsia="sv-SE"/>
        </w:rPr>
        <w:t>Kontaktuppgifter till uppgiftslämnare hämtas från undersökningen Kvartalsvis Bränslestatistik.</w:t>
      </w:r>
      <w:r w:rsidR="005C744B">
        <w:rPr>
          <w:rFonts w:eastAsia="Times New Roman" w:cs="Times New Roman"/>
          <w:lang w:eastAsia="sv-SE"/>
        </w:rPr>
        <w:t xml:space="preserve"> </w:t>
      </w:r>
    </w:p>
    <w:p w:rsidR="0015429E" w:rsidRPr="005F180D" w:rsidRDefault="0015429E" w:rsidP="0015429E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r w:rsidRPr="005F180D">
        <w:rPr>
          <w:rFonts w:eastAsia="Times New Roman" w:cs="Times New Roman"/>
          <w:lang w:eastAsia="sv-SE"/>
        </w:rPr>
        <w:t>Svarande besva</w:t>
      </w:r>
      <w:r>
        <w:rPr>
          <w:rFonts w:eastAsia="Times New Roman" w:cs="Times New Roman"/>
          <w:lang w:eastAsia="sv-SE"/>
        </w:rPr>
        <w:t xml:space="preserve">rar undersökningen </w:t>
      </w:r>
      <w:r w:rsidRPr="005F180D">
        <w:rPr>
          <w:rFonts w:eastAsia="Times New Roman" w:cs="Times New Roman"/>
          <w:lang w:eastAsia="sv-SE"/>
        </w:rPr>
        <w:t>med</w:t>
      </w:r>
      <w:r w:rsidR="00982389">
        <w:rPr>
          <w:rFonts w:eastAsia="Times New Roman" w:cs="Times New Roman"/>
          <w:lang w:eastAsia="sv-SE"/>
        </w:rPr>
        <w:t xml:space="preserve"> hjälp av ett</w:t>
      </w:r>
      <w:r w:rsidRPr="005F180D">
        <w:rPr>
          <w:rFonts w:eastAsia="Times New Roman" w:cs="Times New Roman"/>
          <w:lang w:eastAsia="sv-SE"/>
        </w:rPr>
        <w:t xml:space="preserve"> elektroniskt</w:t>
      </w:r>
      <w:r w:rsidR="005C50F7">
        <w:rPr>
          <w:rFonts w:eastAsia="Times New Roman" w:cs="Times New Roman"/>
          <w:lang w:eastAsia="sv-SE"/>
        </w:rPr>
        <w:t xml:space="preserve"> frågeformulär</w:t>
      </w:r>
      <w:r>
        <w:rPr>
          <w:rFonts w:eastAsia="Times New Roman" w:cs="Times New Roman"/>
          <w:lang w:eastAsia="sv-SE"/>
        </w:rPr>
        <w:t>.</w:t>
      </w:r>
      <w:r w:rsidR="0008678F">
        <w:rPr>
          <w:rFonts w:eastAsia="Times New Roman" w:cs="Times New Roman"/>
          <w:lang w:eastAsia="sv-SE"/>
        </w:rPr>
        <w:t xml:space="preserve"> </w:t>
      </w:r>
      <w:r w:rsidRPr="005F180D">
        <w:rPr>
          <w:rFonts w:eastAsia="Times New Roman" w:cs="Times New Roman"/>
          <w:lang w:eastAsia="sv-SE"/>
        </w:rPr>
        <w:t xml:space="preserve">Sista svarsdatum är ställt till ca 35 dagar efter </w:t>
      </w:r>
      <w:r>
        <w:rPr>
          <w:rFonts w:eastAsia="Times New Roman" w:cs="Times New Roman"/>
          <w:lang w:eastAsia="sv-SE"/>
        </w:rPr>
        <w:t>referens</w:t>
      </w:r>
      <w:r w:rsidRPr="005F180D">
        <w:rPr>
          <w:rFonts w:eastAsia="Times New Roman" w:cs="Times New Roman"/>
          <w:lang w:eastAsia="sv-SE"/>
        </w:rPr>
        <w:t>kvartale</w:t>
      </w:r>
      <w:r>
        <w:rPr>
          <w:rFonts w:eastAsia="Times New Roman" w:cs="Times New Roman"/>
          <w:lang w:eastAsia="sv-SE"/>
        </w:rPr>
        <w:t xml:space="preserve">ts slut. </w:t>
      </w:r>
    </w:p>
    <w:p w:rsidR="0015429E" w:rsidRDefault="0015429E" w:rsidP="0015429E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r w:rsidRPr="005F180D">
        <w:rPr>
          <w:rFonts w:eastAsia="Times New Roman" w:cs="Times New Roman"/>
          <w:lang w:eastAsia="sv-SE"/>
        </w:rPr>
        <w:t xml:space="preserve">Ej svarande påminns direkt </w:t>
      </w:r>
      <w:r w:rsidR="006B3F8F">
        <w:rPr>
          <w:rFonts w:eastAsia="Times New Roman" w:cs="Times New Roman"/>
          <w:lang w:eastAsia="sv-SE"/>
        </w:rPr>
        <w:t>efter sista svarsdatum</w:t>
      </w:r>
      <w:r w:rsidRPr="005F180D">
        <w:rPr>
          <w:rFonts w:eastAsia="Times New Roman" w:cs="Times New Roman"/>
          <w:lang w:eastAsia="sv-SE"/>
        </w:rPr>
        <w:t xml:space="preserve"> per post. Vid ett senare tillfälle görs </w:t>
      </w:r>
      <w:r w:rsidR="006B3F8F" w:rsidRPr="00536927">
        <w:rPr>
          <w:rFonts w:eastAsia="Times New Roman" w:cs="Times New Roman"/>
          <w:lang w:eastAsia="sv-SE"/>
        </w:rPr>
        <w:t xml:space="preserve">en andra </w:t>
      </w:r>
      <w:r w:rsidRPr="00536927">
        <w:rPr>
          <w:rFonts w:eastAsia="Times New Roman" w:cs="Times New Roman"/>
          <w:lang w:eastAsia="sv-SE"/>
        </w:rPr>
        <w:t>påminnelse via e-post</w:t>
      </w:r>
      <w:r w:rsidR="006B3F8F" w:rsidRPr="00536927">
        <w:rPr>
          <w:rFonts w:eastAsia="Times New Roman" w:cs="Times New Roman"/>
          <w:lang w:eastAsia="sv-SE"/>
        </w:rPr>
        <w:t xml:space="preserve"> alternativt</w:t>
      </w:r>
      <w:r w:rsidR="00E555C7" w:rsidRPr="00536927">
        <w:rPr>
          <w:rFonts w:eastAsia="Times New Roman" w:cs="Times New Roman"/>
          <w:lang w:eastAsia="sv-SE"/>
        </w:rPr>
        <w:t xml:space="preserve"> via telefon. </w:t>
      </w:r>
      <w:r w:rsidR="0008678F" w:rsidRPr="00536927">
        <w:rPr>
          <w:rFonts w:eastAsia="Times New Roman" w:cs="Times New Roman"/>
          <w:lang w:eastAsia="sv-SE"/>
        </w:rPr>
        <w:t xml:space="preserve">De </w:t>
      </w:r>
      <w:r w:rsidR="00536927">
        <w:rPr>
          <w:rFonts w:eastAsia="Times New Roman" w:cs="Times New Roman"/>
          <w:lang w:eastAsia="sv-SE"/>
        </w:rPr>
        <w:t>anläggningar som har stor</w:t>
      </w:r>
      <w:r w:rsidR="00E555C7" w:rsidRPr="00536927">
        <w:rPr>
          <w:rFonts w:eastAsia="Times New Roman" w:cs="Times New Roman"/>
          <w:lang w:eastAsia="sv-SE"/>
        </w:rPr>
        <w:t xml:space="preserve"> förbrukning av torv och</w:t>
      </w:r>
      <w:r w:rsidR="0008678F" w:rsidRPr="00536927">
        <w:rPr>
          <w:rFonts w:eastAsia="Times New Roman" w:cs="Times New Roman"/>
          <w:lang w:eastAsia="sv-SE"/>
        </w:rPr>
        <w:t>/eller</w:t>
      </w:r>
      <w:r w:rsidR="00E555C7" w:rsidRPr="00536927">
        <w:rPr>
          <w:rFonts w:eastAsia="Times New Roman" w:cs="Times New Roman"/>
          <w:lang w:eastAsia="sv-SE"/>
        </w:rPr>
        <w:t xml:space="preserve"> trädbränslen prioriteras i påminnelsearbetet.</w:t>
      </w:r>
    </w:p>
    <w:p w:rsidR="00624E0B" w:rsidRPr="00FD15A1" w:rsidRDefault="00FD15A1" w:rsidP="0015429E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r w:rsidRPr="00FD15A1">
        <w:rPr>
          <w:rFonts w:eastAsia="Times New Roman" w:cs="Times New Roman"/>
          <w:lang w:eastAsia="sv-SE"/>
        </w:rPr>
        <w:t>Den ovägd</w:t>
      </w:r>
      <w:r w:rsidR="005C50F7">
        <w:rPr>
          <w:rFonts w:eastAsia="Times New Roman" w:cs="Times New Roman"/>
          <w:lang w:eastAsia="sv-SE"/>
        </w:rPr>
        <w:t>a svarsfrekvensen var under 2015</w:t>
      </w:r>
      <w:r w:rsidRPr="00FD15A1">
        <w:rPr>
          <w:rFonts w:eastAsia="Times New Roman" w:cs="Times New Roman"/>
          <w:lang w:eastAsia="sv-SE"/>
        </w:rPr>
        <w:t xml:space="preserve"> mellan 81-90 procent.</w:t>
      </w:r>
    </w:p>
    <w:p w:rsidR="00B03404" w:rsidRPr="00AA3003" w:rsidRDefault="00AA3003" w:rsidP="00AA3003">
      <w:pPr>
        <w:pStyle w:val="Rubrik2"/>
      </w:pPr>
      <w:bookmarkStart w:id="111" w:name="_Toc350128467"/>
      <w:bookmarkStart w:id="112" w:name="_Toc323044856"/>
      <w:bookmarkStart w:id="113" w:name="_Toc324860880"/>
      <w:bookmarkStart w:id="114" w:name="_Toc423431732"/>
      <w:bookmarkStart w:id="115" w:name="_Toc466289540"/>
      <w:r>
        <w:t>2.5</w:t>
      </w:r>
      <w:r>
        <w:tab/>
      </w:r>
      <w:r w:rsidR="00B03404" w:rsidRPr="00AA3003">
        <w:t>Databeredning</w:t>
      </w:r>
      <w:bookmarkEnd w:id="111"/>
      <w:bookmarkEnd w:id="112"/>
      <w:bookmarkEnd w:id="113"/>
      <w:bookmarkEnd w:id="114"/>
      <w:bookmarkEnd w:id="115"/>
    </w:p>
    <w:p w:rsidR="00B03404" w:rsidRDefault="008E7017" w:rsidP="00624E0B">
      <w:pPr>
        <w:tabs>
          <w:tab w:val="left" w:pos="709"/>
          <w:tab w:val="left" w:pos="1701"/>
        </w:tabs>
        <w:spacing w:line="240" w:lineRule="auto"/>
      </w:pPr>
      <w:r w:rsidRPr="00624E0B">
        <w:t xml:space="preserve">Svaren från webbformulären läses in automatiskt i SCB:s databas. </w:t>
      </w:r>
      <w:r w:rsidRPr="00711629">
        <w:t>Uppgifter sammanställs och genomgår i samband med detta logiska kontroller och rimlighetskontroller. Kontroller görs exempelvis mot tidigare lämnade uppgifter</w:t>
      </w:r>
      <w:r>
        <w:t xml:space="preserve"> för samma anläggning samt </w:t>
      </w:r>
      <w:r w:rsidR="00730381">
        <w:t xml:space="preserve">mot </w:t>
      </w:r>
      <w:r w:rsidR="005C50F7">
        <w:t xml:space="preserve">övriga </w:t>
      </w:r>
      <w:r w:rsidR="00C6399C">
        <w:t>anläggningars</w:t>
      </w:r>
      <w:r w:rsidR="005C50F7">
        <w:t xml:space="preserve"> uppgifter</w:t>
      </w:r>
      <w:r>
        <w:t xml:space="preserve"> för samma kvartal och bränsle. </w:t>
      </w:r>
      <w:r w:rsidR="00730381">
        <w:t xml:space="preserve">Om ett </w:t>
      </w:r>
      <w:r w:rsidR="00982389">
        <w:t xml:space="preserve">beräknat </w:t>
      </w:r>
      <w:r w:rsidR="00730381">
        <w:t>pris inte bedöms som m</w:t>
      </w:r>
      <w:r>
        <w:t>arknadsmässig</w:t>
      </w:r>
      <w:r w:rsidR="00730381">
        <w:t>t eller om de inlämnade uppgifterna</w:t>
      </w:r>
      <w:r w:rsidR="00982389">
        <w:t xml:space="preserve"> på annat sätt</w:t>
      </w:r>
      <w:r w:rsidR="00730381">
        <w:t xml:space="preserve"> bedöms vara felaktiga</w:t>
      </w:r>
      <w:r w:rsidR="00DC19CF">
        <w:t xml:space="preserve"> tas en återkontakt med uppgifteslämnaren. </w:t>
      </w:r>
      <w:r w:rsidR="00DC19CF" w:rsidRPr="003F10CF">
        <w:t>Om uppgiftslämnaren inte är kontaktbar tas uppgiften i regel inte med i resultatet.</w:t>
      </w:r>
    </w:p>
    <w:p w:rsidR="00537852" w:rsidRDefault="00AA3003" w:rsidP="00763342">
      <w:pPr>
        <w:pStyle w:val="Rubrik1"/>
        <w:ind w:left="1276" w:hanging="1276"/>
      </w:pPr>
      <w:bookmarkStart w:id="116" w:name="_Toc350128473"/>
      <w:bookmarkStart w:id="117" w:name="_Toc323044857"/>
      <w:bookmarkStart w:id="118" w:name="_Toc324860881"/>
      <w:bookmarkStart w:id="119" w:name="_Toc423431733"/>
      <w:bookmarkStart w:id="120" w:name="_Toc466289541"/>
      <w:r>
        <w:t>3</w:t>
      </w:r>
      <w:r>
        <w:tab/>
      </w:r>
      <w:r w:rsidR="00537852" w:rsidRPr="00AA3003">
        <w:t>Statistisk bearbetning</w:t>
      </w:r>
      <w:bookmarkStart w:id="121" w:name="_Toc350128474"/>
      <w:bookmarkStart w:id="122" w:name="_Toc323044858"/>
      <w:bookmarkStart w:id="123" w:name="_Toc324860882"/>
      <w:bookmarkEnd w:id="116"/>
      <w:bookmarkEnd w:id="117"/>
      <w:bookmarkEnd w:id="118"/>
      <w:r w:rsidR="00C05B6F">
        <w:t>:</w:t>
      </w:r>
      <w:r w:rsidR="00D16473">
        <w:t xml:space="preserve"> </w:t>
      </w:r>
      <w:r w:rsidR="00537852" w:rsidRPr="00AA3003">
        <w:t xml:space="preserve">antaganden och </w:t>
      </w:r>
      <w:r w:rsidR="00763342">
        <w:br/>
      </w:r>
      <w:r w:rsidR="00537852" w:rsidRPr="00AA3003">
        <w:t>beräkningsformler</w:t>
      </w:r>
      <w:bookmarkEnd w:id="119"/>
      <w:bookmarkEnd w:id="120"/>
      <w:bookmarkEnd w:id="121"/>
      <w:bookmarkEnd w:id="122"/>
      <w:bookmarkEnd w:id="123"/>
    </w:p>
    <w:p w:rsidR="00E555C7" w:rsidRDefault="00E555C7" w:rsidP="00E555C7">
      <w:r>
        <w:t>Bortfallet i SCB:s insamling har under 2015 varierat mellan 10-19 %. Partiellt bortfall är svårt att uppskatta, då företag kan missa att redovisa enskilda bränslen.</w:t>
      </w:r>
      <w:r w:rsidR="00CB214A">
        <w:t xml:space="preserve"> Inga imputeringar görs.</w:t>
      </w:r>
    </w:p>
    <w:p w:rsidR="00F859ED" w:rsidRDefault="00F859ED" w:rsidP="00E555C7">
      <w:r>
        <w:t>Ingen kompensation görs för bortfallet i skattningarna. Detta innebär ett antagande om att bortfallet är slumpmässigt.</w:t>
      </w:r>
    </w:p>
    <w:p w:rsidR="00CB214A" w:rsidRDefault="00AE1AE2" w:rsidP="00E555C7">
      <w:r>
        <w:t xml:space="preserve">Skattningar av kostnaden per använt bränsle (MWh) görs i respektive redovisningsgrupp genom skattningen av den totala </w:t>
      </w:r>
      <w:r w:rsidR="00A23DCF">
        <w:t>kostnaden dividerat med skattningen av bränsle</w:t>
      </w:r>
      <w:r>
        <w:t>an</w:t>
      </w:r>
      <w:r w:rsidR="00A23DCF">
        <w:t xml:space="preserve">vändningen för respektive bränsle. </w:t>
      </w:r>
      <w:r w:rsidR="007C4F85" w:rsidRPr="0054052E">
        <w:t xml:space="preserve">Matematiska formler finns i bilaga </w:t>
      </w:r>
      <w:r w:rsidR="00FA173E" w:rsidRPr="0054052E">
        <w:t>4</w:t>
      </w:r>
      <w:r w:rsidR="007C4F85" w:rsidRPr="0054052E">
        <w:t>.</w:t>
      </w:r>
    </w:p>
    <w:p w:rsidR="00537852" w:rsidRDefault="00537852" w:rsidP="00537852">
      <w:pPr>
        <w:pStyle w:val="Rubrik1"/>
      </w:pPr>
      <w:bookmarkStart w:id="124" w:name="_Toc323044860"/>
      <w:bookmarkStart w:id="125" w:name="_Toc324860884"/>
      <w:bookmarkStart w:id="126" w:name="_Toc423431735"/>
      <w:bookmarkStart w:id="127" w:name="_Toc466289542"/>
      <w:r>
        <w:t>4</w:t>
      </w:r>
      <w:r>
        <w:tab/>
      </w:r>
      <w:r w:rsidRPr="00537852">
        <w:t>Slutliga</w:t>
      </w:r>
      <w:r>
        <w:t xml:space="preserve"> observationsregister</w:t>
      </w:r>
      <w:bookmarkEnd w:id="124"/>
      <w:bookmarkEnd w:id="125"/>
      <w:bookmarkEnd w:id="126"/>
      <w:bookmarkEnd w:id="127"/>
    </w:p>
    <w:p w:rsidR="00AD5E50" w:rsidRPr="00A777CC" w:rsidRDefault="00AD5E50" w:rsidP="00AD5E50">
      <w:r w:rsidRPr="00A777CC">
        <w:t>I det här dokumentet (SCBDOK) har framtagningen av nedanstående slutliga observationsregister beskrivits.</w:t>
      </w:r>
    </w:p>
    <w:p w:rsidR="00537852" w:rsidRDefault="00537852" w:rsidP="00537852">
      <w:pPr>
        <w:pStyle w:val="Rubrik2"/>
      </w:pPr>
      <w:bookmarkStart w:id="128" w:name="_Toc323044861"/>
      <w:bookmarkStart w:id="129" w:name="_Toc324860885"/>
      <w:bookmarkStart w:id="130" w:name="_Toc423431736"/>
      <w:bookmarkStart w:id="131" w:name="_Toc466289543"/>
      <w:r>
        <w:t>4.1</w:t>
      </w:r>
      <w:r>
        <w:tab/>
        <w:t>Produktionsversioner</w:t>
      </w:r>
      <w:bookmarkEnd w:id="128"/>
      <w:bookmarkEnd w:id="129"/>
      <w:bookmarkEnd w:id="130"/>
      <w:bookmarkEnd w:id="131"/>
    </w:p>
    <w:p w:rsidR="00537852" w:rsidRPr="005F005D" w:rsidRDefault="00537852" w:rsidP="00537852">
      <w:r w:rsidRPr="005F005D">
        <w:t>I det här dokumentet (SCBDOK) har framtagningen av nedanstående slutliga observationsregister beskrivits.</w:t>
      </w:r>
    </w:p>
    <w:p w:rsidR="00537852" w:rsidRPr="008D4A41" w:rsidRDefault="00537852" w:rsidP="00537852">
      <w:pPr>
        <w:spacing w:after="0"/>
        <w:rPr>
          <w:b/>
        </w:rPr>
      </w:pPr>
      <w:r w:rsidRPr="008D4A41">
        <w:rPr>
          <w:b/>
        </w:rPr>
        <w:t>Statistiken</w:t>
      </w:r>
      <w:r w:rsidR="00F86C1B">
        <w:rPr>
          <w:b/>
        </w:rPr>
        <w:t>s slutliga observationsregister</w:t>
      </w: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9"/>
        <w:gridCol w:w="2669"/>
        <w:gridCol w:w="2670"/>
      </w:tblGrid>
      <w:tr w:rsidR="00537852" w:rsidRPr="008D4A41" w:rsidTr="0025042B">
        <w:tc>
          <w:tcPr>
            <w:tcW w:w="2669" w:type="dxa"/>
          </w:tcPr>
          <w:p w:rsidR="00537852" w:rsidRPr="008D4A41" w:rsidRDefault="00537852" w:rsidP="00333C48">
            <w:pPr>
              <w:pStyle w:val="Liststycke"/>
              <w:tabs>
                <w:tab w:val="left" w:pos="709"/>
              </w:tabs>
              <w:spacing w:before="120" w:after="0"/>
              <w:ind w:left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Register</w:t>
            </w:r>
          </w:p>
        </w:tc>
        <w:tc>
          <w:tcPr>
            <w:tcW w:w="2669" w:type="dxa"/>
          </w:tcPr>
          <w:p w:rsidR="00537852" w:rsidRPr="008D4A41" w:rsidRDefault="0025042B" w:rsidP="00333C48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Registerv</w:t>
            </w:r>
            <w:r w:rsidR="00537852" w:rsidRPr="008D4A41">
              <w:rPr>
                <w:b/>
                <w:szCs w:val="24"/>
              </w:rPr>
              <w:t>ariant</w:t>
            </w:r>
          </w:p>
        </w:tc>
        <w:tc>
          <w:tcPr>
            <w:tcW w:w="2670" w:type="dxa"/>
          </w:tcPr>
          <w:p w:rsidR="00537852" w:rsidRPr="008D4A41" w:rsidRDefault="0025042B" w:rsidP="00333C48">
            <w:pPr>
              <w:pStyle w:val="Liststycke"/>
              <w:tabs>
                <w:tab w:val="left" w:pos="709"/>
              </w:tabs>
              <w:spacing w:before="120" w:after="0"/>
              <w:ind w:left="0"/>
              <w:contextualSpacing w:val="0"/>
              <w:rPr>
                <w:b/>
                <w:szCs w:val="24"/>
              </w:rPr>
            </w:pPr>
            <w:r w:rsidRPr="008D4A41">
              <w:rPr>
                <w:b/>
                <w:szCs w:val="24"/>
              </w:rPr>
              <w:t>Registerv</w:t>
            </w:r>
            <w:r w:rsidR="00537852" w:rsidRPr="008D4A41">
              <w:rPr>
                <w:b/>
                <w:szCs w:val="24"/>
              </w:rPr>
              <w:t>ersion</w:t>
            </w:r>
          </w:p>
        </w:tc>
      </w:tr>
      <w:tr w:rsidR="00537852" w:rsidRPr="00486D03" w:rsidTr="0025042B">
        <w:tc>
          <w:tcPr>
            <w:tcW w:w="2669" w:type="dxa"/>
          </w:tcPr>
          <w:p w:rsidR="00537852" w:rsidRPr="00486D03" w:rsidRDefault="00537852" w:rsidP="00333C48">
            <w:pPr>
              <w:pStyle w:val="Liststycke"/>
              <w:tabs>
                <w:tab w:val="left" w:pos="709"/>
              </w:tabs>
              <w:spacing w:after="0"/>
              <w:ind w:left="0"/>
              <w:rPr>
                <w:szCs w:val="24"/>
              </w:rPr>
            </w:pPr>
          </w:p>
        </w:tc>
        <w:tc>
          <w:tcPr>
            <w:tcW w:w="2669" w:type="dxa"/>
          </w:tcPr>
          <w:p w:rsidR="00537852" w:rsidRPr="00486D03" w:rsidRDefault="00537852" w:rsidP="00333C48">
            <w:pPr>
              <w:pStyle w:val="Liststycke"/>
              <w:tabs>
                <w:tab w:val="left" w:pos="709"/>
              </w:tabs>
              <w:spacing w:after="0"/>
              <w:ind w:left="0"/>
              <w:rPr>
                <w:szCs w:val="24"/>
              </w:rPr>
            </w:pPr>
          </w:p>
        </w:tc>
        <w:tc>
          <w:tcPr>
            <w:tcW w:w="2670" w:type="dxa"/>
          </w:tcPr>
          <w:p w:rsidR="00537852" w:rsidRPr="00486D03" w:rsidRDefault="00537852" w:rsidP="00333C48">
            <w:pPr>
              <w:pStyle w:val="Liststycke"/>
              <w:tabs>
                <w:tab w:val="left" w:pos="709"/>
              </w:tabs>
              <w:spacing w:after="0"/>
              <w:ind w:left="0"/>
              <w:rPr>
                <w:szCs w:val="24"/>
              </w:rPr>
            </w:pPr>
          </w:p>
        </w:tc>
      </w:tr>
      <w:tr w:rsidR="00537852" w:rsidRPr="00486D03" w:rsidTr="0025042B">
        <w:tc>
          <w:tcPr>
            <w:tcW w:w="2669" w:type="dxa"/>
          </w:tcPr>
          <w:p w:rsidR="00537852" w:rsidRPr="00486D03" w:rsidRDefault="00537852" w:rsidP="00333C48">
            <w:pPr>
              <w:pStyle w:val="Liststycke"/>
              <w:tabs>
                <w:tab w:val="left" w:pos="709"/>
              </w:tabs>
              <w:spacing w:after="0"/>
              <w:ind w:left="0"/>
              <w:rPr>
                <w:szCs w:val="24"/>
              </w:rPr>
            </w:pPr>
          </w:p>
        </w:tc>
        <w:tc>
          <w:tcPr>
            <w:tcW w:w="2669" w:type="dxa"/>
          </w:tcPr>
          <w:p w:rsidR="00537852" w:rsidRPr="00486D03" w:rsidRDefault="00537852" w:rsidP="00333C48">
            <w:pPr>
              <w:pStyle w:val="Liststycke"/>
              <w:tabs>
                <w:tab w:val="left" w:pos="709"/>
              </w:tabs>
              <w:spacing w:after="0"/>
              <w:ind w:left="0"/>
              <w:rPr>
                <w:szCs w:val="24"/>
              </w:rPr>
            </w:pPr>
          </w:p>
        </w:tc>
        <w:tc>
          <w:tcPr>
            <w:tcW w:w="2670" w:type="dxa"/>
          </w:tcPr>
          <w:p w:rsidR="00537852" w:rsidRPr="00486D03" w:rsidRDefault="00537852" w:rsidP="00333C48">
            <w:pPr>
              <w:pStyle w:val="Liststycke"/>
              <w:tabs>
                <w:tab w:val="left" w:pos="709"/>
              </w:tabs>
              <w:spacing w:after="0"/>
              <w:ind w:left="0"/>
              <w:rPr>
                <w:szCs w:val="24"/>
              </w:rPr>
            </w:pPr>
          </w:p>
        </w:tc>
      </w:tr>
    </w:tbl>
    <w:p w:rsidR="00537852" w:rsidRPr="00F86C1B" w:rsidRDefault="00537852" w:rsidP="00832005">
      <w:pPr>
        <w:spacing w:before="120"/>
      </w:pPr>
      <w:r w:rsidRPr="00F86C1B">
        <w:t>Fortsatt dokumentation, av registrens detaljerade innehåll (i MetaPlus), finns på SCB:s webbplats. Där beskrivs alla variabler och värdemängder m.m. Dokumentationen finns på</w:t>
      </w:r>
      <w:r w:rsidRPr="00F86C1B">
        <w:rPr>
          <w:szCs w:val="24"/>
        </w:rPr>
        <w:t xml:space="preserve"> </w:t>
      </w:r>
      <w:hyperlink r:id="rId24" w:history="1">
        <w:r w:rsidRPr="00983191">
          <w:rPr>
            <w:rStyle w:val="Hyperlnk"/>
          </w:rPr>
          <w:t>www.metadata.scb.se</w:t>
        </w:r>
      </w:hyperlink>
      <w:r w:rsidRPr="00F86C1B">
        <w:rPr>
          <w:rStyle w:val="Hyperlnk"/>
          <w:color w:val="auto"/>
          <w:u w:val="none"/>
        </w:rPr>
        <w:t xml:space="preserve">. </w:t>
      </w:r>
      <w:r w:rsidRPr="00F86C1B">
        <w:t>Klicka dig fram med hjälp av namnen på Register, Registervariant och Registerversion som finns angivna i ovanstående tablå.</w:t>
      </w:r>
    </w:p>
    <w:p w:rsidR="00537852" w:rsidRDefault="00537852" w:rsidP="00537852">
      <w:pPr>
        <w:pStyle w:val="Rubrik2"/>
      </w:pPr>
      <w:bookmarkStart w:id="132" w:name="_Toc323044862"/>
      <w:bookmarkStart w:id="133" w:name="_Toc324860886"/>
      <w:bookmarkStart w:id="134" w:name="_Toc423431737"/>
      <w:bookmarkStart w:id="135" w:name="_Toc466289544"/>
      <w:r>
        <w:t>4.2</w:t>
      </w:r>
      <w:r>
        <w:tab/>
        <w:t>Arkiveringsversioner</w:t>
      </w:r>
      <w:bookmarkEnd w:id="132"/>
      <w:bookmarkEnd w:id="133"/>
      <w:bookmarkEnd w:id="134"/>
      <w:bookmarkEnd w:id="135"/>
    </w:p>
    <w:p w:rsidR="00982389" w:rsidRPr="00E07440" w:rsidRDefault="00982389" w:rsidP="00982389">
      <w:pPr>
        <w:spacing w:after="240"/>
      </w:pPr>
      <w:r w:rsidRPr="00E07440">
        <w:t>Inga registerversioner har ännu arkiverats.</w:t>
      </w:r>
    </w:p>
    <w:p w:rsidR="00537852" w:rsidRDefault="00537852" w:rsidP="00537852">
      <w:pPr>
        <w:pStyle w:val="Rubrik2"/>
      </w:pPr>
      <w:bookmarkStart w:id="136" w:name="_Toc323044863"/>
      <w:bookmarkStart w:id="137" w:name="_Toc324860887"/>
      <w:bookmarkStart w:id="138" w:name="_Toc423431738"/>
      <w:bookmarkStart w:id="139" w:name="_Toc466289545"/>
      <w:r>
        <w:t>4.3</w:t>
      </w:r>
      <w:r>
        <w:tab/>
        <w:t xml:space="preserve">Erfarenheter från denna </w:t>
      </w:r>
      <w:r w:rsidRPr="001B3BA6">
        <w:t>undersöknin</w:t>
      </w:r>
      <w:r w:rsidRPr="00644C39">
        <w:t>gsomgång</w:t>
      </w:r>
      <w:bookmarkEnd w:id="136"/>
      <w:bookmarkEnd w:id="137"/>
      <w:bookmarkEnd w:id="138"/>
      <w:bookmarkEnd w:id="139"/>
    </w:p>
    <w:p w:rsidR="00A463C9" w:rsidRDefault="00982389" w:rsidP="00982389">
      <w:pPr>
        <w:spacing w:before="120"/>
        <w:rPr>
          <w:rFonts w:cs="Times New Roman"/>
        </w:rPr>
      </w:pPr>
      <w:r w:rsidRPr="002076F0">
        <w:rPr>
          <w:rFonts w:cs="Times New Roman"/>
          <w:szCs w:val="24"/>
        </w:rPr>
        <w:t>Inga särskilda erfarenheter finns från denna undersökningsomgång.</w:t>
      </w:r>
      <w:r w:rsidRPr="002076F0">
        <w:rPr>
          <w:rFonts w:cs="Times New Roman"/>
        </w:rPr>
        <w:t xml:space="preserve"> Arbetet har gått helt enligt plan.</w:t>
      </w:r>
    </w:p>
    <w:p w:rsidR="00A463C9" w:rsidRDefault="00A463C9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06591" w:rsidRDefault="00A463C9" w:rsidP="00A463C9">
      <w:pPr>
        <w:pStyle w:val="Rubrik1"/>
      </w:pPr>
      <w:bookmarkStart w:id="140" w:name="_Toc466289546"/>
      <w:r>
        <w:t>Bilag</w:t>
      </w:r>
      <w:r w:rsidR="00A06591">
        <w:t>or</w:t>
      </w:r>
      <w:bookmarkEnd w:id="140"/>
      <w:r>
        <w:t xml:space="preserve"> </w:t>
      </w:r>
    </w:p>
    <w:p w:rsidR="00982389" w:rsidRPr="002076F0" w:rsidRDefault="00A06591" w:rsidP="00A06591">
      <w:pPr>
        <w:pStyle w:val="Rubrik2"/>
      </w:pPr>
      <w:bookmarkStart w:id="141" w:name="_Toc466289547"/>
      <w:r>
        <w:t xml:space="preserve">Bilaga </w:t>
      </w:r>
      <w:r w:rsidR="00A463C9">
        <w:t>1 Introduktionsbrev</w:t>
      </w:r>
      <w:bookmarkEnd w:id="141"/>
    </w:p>
    <w:p w:rsidR="00E16420" w:rsidRDefault="00E16420" w:rsidP="00763342"/>
    <w:p w:rsidR="0004333A" w:rsidRDefault="0004333A">
      <w:pPr>
        <w:spacing w:after="200" w:line="276" w:lineRule="auto"/>
      </w:pPr>
      <w:r>
        <w:rPr>
          <w:noProof/>
          <w:lang w:eastAsia="sv-SE"/>
        </w:rPr>
        <w:drawing>
          <wp:inline distT="0" distB="0" distL="0" distR="0" wp14:anchorId="4269185C" wp14:editId="54D84814">
            <wp:extent cx="4897218" cy="5438693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99160" cy="54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</w:p>
    <w:p w:rsidR="00970718" w:rsidRDefault="00970718">
      <w:pPr>
        <w:spacing w:after="200" w:line="276" w:lineRule="auto"/>
      </w:pPr>
      <w:r>
        <w:t>Introduktionsbrev (sida 2 av 2)</w:t>
      </w:r>
    </w:p>
    <w:p w:rsidR="00A463C9" w:rsidRDefault="0004333A">
      <w:pPr>
        <w:spacing w:after="200" w:line="276" w:lineRule="auto"/>
      </w:pPr>
      <w:r>
        <w:rPr>
          <w:noProof/>
          <w:lang w:eastAsia="sv-SE"/>
        </w:rPr>
        <w:drawing>
          <wp:inline distT="0" distB="0" distL="0" distR="0" wp14:anchorId="08520C1F" wp14:editId="4EA7C778">
            <wp:extent cx="4954712" cy="3609892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6677" cy="361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3C9">
        <w:br w:type="page"/>
      </w:r>
    </w:p>
    <w:p w:rsidR="00A463C9" w:rsidRDefault="00A463C9" w:rsidP="00A06591">
      <w:pPr>
        <w:pStyle w:val="Rubrik2"/>
      </w:pPr>
      <w:bookmarkStart w:id="142" w:name="_Toc466289548"/>
      <w:r>
        <w:t>Bilaga 2 Frågeformulär</w:t>
      </w:r>
      <w:bookmarkEnd w:id="142"/>
    </w:p>
    <w:p w:rsidR="00A463C9" w:rsidRPr="00A463C9" w:rsidRDefault="00A463C9" w:rsidP="00A463C9"/>
    <w:p w:rsidR="00AA58C2" w:rsidRDefault="00043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i/>
          <w:color w:val="0000FF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159C2801" wp14:editId="22B766F0">
            <wp:extent cx="5163002" cy="3867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1262" r="7484"/>
                    <a:stretch/>
                  </pic:blipFill>
                  <pic:spPr bwMode="auto">
                    <a:xfrm>
                      <a:off x="0" y="0"/>
                      <a:ext cx="5169089" cy="387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DB6" w:rsidRDefault="00D85DB6">
      <w:pPr>
        <w:spacing w:after="200" w:line="276" w:lineRule="auto"/>
        <w:rPr>
          <w:rFonts w:cs="Times New Roman"/>
          <w:i/>
          <w:color w:val="0000FF"/>
          <w:sz w:val="20"/>
          <w:szCs w:val="20"/>
        </w:rPr>
      </w:pPr>
      <w:r>
        <w:rPr>
          <w:rFonts w:cs="Times New Roman"/>
          <w:i/>
          <w:color w:val="0000FF"/>
          <w:sz w:val="20"/>
          <w:szCs w:val="20"/>
        </w:rPr>
        <w:br w:type="page"/>
      </w:r>
    </w:p>
    <w:p w:rsidR="00D85DB6" w:rsidRDefault="00D85DB6" w:rsidP="005376FF">
      <w:pPr>
        <w:pStyle w:val="Rubrik2"/>
      </w:pPr>
      <w:bookmarkStart w:id="143" w:name="_Toc466289549"/>
      <w:r>
        <w:t>Bilaga</w:t>
      </w:r>
      <w:r w:rsidR="005376FF">
        <w:t xml:space="preserve"> 3</w:t>
      </w:r>
      <w:r w:rsidR="00C4537E">
        <w:t xml:space="preserve"> Påminnelsebrev</w:t>
      </w:r>
      <w:bookmarkEnd w:id="143"/>
    </w:p>
    <w:p w:rsidR="00970718" w:rsidRPr="00970718" w:rsidRDefault="00970718" w:rsidP="00970718"/>
    <w:p w:rsidR="00C4537E" w:rsidRDefault="00942B52" w:rsidP="00C4537E">
      <w:r>
        <w:rPr>
          <w:noProof/>
          <w:lang w:eastAsia="sv-SE"/>
        </w:rPr>
        <w:drawing>
          <wp:inline distT="0" distB="0" distL="0" distR="0" wp14:anchorId="5F61EEB6" wp14:editId="4B0F9D26">
            <wp:extent cx="5382133" cy="4657725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88849" cy="466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C4537E">
      <w:r>
        <w:rPr>
          <w:noProof/>
          <w:lang w:eastAsia="sv-SE"/>
        </w:rPr>
        <w:drawing>
          <wp:inline distT="0" distB="0" distL="0" distR="0" wp14:anchorId="310C9D43" wp14:editId="4BF9E0BE">
            <wp:extent cx="5381625" cy="3405425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87169" cy="340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CC" w:rsidRDefault="000503CC" w:rsidP="000503CC">
      <w:pPr>
        <w:pStyle w:val="Rubrik2"/>
      </w:pPr>
      <w:bookmarkStart w:id="144" w:name="_Toc466289550"/>
      <w:r>
        <w:t>Bilaga 4 Urval, punktskattningar och varianser</w:t>
      </w:r>
      <w:bookmarkEnd w:id="144"/>
    </w:p>
    <w:p w:rsidR="00FA173E" w:rsidRDefault="00FA173E" w:rsidP="00C075DC"/>
    <w:p w:rsidR="00E43961" w:rsidRDefault="00E43961" w:rsidP="00C075DC"/>
    <w:p w:rsidR="00C075DC" w:rsidRDefault="00FD3C31" w:rsidP="00C075DC">
      <w:r>
        <w:rPr>
          <w:noProof/>
          <w:lang w:eastAsia="sv-SE"/>
        </w:rPr>
        <w:drawing>
          <wp:inline distT="0" distB="0" distL="0" distR="0" wp14:anchorId="4EADC8E5" wp14:editId="499DC9B2">
            <wp:extent cx="4833880" cy="6391275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38860" cy="639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73E" w:rsidRDefault="00FA173E" w:rsidP="00C075DC"/>
    <w:p w:rsidR="00327D24" w:rsidRDefault="00327D24" w:rsidP="00C075DC"/>
    <w:p w:rsidR="00327D24" w:rsidRDefault="00327D24" w:rsidP="00C075DC"/>
    <w:p w:rsidR="00327D24" w:rsidRDefault="00327D24" w:rsidP="00C075DC"/>
    <w:p w:rsidR="0069181C" w:rsidRDefault="0069181C" w:rsidP="00C075DC"/>
    <w:p w:rsidR="00FD3C31" w:rsidRDefault="00FD3C31" w:rsidP="00C075DC"/>
    <w:p w:rsidR="00327D24" w:rsidRDefault="00327D24" w:rsidP="00C075DC">
      <w:r>
        <w:t>Urval, punktskattn</w:t>
      </w:r>
      <w:r w:rsidR="00FD3C31">
        <w:t>ingar och varianser (sida 2 av 3</w:t>
      </w:r>
      <w:r>
        <w:t>)</w:t>
      </w:r>
    </w:p>
    <w:p w:rsidR="00327D24" w:rsidRDefault="00327D24" w:rsidP="00C075DC"/>
    <w:p w:rsidR="00FA173E" w:rsidRDefault="00FD3C31" w:rsidP="00C075DC">
      <w:r>
        <w:rPr>
          <w:noProof/>
          <w:lang w:eastAsia="sv-SE"/>
        </w:rPr>
        <w:drawing>
          <wp:inline distT="0" distB="0" distL="0" distR="0" wp14:anchorId="5531ACE6" wp14:editId="6DC2CC7E">
            <wp:extent cx="4791075" cy="6673883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96011" cy="668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C31" w:rsidRDefault="00FD3C31" w:rsidP="00C075DC"/>
    <w:p w:rsidR="00FD3C31" w:rsidRDefault="00FD3C31" w:rsidP="00C075DC"/>
    <w:p w:rsidR="00FD3C31" w:rsidRDefault="00FD3C31" w:rsidP="00C075DC"/>
    <w:p w:rsidR="00FD3C31" w:rsidRDefault="00FD3C31" w:rsidP="00C075DC"/>
    <w:p w:rsidR="00FD3C31" w:rsidRDefault="00FD3C31" w:rsidP="00C075DC"/>
    <w:p w:rsidR="00FD3C31" w:rsidRDefault="00FD3C31" w:rsidP="00FD3C31">
      <w:r>
        <w:t>Urval, punktskattningar och varianser (sida 3 av 3)</w:t>
      </w:r>
    </w:p>
    <w:p w:rsidR="00FD3C31" w:rsidRPr="00C075DC" w:rsidRDefault="009C1DF9" w:rsidP="00C075DC">
      <w:r>
        <w:rPr>
          <w:noProof/>
          <w:lang w:eastAsia="sv-SE"/>
        </w:rPr>
        <w:drawing>
          <wp:inline distT="0" distB="0" distL="0" distR="0" wp14:anchorId="6CAD5DB6" wp14:editId="24845564">
            <wp:extent cx="2876550" cy="4475867"/>
            <wp:effectExtent l="0" t="0" r="0" b="127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6498"/>
                    <a:stretch/>
                  </pic:blipFill>
                  <pic:spPr bwMode="auto">
                    <a:xfrm>
                      <a:off x="0" y="0"/>
                      <a:ext cx="2876550" cy="4475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3C31" w:rsidRPr="00C075DC" w:rsidSect="00264FA8">
      <w:type w:val="continuous"/>
      <w:pgSz w:w="11906" w:h="16838" w:code="9"/>
      <w:pgMar w:top="1418" w:right="2552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B9" w:rsidRDefault="00713AB9" w:rsidP="0005368C">
      <w:r>
        <w:separator/>
      </w:r>
    </w:p>
  </w:endnote>
  <w:endnote w:type="continuationSeparator" w:id="0">
    <w:p w:rsidR="00713AB9" w:rsidRDefault="00713AB9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97" w:rsidRPr="00125697" w:rsidRDefault="00125697" w:rsidP="00125697">
    <w:pPr>
      <w:pStyle w:val="Sidfot"/>
      <w:ind w:left="-1418"/>
      <w:rPr>
        <w:sz w:val="16"/>
        <w:szCs w:val="16"/>
      </w:rPr>
    </w:pPr>
    <w:r w:rsidRPr="00125697">
      <w:rPr>
        <w:sz w:val="16"/>
        <w:szCs w:val="16"/>
      </w:rPr>
      <w:t>EN0307_DO_2016_EH_161107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97" w:rsidRPr="00125697" w:rsidRDefault="00125697" w:rsidP="00125697">
    <w:pPr>
      <w:pStyle w:val="Sidfot"/>
      <w:ind w:left="-1418"/>
      <w:rPr>
        <w:sz w:val="16"/>
        <w:szCs w:val="16"/>
      </w:rPr>
    </w:pPr>
    <w:r w:rsidRPr="00125697">
      <w:rPr>
        <w:sz w:val="16"/>
        <w:szCs w:val="16"/>
      </w:rPr>
      <w:t>EN0307_DO_2016_EH_161107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B9" w:rsidRPr="000F4BF5" w:rsidRDefault="00713AB9" w:rsidP="000F4BF5">
      <w:pPr>
        <w:pStyle w:val="Sidfot"/>
      </w:pPr>
    </w:p>
  </w:footnote>
  <w:footnote w:type="continuationSeparator" w:id="0">
    <w:p w:rsidR="00713AB9" w:rsidRPr="00565C6C" w:rsidRDefault="00713AB9" w:rsidP="00565C6C">
      <w:pPr>
        <w:pStyle w:val="Sidfot"/>
      </w:pPr>
    </w:p>
  </w:footnote>
  <w:footnote w:type="continuationNotice" w:id="1">
    <w:p w:rsidR="00713AB9" w:rsidRPr="00F3759E" w:rsidRDefault="00713AB9" w:rsidP="00F3759E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835"/>
      <w:gridCol w:w="1703"/>
      <w:gridCol w:w="792"/>
    </w:tblGrid>
    <w:tr w:rsidR="00C075DC" w:rsidTr="00767786">
      <w:tc>
        <w:tcPr>
          <w:tcW w:w="5669" w:type="dxa"/>
          <w:vMerge w:val="restart"/>
        </w:tcPr>
        <w:p w:rsidR="00C075DC" w:rsidRPr="00441F2E" w:rsidRDefault="00C075DC" w:rsidP="00881F65">
          <w:pPr>
            <w:pStyle w:val="Sidhuvud"/>
            <w:spacing w:after="120" w:line="240" w:lineRule="auto"/>
            <w:rPr>
              <w:iCs/>
            </w:rPr>
          </w:pPr>
          <w:r w:rsidRPr="00441F2E">
            <w:rPr>
              <w:iCs/>
            </w:rPr>
            <w:t>Statistikansvarig myndighet</w:t>
          </w:r>
        </w:p>
        <w:p w:rsidR="00C075DC" w:rsidRPr="00441F2E" w:rsidRDefault="002F0DA1" w:rsidP="00441F2E">
          <w:pPr>
            <w:pStyle w:val="Sidhuvud"/>
            <w:spacing w:line="240" w:lineRule="auto"/>
            <w:rPr>
              <w:sz w:val="16"/>
              <w:szCs w:val="16"/>
            </w:rPr>
          </w:pPr>
          <w:r w:rsidRPr="00160A4A">
            <w:rPr>
              <w:iCs/>
            </w:rPr>
            <w:t>ENERGIMYNDIGHETEN</w:t>
          </w:r>
          <w:r>
            <w:rPr>
              <w:iCs/>
            </w:rPr>
            <w:t xml:space="preserve"> </w:t>
          </w:r>
        </w:p>
      </w:tc>
      <w:tc>
        <w:tcPr>
          <w:tcW w:w="2835" w:type="dxa"/>
        </w:tcPr>
        <w:p w:rsidR="00C075DC" w:rsidRPr="005B2B5B" w:rsidRDefault="00C075DC" w:rsidP="00CE7A17">
          <w:pPr>
            <w:pStyle w:val="Sidhuvud"/>
            <w:spacing w:before="20" w:after="6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iCs/>
              <w:sz w:val="14"/>
              <w:szCs w:val="14"/>
              <w:lang w:val="de-DE"/>
            </w:rPr>
            <w:t>Handlingstyp</w:t>
          </w:r>
        </w:p>
      </w:tc>
      <w:tc>
        <w:tcPr>
          <w:tcW w:w="1703" w:type="dxa"/>
        </w:tcPr>
        <w:p w:rsidR="00C075DC" w:rsidRPr="005B2B5B" w:rsidRDefault="00C075DC" w:rsidP="00CE7A17">
          <w:pPr>
            <w:pStyle w:val="Sidhuvud"/>
            <w:spacing w:before="20" w:after="6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>Statistikens p</w:t>
          </w:r>
          <w:r w:rsidRPr="00D7233A">
            <w:rPr>
              <w:rFonts w:ascii="Arial" w:hAnsi="Arial" w:cs="Arial"/>
              <w:bCs/>
              <w:sz w:val="14"/>
              <w:szCs w:val="14"/>
            </w:rPr>
            <w:t>roduktkod</w:t>
          </w:r>
        </w:p>
      </w:tc>
      <w:tc>
        <w:tcPr>
          <w:tcW w:w="792" w:type="dxa"/>
        </w:tcPr>
        <w:p w:rsidR="00C075DC" w:rsidRDefault="00C075DC" w:rsidP="00CE7A17">
          <w:pPr>
            <w:pStyle w:val="Sidhuvud"/>
            <w:spacing w:before="20" w:after="60"/>
          </w:pPr>
          <w:r w:rsidRPr="00D14797">
            <w:rPr>
              <w:rFonts w:ascii="Arial" w:hAnsi="Arial" w:cs="Arial"/>
              <w:sz w:val="14"/>
              <w:szCs w:val="14"/>
            </w:rPr>
            <w:t>Sida</w:t>
          </w:r>
        </w:p>
      </w:tc>
    </w:tr>
    <w:tr w:rsidR="00C075DC" w:rsidTr="00767786">
      <w:trPr>
        <w:trHeight w:val="377"/>
      </w:trPr>
      <w:tc>
        <w:tcPr>
          <w:tcW w:w="5669" w:type="dxa"/>
          <w:vMerge/>
        </w:tcPr>
        <w:p w:rsidR="00C075DC" w:rsidRDefault="00C075DC" w:rsidP="003C472E">
          <w:pPr>
            <w:pStyle w:val="Sidhuvud"/>
          </w:pPr>
        </w:p>
      </w:tc>
      <w:tc>
        <w:tcPr>
          <w:tcW w:w="2835" w:type="dxa"/>
          <w:vAlign w:val="center"/>
        </w:tcPr>
        <w:p w:rsidR="00C075DC" w:rsidRPr="00441F2E" w:rsidRDefault="00C075DC" w:rsidP="00441F2E">
          <w:pPr>
            <w:spacing w:after="0"/>
            <w:rPr>
              <w:bCs/>
            </w:rPr>
          </w:pPr>
          <w:r>
            <w:rPr>
              <w:bCs/>
            </w:rPr>
            <w:t>SCBDOK 4.2</w:t>
          </w:r>
        </w:p>
      </w:tc>
      <w:tc>
        <w:tcPr>
          <w:tcW w:w="1703" w:type="dxa"/>
        </w:tcPr>
        <w:p w:rsidR="00C075DC" w:rsidRPr="005B2B5B" w:rsidRDefault="00C075DC" w:rsidP="00CE7A17">
          <w:pPr>
            <w:spacing w:after="0"/>
          </w:pPr>
          <w:r>
            <w:rPr>
              <w:bCs/>
            </w:rPr>
            <w:t>EN0307</w:t>
          </w:r>
        </w:p>
      </w:tc>
      <w:tc>
        <w:tcPr>
          <w:tcW w:w="792" w:type="dxa"/>
        </w:tcPr>
        <w:p w:rsidR="00C075DC" w:rsidRDefault="00C075DC" w:rsidP="00CE7A17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4084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13AB9">
            <w:fldChar w:fldCharType="begin"/>
          </w:r>
          <w:r w:rsidR="00713AB9">
            <w:instrText xml:space="preserve"> NUMPAGES  \* Arabic  \* MERGEFORMAT </w:instrText>
          </w:r>
          <w:r w:rsidR="00713AB9">
            <w:fldChar w:fldCharType="separate"/>
          </w:r>
          <w:r w:rsidR="00340846">
            <w:rPr>
              <w:noProof/>
            </w:rPr>
            <w:t>2</w:t>
          </w:r>
          <w:r w:rsidR="00713AB9">
            <w:rPr>
              <w:noProof/>
            </w:rPr>
            <w:fldChar w:fldCharType="end"/>
          </w:r>
          <w:r>
            <w:t>)</w:t>
          </w:r>
        </w:p>
      </w:tc>
    </w:tr>
  </w:tbl>
  <w:p w:rsidR="00C075DC" w:rsidRDefault="00C075DC" w:rsidP="00025BE1">
    <w:pPr>
      <w:pStyle w:val="Sidhuvud"/>
      <w:spacing w:line="240" w:lineRule="auto"/>
    </w:pPr>
  </w:p>
  <w:p w:rsidR="00C075DC" w:rsidRPr="00A463C9" w:rsidRDefault="00C075DC" w:rsidP="00A463C9"/>
  <w:p w:rsidR="00C075DC" w:rsidRPr="00E72EEA" w:rsidRDefault="00C075DC" w:rsidP="00025BE1">
    <w:pPr>
      <w:pStyle w:val="Sidhuvud"/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960"/>
      <w:gridCol w:w="2835"/>
      <w:gridCol w:w="1703"/>
      <w:gridCol w:w="792"/>
    </w:tblGrid>
    <w:tr w:rsidR="00C075DC" w:rsidTr="00CB4938">
      <w:tc>
        <w:tcPr>
          <w:tcW w:w="5669" w:type="dxa"/>
          <w:gridSpan w:val="2"/>
          <w:vAlign w:val="bottom"/>
        </w:tcPr>
        <w:p w:rsidR="00C075DC" w:rsidRPr="00CB4938" w:rsidRDefault="00C075DC" w:rsidP="00CB4938">
          <w:pPr>
            <w:pStyle w:val="Sidhuvud"/>
            <w:spacing w:before="20" w:after="60"/>
            <w:rPr>
              <w:rFonts w:ascii="Arial" w:hAnsi="Arial" w:cs="Arial"/>
              <w:iCs/>
              <w:sz w:val="14"/>
              <w:szCs w:val="14"/>
              <w:lang w:val="de-DE"/>
            </w:rPr>
          </w:pPr>
          <w:r>
            <w:rPr>
              <w:rFonts w:ascii="Arial" w:hAnsi="Arial" w:cs="Arial"/>
              <w:iCs/>
              <w:sz w:val="14"/>
              <w:szCs w:val="14"/>
              <w:lang w:val="de-DE"/>
            </w:rPr>
            <w:t>Statistikansvarig myndighet</w:t>
          </w:r>
        </w:p>
      </w:tc>
      <w:tc>
        <w:tcPr>
          <w:tcW w:w="2835" w:type="dxa"/>
          <w:vAlign w:val="center"/>
        </w:tcPr>
        <w:p w:rsidR="00C075DC" w:rsidRPr="005B2B5B" w:rsidRDefault="00C075DC" w:rsidP="00CB4938">
          <w:pPr>
            <w:pStyle w:val="Sidhuvud"/>
            <w:spacing w:before="20" w:after="6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iCs/>
              <w:sz w:val="14"/>
              <w:szCs w:val="14"/>
              <w:lang w:val="de-DE"/>
            </w:rPr>
            <w:t>Handlingstyp</w:t>
          </w:r>
        </w:p>
      </w:tc>
      <w:tc>
        <w:tcPr>
          <w:tcW w:w="1703" w:type="dxa"/>
          <w:vAlign w:val="center"/>
        </w:tcPr>
        <w:p w:rsidR="00C075DC" w:rsidRPr="005B2B5B" w:rsidRDefault="00C075DC" w:rsidP="00CB4938">
          <w:pPr>
            <w:pStyle w:val="Sidhuvud"/>
            <w:spacing w:before="20" w:after="6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>Statistikens p</w:t>
          </w:r>
          <w:r w:rsidRPr="00D7233A">
            <w:rPr>
              <w:rFonts w:ascii="Arial" w:hAnsi="Arial" w:cs="Arial"/>
              <w:bCs/>
              <w:sz w:val="14"/>
              <w:szCs w:val="14"/>
            </w:rPr>
            <w:t>roduktkod</w:t>
          </w:r>
        </w:p>
      </w:tc>
      <w:tc>
        <w:tcPr>
          <w:tcW w:w="792" w:type="dxa"/>
          <w:vAlign w:val="center"/>
        </w:tcPr>
        <w:p w:rsidR="00C075DC" w:rsidRDefault="00C075DC" w:rsidP="00CB4938">
          <w:pPr>
            <w:pStyle w:val="Sidhuvud"/>
            <w:spacing w:before="20" w:after="60"/>
          </w:pPr>
          <w:r w:rsidRPr="00D14797">
            <w:rPr>
              <w:rFonts w:ascii="Arial" w:hAnsi="Arial" w:cs="Arial"/>
              <w:sz w:val="14"/>
              <w:szCs w:val="14"/>
            </w:rPr>
            <w:t>Sida</w:t>
          </w:r>
        </w:p>
      </w:tc>
    </w:tr>
    <w:tr w:rsidR="00C075DC" w:rsidTr="00CB4938">
      <w:trPr>
        <w:trHeight w:val="170"/>
      </w:trPr>
      <w:tc>
        <w:tcPr>
          <w:tcW w:w="5669" w:type="dxa"/>
          <w:gridSpan w:val="2"/>
        </w:tcPr>
        <w:p w:rsidR="00C075DC" w:rsidRDefault="002F0DA1" w:rsidP="00F86C1B">
          <w:pPr>
            <w:pStyle w:val="Sidhuvud"/>
          </w:pPr>
          <w:r w:rsidRPr="00160A4A">
            <w:rPr>
              <w:iCs/>
            </w:rPr>
            <w:t>ENERGIMYNDIGHETEN</w:t>
          </w:r>
        </w:p>
      </w:tc>
      <w:tc>
        <w:tcPr>
          <w:tcW w:w="2835" w:type="dxa"/>
        </w:tcPr>
        <w:p w:rsidR="00C075DC" w:rsidRPr="00CB4938" w:rsidRDefault="00C075DC" w:rsidP="00CB4938">
          <w:pPr>
            <w:spacing w:after="0"/>
            <w:rPr>
              <w:bCs/>
            </w:rPr>
          </w:pPr>
          <w:r w:rsidRPr="00CB4938">
            <w:rPr>
              <w:bCs/>
            </w:rPr>
            <w:t>SCBDOK 4.2</w:t>
          </w:r>
        </w:p>
      </w:tc>
      <w:tc>
        <w:tcPr>
          <w:tcW w:w="1703" w:type="dxa"/>
        </w:tcPr>
        <w:p w:rsidR="00C075DC" w:rsidRPr="005B2B5B" w:rsidRDefault="00C075DC" w:rsidP="00F86C1B">
          <w:pPr>
            <w:spacing w:after="0"/>
          </w:pPr>
          <w:r>
            <w:t>EN0307</w:t>
          </w:r>
        </w:p>
      </w:tc>
      <w:tc>
        <w:tcPr>
          <w:tcW w:w="792" w:type="dxa"/>
        </w:tcPr>
        <w:p w:rsidR="00C075DC" w:rsidRDefault="00C075DC" w:rsidP="00F86C1B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4084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13AB9">
            <w:fldChar w:fldCharType="begin"/>
          </w:r>
          <w:r w:rsidR="00713AB9">
            <w:instrText xml:space="preserve"> NUMPAGES  \* Arabic  \* MERGEFORMAT </w:instrText>
          </w:r>
          <w:r w:rsidR="00713AB9">
            <w:fldChar w:fldCharType="separate"/>
          </w:r>
          <w:r w:rsidR="00340846">
            <w:rPr>
              <w:noProof/>
            </w:rPr>
            <w:t>1</w:t>
          </w:r>
          <w:r w:rsidR="00713AB9">
            <w:rPr>
              <w:noProof/>
            </w:rPr>
            <w:fldChar w:fldCharType="end"/>
          </w:r>
          <w:r>
            <w:t>)</w:t>
          </w:r>
        </w:p>
      </w:tc>
    </w:tr>
    <w:tr w:rsidR="00C075DC" w:rsidRPr="006B1232" w:rsidTr="00767786">
      <w:trPr>
        <w:gridBefore w:val="1"/>
        <w:wBefore w:w="709" w:type="dxa"/>
      </w:trPr>
      <w:tc>
        <w:tcPr>
          <w:tcW w:w="4960" w:type="dxa"/>
        </w:tcPr>
        <w:p w:rsidR="00C075DC" w:rsidRPr="00CB4938" w:rsidRDefault="00C075DC" w:rsidP="00F86C1B">
          <w:pPr>
            <w:spacing w:after="0"/>
            <w:rPr>
              <w:rFonts w:ascii="Arial" w:hAnsi="Arial" w:cs="Arial"/>
              <w:iCs/>
              <w:sz w:val="14"/>
              <w:szCs w:val="14"/>
            </w:rPr>
          </w:pPr>
          <w:r w:rsidRPr="00CB4938">
            <w:rPr>
              <w:rFonts w:ascii="Arial" w:hAnsi="Arial" w:cs="Arial"/>
              <w:iCs/>
              <w:sz w:val="14"/>
              <w:szCs w:val="14"/>
            </w:rPr>
            <w:t>Statistikproducent</w:t>
          </w:r>
        </w:p>
      </w:tc>
      <w:tc>
        <w:tcPr>
          <w:tcW w:w="2835" w:type="dxa"/>
        </w:tcPr>
        <w:p w:rsidR="00C075DC" w:rsidRPr="00CB4938" w:rsidRDefault="00C075DC" w:rsidP="00F86C1B">
          <w:pPr>
            <w:pStyle w:val="Ingetavstn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3" w:type="dxa"/>
        </w:tcPr>
        <w:p w:rsidR="00C075DC" w:rsidRPr="00CB4938" w:rsidRDefault="00C075DC" w:rsidP="00F86C1B">
          <w:pPr>
            <w:pStyle w:val="Ingetavstn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92" w:type="dxa"/>
        </w:tcPr>
        <w:p w:rsidR="00C075DC" w:rsidRPr="00CB4938" w:rsidRDefault="00C075DC" w:rsidP="00F86C1B">
          <w:pPr>
            <w:pStyle w:val="Ingetavstnd"/>
            <w:rPr>
              <w:rFonts w:ascii="Arial" w:hAnsi="Arial" w:cs="Arial"/>
              <w:sz w:val="14"/>
              <w:szCs w:val="14"/>
            </w:rPr>
          </w:pPr>
        </w:p>
      </w:tc>
    </w:tr>
    <w:tr w:rsidR="00C075DC" w:rsidRPr="006B1232" w:rsidTr="00767786">
      <w:trPr>
        <w:gridBefore w:val="1"/>
        <w:wBefore w:w="709" w:type="dxa"/>
      </w:trPr>
      <w:tc>
        <w:tcPr>
          <w:tcW w:w="4960" w:type="dxa"/>
        </w:tcPr>
        <w:p w:rsidR="00C075DC" w:rsidRDefault="00C075DC" w:rsidP="00F86C1B">
          <w:pPr>
            <w:spacing w:after="0"/>
            <w:rPr>
              <w:iCs/>
            </w:rPr>
          </w:pPr>
          <w:r>
            <w:rPr>
              <w:noProof/>
              <w:lang w:eastAsia="sv-SE"/>
            </w:rPr>
            <w:drawing>
              <wp:inline distT="0" distB="0" distL="0" distR="0" wp14:anchorId="09E9BFF5" wp14:editId="6775D6EB">
                <wp:extent cx="2293178" cy="631960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B-liggande_2014-0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43"/>
                        <a:stretch/>
                      </pic:blipFill>
                      <pic:spPr bwMode="auto">
                        <a:xfrm>
                          <a:off x="0" y="0"/>
                          <a:ext cx="2300400" cy="63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  <w:r>
            <w:rPr>
              <w:rFonts w:cs="Arial"/>
              <w:sz w:val="20"/>
              <w:szCs w:val="20"/>
            </w:rPr>
            <w:t>SCB är kvalitetscertifierad</w:t>
          </w:r>
          <w:r w:rsidRPr="00FF04DD">
            <w:rPr>
              <w:rFonts w:cs="Arial"/>
              <w:sz w:val="20"/>
              <w:szCs w:val="20"/>
            </w:rPr>
            <w:t xml:space="preserve"> enligt ISO 20252:2012</w:t>
          </w:r>
        </w:p>
      </w:tc>
      <w:tc>
        <w:tcPr>
          <w:tcW w:w="1703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792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</w:tr>
    <w:tr w:rsidR="00C075DC" w:rsidRPr="006B1232" w:rsidTr="00767786">
      <w:trPr>
        <w:gridBefore w:val="1"/>
        <w:wBefore w:w="709" w:type="dxa"/>
      </w:trPr>
      <w:tc>
        <w:tcPr>
          <w:tcW w:w="4960" w:type="dxa"/>
        </w:tcPr>
        <w:p w:rsidR="00C075DC" w:rsidRDefault="00C075DC" w:rsidP="00F86C1B">
          <w:pPr>
            <w:spacing w:after="0"/>
            <w:rPr>
              <w:iCs/>
            </w:rPr>
          </w:pPr>
          <w:r>
            <w:rPr>
              <w:iCs/>
            </w:rPr>
            <w:t>Avdelningen för regioner och miljö (RM)</w:t>
          </w:r>
        </w:p>
      </w:tc>
      <w:tc>
        <w:tcPr>
          <w:tcW w:w="2835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1703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792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</w:tr>
    <w:tr w:rsidR="00C075DC" w:rsidRPr="006B1232" w:rsidTr="00767786">
      <w:trPr>
        <w:gridBefore w:val="1"/>
        <w:wBefore w:w="709" w:type="dxa"/>
      </w:trPr>
      <w:tc>
        <w:tcPr>
          <w:tcW w:w="4960" w:type="dxa"/>
        </w:tcPr>
        <w:p w:rsidR="00C075DC" w:rsidRPr="00243F33" w:rsidRDefault="00C075DC" w:rsidP="00F86C1B">
          <w:pPr>
            <w:spacing w:after="0"/>
            <w:rPr>
              <w:iCs/>
            </w:rPr>
          </w:pPr>
          <w:r>
            <w:rPr>
              <w:iCs/>
            </w:rPr>
            <w:t>Enheten för energi- och transportstatistik (ET)</w:t>
          </w:r>
        </w:p>
      </w:tc>
      <w:tc>
        <w:tcPr>
          <w:tcW w:w="2835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1703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792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</w:tr>
    <w:tr w:rsidR="00C075DC" w:rsidRPr="006B1232" w:rsidTr="00767786">
      <w:trPr>
        <w:gridBefore w:val="1"/>
        <w:wBefore w:w="709" w:type="dxa"/>
      </w:trPr>
      <w:tc>
        <w:tcPr>
          <w:tcW w:w="4960" w:type="dxa"/>
        </w:tcPr>
        <w:p w:rsidR="00C075DC" w:rsidRPr="00243F33" w:rsidRDefault="00C075DC" w:rsidP="00F86C1B">
          <w:pPr>
            <w:spacing w:after="0"/>
            <w:rPr>
              <w:iCs/>
            </w:rPr>
          </w:pPr>
          <w:r>
            <w:rPr>
              <w:iCs/>
            </w:rPr>
            <w:t>Emilia Hygstedt</w:t>
          </w:r>
        </w:p>
      </w:tc>
      <w:tc>
        <w:tcPr>
          <w:tcW w:w="2835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1703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  <w:tc>
        <w:tcPr>
          <w:tcW w:w="792" w:type="dxa"/>
        </w:tcPr>
        <w:p w:rsidR="00C075DC" w:rsidRPr="006B1232" w:rsidRDefault="00C075DC" w:rsidP="00F86C1B">
          <w:pPr>
            <w:pStyle w:val="Ingetavstnd"/>
            <w:rPr>
              <w:sz w:val="16"/>
              <w:szCs w:val="16"/>
            </w:rPr>
          </w:pPr>
        </w:p>
      </w:tc>
    </w:tr>
  </w:tbl>
  <w:p w:rsidR="00C075DC" w:rsidRDefault="00C075DC" w:rsidP="00767786">
    <w:pPr>
      <w:tabs>
        <w:tab w:val="center" w:pos="4536"/>
        <w:tab w:val="right" w:pos="9072"/>
      </w:tabs>
      <w:spacing w:after="0" w:line="240" w:lineRule="auto"/>
    </w:pPr>
  </w:p>
  <w:p w:rsidR="00C075DC" w:rsidRPr="00767786" w:rsidRDefault="00C075DC" w:rsidP="00767786">
    <w:pPr>
      <w:tabs>
        <w:tab w:val="center" w:pos="4536"/>
        <w:tab w:val="right" w:pos="9072"/>
      </w:tabs>
      <w:spacing w:after="0" w:line="240" w:lineRule="auto"/>
    </w:pPr>
  </w:p>
  <w:p w:rsidR="00C075DC" w:rsidRPr="00E72EEA" w:rsidRDefault="00C075DC" w:rsidP="00E72EE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17ED4"/>
    <w:multiLevelType w:val="multilevel"/>
    <w:tmpl w:val="BA84F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079479D2"/>
    <w:multiLevelType w:val="hybridMultilevel"/>
    <w:tmpl w:val="DBBC74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008ED"/>
    <w:multiLevelType w:val="hybridMultilevel"/>
    <w:tmpl w:val="3A7C2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B3137"/>
    <w:multiLevelType w:val="hybridMultilevel"/>
    <w:tmpl w:val="960CB240"/>
    <w:lvl w:ilvl="0" w:tplc="2B3607B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C0FB4"/>
    <w:multiLevelType w:val="hybridMultilevel"/>
    <w:tmpl w:val="24367CE6"/>
    <w:lvl w:ilvl="0" w:tplc="2B3607BC">
      <w:start w:val="3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DB67512"/>
    <w:multiLevelType w:val="hybridMultilevel"/>
    <w:tmpl w:val="22801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67EE6"/>
    <w:multiLevelType w:val="hybridMultilevel"/>
    <w:tmpl w:val="075EE8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43298"/>
    <w:multiLevelType w:val="hybridMultilevel"/>
    <w:tmpl w:val="2EF6F172"/>
    <w:lvl w:ilvl="0" w:tplc="2B3607B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B57FA"/>
    <w:multiLevelType w:val="hybridMultilevel"/>
    <w:tmpl w:val="CC3E1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60210"/>
    <w:multiLevelType w:val="hybridMultilevel"/>
    <w:tmpl w:val="9F7490CC"/>
    <w:lvl w:ilvl="0" w:tplc="46A6C8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B3607BC">
      <w:start w:val="3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8572A2"/>
    <w:multiLevelType w:val="multilevel"/>
    <w:tmpl w:val="F7B0A86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890318"/>
    <w:multiLevelType w:val="hybridMultilevel"/>
    <w:tmpl w:val="BA16979E"/>
    <w:lvl w:ilvl="0" w:tplc="2B3607B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86449"/>
    <w:multiLevelType w:val="hybridMultilevel"/>
    <w:tmpl w:val="46B857D4"/>
    <w:lvl w:ilvl="0" w:tplc="46A6C8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2D2716"/>
    <w:multiLevelType w:val="hybridMultilevel"/>
    <w:tmpl w:val="61C08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20547"/>
    <w:multiLevelType w:val="hybridMultilevel"/>
    <w:tmpl w:val="3288F0A6"/>
    <w:lvl w:ilvl="0" w:tplc="46A6C8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E242A"/>
    <w:multiLevelType w:val="hybridMultilevel"/>
    <w:tmpl w:val="3CCE1B38"/>
    <w:lvl w:ilvl="0" w:tplc="C3AAF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66D9"/>
        <w:sz w:val="2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B2096"/>
    <w:multiLevelType w:val="hybridMultilevel"/>
    <w:tmpl w:val="AF000FA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B6235A"/>
    <w:multiLevelType w:val="hybridMultilevel"/>
    <w:tmpl w:val="CB644F7C"/>
    <w:lvl w:ilvl="0" w:tplc="46A6C8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B3607BC">
      <w:start w:val="3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443AD3"/>
    <w:multiLevelType w:val="hybridMultilevel"/>
    <w:tmpl w:val="01B86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364CD"/>
    <w:multiLevelType w:val="hybridMultilevel"/>
    <w:tmpl w:val="D3060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230E9"/>
    <w:multiLevelType w:val="hybridMultilevel"/>
    <w:tmpl w:val="211A4520"/>
    <w:lvl w:ilvl="0" w:tplc="2B3607B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75FDD"/>
    <w:multiLevelType w:val="hybridMultilevel"/>
    <w:tmpl w:val="FC9EB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D376F"/>
    <w:multiLevelType w:val="hybridMultilevel"/>
    <w:tmpl w:val="C35063D0"/>
    <w:lvl w:ilvl="0" w:tplc="46A6C866">
      <w:start w:val="2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67CC4F01"/>
    <w:multiLevelType w:val="hybridMultilevel"/>
    <w:tmpl w:val="4CA48D70"/>
    <w:lvl w:ilvl="0" w:tplc="2B3607BC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2B3607BC">
      <w:start w:val="3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D067BD"/>
    <w:multiLevelType w:val="hybridMultilevel"/>
    <w:tmpl w:val="F29AB08A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F30515E"/>
    <w:multiLevelType w:val="hybridMultilevel"/>
    <w:tmpl w:val="817C0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56BB0"/>
    <w:multiLevelType w:val="hybridMultilevel"/>
    <w:tmpl w:val="15F85084"/>
    <w:lvl w:ilvl="0" w:tplc="2B3607BC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2B3607BC">
      <w:start w:val="3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351353"/>
    <w:multiLevelType w:val="hybridMultilevel"/>
    <w:tmpl w:val="01347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D22B3"/>
    <w:multiLevelType w:val="multilevel"/>
    <w:tmpl w:val="E1AAD8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5"/>
  </w:num>
  <w:num w:numId="13">
    <w:abstractNumId w:val="22"/>
  </w:num>
  <w:num w:numId="14">
    <w:abstractNumId w:val="11"/>
  </w:num>
  <w:num w:numId="15">
    <w:abstractNumId w:val="10"/>
  </w:num>
  <w:num w:numId="16">
    <w:abstractNumId w:val="31"/>
  </w:num>
  <w:num w:numId="17">
    <w:abstractNumId w:val="12"/>
  </w:num>
  <w:num w:numId="18">
    <w:abstractNumId w:val="20"/>
  </w:num>
  <w:num w:numId="19">
    <w:abstractNumId w:val="16"/>
  </w:num>
  <w:num w:numId="20">
    <w:abstractNumId w:val="23"/>
  </w:num>
  <w:num w:numId="21">
    <w:abstractNumId w:val="22"/>
  </w:num>
  <w:num w:numId="22">
    <w:abstractNumId w:val="26"/>
  </w:num>
  <w:num w:numId="23">
    <w:abstractNumId w:val="38"/>
  </w:num>
  <w:num w:numId="24">
    <w:abstractNumId w:val="24"/>
  </w:num>
  <w:num w:numId="25">
    <w:abstractNumId w:val="32"/>
  </w:num>
  <w:num w:numId="26">
    <w:abstractNumId w:val="14"/>
  </w:num>
  <w:num w:numId="27">
    <w:abstractNumId w:val="21"/>
  </w:num>
  <w:num w:numId="28">
    <w:abstractNumId w:val="30"/>
  </w:num>
  <w:num w:numId="29">
    <w:abstractNumId w:val="35"/>
  </w:num>
  <w:num w:numId="30">
    <w:abstractNumId w:val="13"/>
  </w:num>
  <w:num w:numId="31">
    <w:abstractNumId w:val="34"/>
  </w:num>
  <w:num w:numId="32">
    <w:abstractNumId w:val="27"/>
  </w:num>
  <w:num w:numId="33">
    <w:abstractNumId w:val="36"/>
  </w:num>
  <w:num w:numId="34">
    <w:abstractNumId w:val="19"/>
  </w:num>
  <w:num w:numId="35">
    <w:abstractNumId w:val="33"/>
  </w:num>
  <w:num w:numId="36">
    <w:abstractNumId w:val="18"/>
  </w:num>
  <w:num w:numId="37">
    <w:abstractNumId w:val="28"/>
  </w:num>
  <w:num w:numId="38">
    <w:abstractNumId w:val="15"/>
  </w:num>
  <w:num w:numId="39">
    <w:abstractNumId w:val="3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2E"/>
    <w:rsid w:val="00007C9F"/>
    <w:rsid w:val="0001140C"/>
    <w:rsid w:val="00011DEC"/>
    <w:rsid w:val="00025BE1"/>
    <w:rsid w:val="00035F69"/>
    <w:rsid w:val="00036681"/>
    <w:rsid w:val="0003792A"/>
    <w:rsid w:val="00040F1A"/>
    <w:rsid w:val="00043101"/>
    <w:rsid w:val="0004333A"/>
    <w:rsid w:val="000503CC"/>
    <w:rsid w:val="000504E6"/>
    <w:rsid w:val="00051EF7"/>
    <w:rsid w:val="00051FFC"/>
    <w:rsid w:val="0005368C"/>
    <w:rsid w:val="0005552B"/>
    <w:rsid w:val="00055BD9"/>
    <w:rsid w:val="000578DB"/>
    <w:rsid w:val="00061BC7"/>
    <w:rsid w:val="00066107"/>
    <w:rsid w:val="000664B7"/>
    <w:rsid w:val="00073A06"/>
    <w:rsid w:val="00073E0D"/>
    <w:rsid w:val="00077FA6"/>
    <w:rsid w:val="00080CCB"/>
    <w:rsid w:val="000866FB"/>
    <w:rsid w:val="0008678F"/>
    <w:rsid w:val="00093AD6"/>
    <w:rsid w:val="00096B97"/>
    <w:rsid w:val="00097DE4"/>
    <w:rsid w:val="000A5661"/>
    <w:rsid w:val="000B098B"/>
    <w:rsid w:val="000C1EC2"/>
    <w:rsid w:val="000C323A"/>
    <w:rsid w:val="000C354C"/>
    <w:rsid w:val="000C5561"/>
    <w:rsid w:val="000D07F3"/>
    <w:rsid w:val="000D7B94"/>
    <w:rsid w:val="000E1189"/>
    <w:rsid w:val="000E7403"/>
    <w:rsid w:val="000F4BF5"/>
    <w:rsid w:val="001015AA"/>
    <w:rsid w:val="0010264E"/>
    <w:rsid w:val="001054FF"/>
    <w:rsid w:val="0012452B"/>
    <w:rsid w:val="00125697"/>
    <w:rsid w:val="00135B43"/>
    <w:rsid w:val="00136886"/>
    <w:rsid w:val="00147FB7"/>
    <w:rsid w:val="00152CE6"/>
    <w:rsid w:val="0015429E"/>
    <w:rsid w:val="0016285E"/>
    <w:rsid w:val="001808BB"/>
    <w:rsid w:val="001818E7"/>
    <w:rsid w:val="00182CB7"/>
    <w:rsid w:val="0019112E"/>
    <w:rsid w:val="0019210A"/>
    <w:rsid w:val="001A4071"/>
    <w:rsid w:val="001A614B"/>
    <w:rsid w:val="001B1E1D"/>
    <w:rsid w:val="001B5006"/>
    <w:rsid w:val="001D3863"/>
    <w:rsid w:val="001D389A"/>
    <w:rsid w:val="001E450D"/>
    <w:rsid w:val="001E573A"/>
    <w:rsid w:val="001F2FEC"/>
    <w:rsid w:val="001F45C8"/>
    <w:rsid w:val="001F50AF"/>
    <w:rsid w:val="001F5168"/>
    <w:rsid w:val="00203475"/>
    <w:rsid w:val="00223125"/>
    <w:rsid w:val="002235C7"/>
    <w:rsid w:val="0024143D"/>
    <w:rsid w:val="00242CC2"/>
    <w:rsid w:val="002451EE"/>
    <w:rsid w:val="00245250"/>
    <w:rsid w:val="0024543C"/>
    <w:rsid w:val="00246F5E"/>
    <w:rsid w:val="0025042B"/>
    <w:rsid w:val="00251BBA"/>
    <w:rsid w:val="00256766"/>
    <w:rsid w:val="00261A82"/>
    <w:rsid w:val="0026459E"/>
    <w:rsid w:val="00264F36"/>
    <w:rsid w:val="00264FA8"/>
    <w:rsid w:val="002708A4"/>
    <w:rsid w:val="00270A20"/>
    <w:rsid w:val="0027726F"/>
    <w:rsid w:val="00296D5F"/>
    <w:rsid w:val="002974AE"/>
    <w:rsid w:val="002B00E2"/>
    <w:rsid w:val="002B13E9"/>
    <w:rsid w:val="002B4D0E"/>
    <w:rsid w:val="002C1040"/>
    <w:rsid w:val="002C46C2"/>
    <w:rsid w:val="002C568E"/>
    <w:rsid w:val="002D23CD"/>
    <w:rsid w:val="002E009D"/>
    <w:rsid w:val="002E0BEF"/>
    <w:rsid w:val="002E10E7"/>
    <w:rsid w:val="002E1C5A"/>
    <w:rsid w:val="002E5797"/>
    <w:rsid w:val="002F0DA1"/>
    <w:rsid w:val="002F713E"/>
    <w:rsid w:val="00303871"/>
    <w:rsid w:val="00306F19"/>
    <w:rsid w:val="00313D4A"/>
    <w:rsid w:val="00315F51"/>
    <w:rsid w:val="00322897"/>
    <w:rsid w:val="00327D24"/>
    <w:rsid w:val="00333C48"/>
    <w:rsid w:val="00340846"/>
    <w:rsid w:val="00346E1C"/>
    <w:rsid w:val="00352383"/>
    <w:rsid w:val="00356D2F"/>
    <w:rsid w:val="003732D3"/>
    <w:rsid w:val="00373A0E"/>
    <w:rsid w:val="003747AE"/>
    <w:rsid w:val="00380E7C"/>
    <w:rsid w:val="0038122B"/>
    <w:rsid w:val="003849C0"/>
    <w:rsid w:val="00387507"/>
    <w:rsid w:val="00387ED6"/>
    <w:rsid w:val="0039027A"/>
    <w:rsid w:val="00393458"/>
    <w:rsid w:val="003951F1"/>
    <w:rsid w:val="003A1DA4"/>
    <w:rsid w:val="003A6A97"/>
    <w:rsid w:val="003B6BE5"/>
    <w:rsid w:val="003C4588"/>
    <w:rsid w:val="003C472E"/>
    <w:rsid w:val="003C66E6"/>
    <w:rsid w:val="003D16B9"/>
    <w:rsid w:val="003D59C7"/>
    <w:rsid w:val="003F06EC"/>
    <w:rsid w:val="0040474E"/>
    <w:rsid w:val="00405A3D"/>
    <w:rsid w:val="00410EE1"/>
    <w:rsid w:val="004139DC"/>
    <w:rsid w:val="004141E7"/>
    <w:rsid w:val="00422792"/>
    <w:rsid w:val="004400D3"/>
    <w:rsid w:val="00441F2E"/>
    <w:rsid w:val="00444C8A"/>
    <w:rsid w:val="00445C8B"/>
    <w:rsid w:val="0045285D"/>
    <w:rsid w:val="004620EF"/>
    <w:rsid w:val="00463674"/>
    <w:rsid w:val="004640B9"/>
    <w:rsid w:val="00470B19"/>
    <w:rsid w:val="00471969"/>
    <w:rsid w:val="004832A9"/>
    <w:rsid w:val="00483AC0"/>
    <w:rsid w:val="004907B3"/>
    <w:rsid w:val="00491191"/>
    <w:rsid w:val="004975DF"/>
    <w:rsid w:val="004B10F0"/>
    <w:rsid w:val="004B4CA4"/>
    <w:rsid w:val="004B4CAD"/>
    <w:rsid w:val="004C2607"/>
    <w:rsid w:val="004D6CAF"/>
    <w:rsid w:val="004E3FE7"/>
    <w:rsid w:val="004E59AE"/>
    <w:rsid w:val="004E7095"/>
    <w:rsid w:val="004F4C7A"/>
    <w:rsid w:val="005021BC"/>
    <w:rsid w:val="005073E1"/>
    <w:rsid w:val="005076A6"/>
    <w:rsid w:val="005252D2"/>
    <w:rsid w:val="005334B6"/>
    <w:rsid w:val="00536927"/>
    <w:rsid w:val="005376FF"/>
    <w:rsid w:val="00537852"/>
    <w:rsid w:val="0054052E"/>
    <w:rsid w:val="005417B6"/>
    <w:rsid w:val="00546288"/>
    <w:rsid w:val="005462E6"/>
    <w:rsid w:val="00564987"/>
    <w:rsid w:val="00565C6C"/>
    <w:rsid w:val="005704A1"/>
    <w:rsid w:val="00570AFE"/>
    <w:rsid w:val="005727E6"/>
    <w:rsid w:val="005748EC"/>
    <w:rsid w:val="00576E3E"/>
    <w:rsid w:val="00581C9A"/>
    <w:rsid w:val="00584007"/>
    <w:rsid w:val="00585C80"/>
    <w:rsid w:val="005A16D4"/>
    <w:rsid w:val="005B2B5B"/>
    <w:rsid w:val="005B3478"/>
    <w:rsid w:val="005B48CE"/>
    <w:rsid w:val="005C412B"/>
    <w:rsid w:val="005C50F7"/>
    <w:rsid w:val="005C66E3"/>
    <w:rsid w:val="005C744B"/>
    <w:rsid w:val="005D3D00"/>
    <w:rsid w:val="005D611E"/>
    <w:rsid w:val="005D6638"/>
    <w:rsid w:val="005E1879"/>
    <w:rsid w:val="005F005D"/>
    <w:rsid w:val="005F4199"/>
    <w:rsid w:val="006024C8"/>
    <w:rsid w:val="00603615"/>
    <w:rsid w:val="00616751"/>
    <w:rsid w:val="00617413"/>
    <w:rsid w:val="00624CE4"/>
    <w:rsid w:val="00624E0B"/>
    <w:rsid w:val="00626F38"/>
    <w:rsid w:val="00631F7D"/>
    <w:rsid w:val="0064045A"/>
    <w:rsid w:val="00646E71"/>
    <w:rsid w:val="00652121"/>
    <w:rsid w:val="00653344"/>
    <w:rsid w:val="00657C05"/>
    <w:rsid w:val="00662460"/>
    <w:rsid w:val="006630B2"/>
    <w:rsid w:val="00667E40"/>
    <w:rsid w:val="00686C96"/>
    <w:rsid w:val="0069181C"/>
    <w:rsid w:val="006A6B44"/>
    <w:rsid w:val="006B1232"/>
    <w:rsid w:val="006B1721"/>
    <w:rsid w:val="006B1843"/>
    <w:rsid w:val="006B1A7B"/>
    <w:rsid w:val="006B35D6"/>
    <w:rsid w:val="006B3F8F"/>
    <w:rsid w:val="006B4BFC"/>
    <w:rsid w:val="006B54E3"/>
    <w:rsid w:val="006C2F32"/>
    <w:rsid w:val="006E026B"/>
    <w:rsid w:val="006E07E0"/>
    <w:rsid w:val="006E2532"/>
    <w:rsid w:val="006E50DA"/>
    <w:rsid w:val="006E7693"/>
    <w:rsid w:val="006F3F63"/>
    <w:rsid w:val="00700C56"/>
    <w:rsid w:val="0070133B"/>
    <w:rsid w:val="0070576E"/>
    <w:rsid w:val="00713AB9"/>
    <w:rsid w:val="00715610"/>
    <w:rsid w:val="007165BE"/>
    <w:rsid w:val="007173B2"/>
    <w:rsid w:val="00723AFB"/>
    <w:rsid w:val="007277A3"/>
    <w:rsid w:val="00730381"/>
    <w:rsid w:val="00737A1A"/>
    <w:rsid w:val="0074143E"/>
    <w:rsid w:val="00750B64"/>
    <w:rsid w:val="007514BB"/>
    <w:rsid w:val="00756735"/>
    <w:rsid w:val="00763342"/>
    <w:rsid w:val="00763620"/>
    <w:rsid w:val="00767786"/>
    <w:rsid w:val="007719C1"/>
    <w:rsid w:val="007744D2"/>
    <w:rsid w:val="0077594D"/>
    <w:rsid w:val="00777190"/>
    <w:rsid w:val="00792739"/>
    <w:rsid w:val="00796421"/>
    <w:rsid w:val="00797BEC"/>
    <w:rsid w:val="007A19B5"/>
    <w:rsid w:val="007A22DA"/>
    <w:rsid w:val="007A4B33"/>
    <w:rsid w:val="007B47ED"/>
    <w:rsid w:val="007C4F85"/>
    <w:rsid w:val="007C6119"/>
    <w:rsid w:val="007E13B4"/>
    <w:rsid w:val="007E2DF7"/>
    <w:rsid w:val="007E62C6"/>
    <w:rsid w:val="007F59EA"/>
    <w:rsid w:val="007F6D2E"/>
    <w:rsid w:val="00801671"/>
    <w:rsid w:val="00801CAB"/>
    <w:rsid w:val="00801FF1"/>
    <w:rsid w:val="00803A54"/>
    <w:rsid w:val="00826BC0"/>
    <w:rsid w:val="00827053"/>
    <w:rsid w:val="00831794"/>
    <w:rsid w:val="008317E8"/>
    <w:rsid w:val="00832005"/>
    <w:rsid w:val="00833A14"/>
    <w:rsid w:val="00835E7C"/>
    <w:rsid w:val="00844956"/>
    <w:rsid w:val="00852256"/>
    <w:rsid w:val="0085376A"/>
    <w:rsid w:val="00854CAF"/>
    <w:rsid w:val="00855C13"/>
    <w:rsid w:val="00860805"/>
    <w:rsid w:val="008609BD"/>
    <w:rsid w:val="00864B5F"/>
    <w:rsid w:val="00874591"/>
    <w:rsid w:val="00875598"/>
    <w:rsid w:val="00876A25"/>
    <w:rsid w:val="00881F65"/>
    <w:rsid w:val="00882F5C"/>
    <w:rsid w:val="00886322"/>
    <w:rsid w:val="00896693"/>
    <w:rsid w:val="008A14DC"/>
    <w:rsid w:val="008A5614"/>
    <w:rsid w:val="008B6419"/>
    <w:rsid w:val="008C20A2"/>
    <w:rsid w:val="008C7FFC"/>
    <w:rsid w:val="008D4717"/>
    <w:rsid w:val="008D4A41"/>
    <w:rsid w:val="008D6AF5"/>
    <w:rsid w:val="008E1C0E"/>
    <w:rsid w:val="008E58A7"/>
    <w:rsid w:val="008E7017"/>
    <w:rsid w:val="008F5A71"/>
    <w:rsid w:val="008F63CB"/>
    <w:rsid w:val="008F6C56"/>
    <w:rsid w:val="00902B1E"/>
    <w:rsid w:val="00906F71"/>
    <w:rsid w:val="00910535"/>
    <w:rsid w:val="009117BA"/>
    <w:rsid w:val="0091181B"/>
    <w:rsid w:val="00912879"/>
    <w:rsid w:val="009140C6"/>
    <w:rsid w:val="009179EB"/>
    <w:rsid w:val="009242DF"/>
    <w:rsid w:val="00932F34"/>
    <w:rsid w:val="009349ED"/>
    <w:rsid w:val="0093561C"/>
    <w:rsid w:val="00942226"/>
    <w:rsid w:val="00942B52"/>
    <w:rsid w:val="00943D84"/>
    <w:rsid w:val="0094445D"/>
    <w:rsid w:val="00957F35"/>
    <w:rsid w:val="00961912"/>
    <w:rsid w:val="009678F8"/>
    <w:rsid w:val="009706AA"/>
    <w:rsid w:val="00970718"/>
    <w:rsid w:val="00981B3D"/>
    <w:rsid w:val="00982052"/>
    <w:rsid w:val="00982389"/>
    <w:rsid w:val="00983191"/>
    <w:rsid w:val="0098722A"/>
    <w:rsid w:val="00987237"/>
    <w:rsid w:val="00991C13"/>
    <w:rsid w:val="00997515"/>
    <w:rsid w:val="00997DAC"/>
    <w:rsid w:val="009A2279"/>
    <w:rsid w:val="009A251A"/>
    <w:rsid w:val="009A2564"/>
    <w:rsid w:val="009A3555"/>
    <w:rsid w:val="009C1DF9"/>
    <w:rsid w:val="009C5AAC"/>
    <w:rsid w:val="009D2A5C"/>
    <w:rsid w:val="009D4EAE"/>
    <w:rsid w:val="009D59E2"/>
    <w:rsid w:val="009D6A66"/>
    <w:rsid w:val="009D7D03"/>
    <w:rsid w:val="009E061C"/>
    <w:rsid w:val="009E54E4"/>
    <w:rsid w:val="009F3157"/>
    <w:rsid w:val="009F53B6"/>
    <w:rsid w:val="00A004E4"/>
    <w:rsid w:val="00A05F79"/>
    <w:rsid w:val="00A06591"/>
    <w:rsid w:val="00A2126E"/>
    <w:rsid w:val="00A23DCF"/>
    <w:rsid w:val="00A23E6D"/>
    <w:rsid w:val="00A33196"/>
    <w:rsid w:val="00A463C9"/>
    <w:rsid w:val="00A55FDA"/>
    <w:rsid w:val="00A613F8"/>
    <w:rsid w:val="00A61686"/>
    <w:rsid w:val="00A706C7"/>
    <w:rsid w:val="00A74379"/>
    <w:rsid w:val="00A85906"/>
    <w:rsid w:val="00A90734"/>
    <w:rsid w:val="00A90E9A"/>
    <w:rsid w:val="00AA019D"/>
    <w:rsid w:val="00AA23DD"/>
    <w:rsid w:val="00AA3003"/>
    <w:rsid w:val="00AA58C2"/>
    <w:rsid w:val="00AA76AB"/>
    <w:rsid w:val="00AB0475"/>
    <w:rsid w:val="00AB14D2"/>
    <w:rsid w:val="00AB1A15"/>
    <w:rsid w:val="00AC17B6"/>
    <w:rsid w:val="00AD5E50"/>
    <w:rsid w:val="00AD6B4E"/>
    <w:rsid w:val="00AD7513"/>
    <w:rsid w:val="00AD796A"/>
    <w:rsid w:val="00AE1AE2"/>
    <w:rsid w:val="00AE7704"/>
    <w:rsid w:val="00B03404"/>
    <w:rsid w:val="00B07BE4"/>
    <w:rsid w:val="00B17D28"/>
    <w:rsid w:val="00B21905"/>
    <w:rsid w:val="00B2622D"/>
    <w:rsid w:val="00B27362"/>
    <w:rsid w:val="00B2795A"/>
    <w:rsid w:val="00B30A9D"/>
    <w:rsid w:val="00B31267"/>
    <w:rsid w:val="00B35C95"/>
    <w:rsid w:val="00B401AE"/>
    <w:rsid w:val="00B45074"/>
    <w:rsid w:val="00B51A5F"/>
    <w:rsid w:val="00B6211C"/>
    <w:rsid w:val="00B626A3"/>
    <w:rsid w:val="00B63133"/>
    <w:rsid w:val="00B662AD"/>
    <w:rsid w:val="00B72B41"/>
    <w:rsid w:val="00B76363"/>
    <w:rsid w:val="00B805D8"/>
    <w:rsid w:val="00B93364"/>
    <w:rsid w:val="00BC6199"/>
    <w:rsid w:val="00BE19DE"/>
    <w:rsid w:val="00BE1E00"/>
    <w:rsid w:val="00BE2089"/>
    <w:rsid w:val="00C05B6F"/>
    <w:rsid w:val="00C0687E"/>
    <w:rsid w:val="00C075DC"/>
    <w:rsid w:val="00C11C29"/>
    <w:rsid w:val="00C1222D"/>
    <w:rsid w:val="00C15D26"/>
    <w:rsid w:val="00C22BCD"/>
    <w:rsid w:val="00C2355C"/>
    <w:rsid w:val="00C32C13"/>
    <w:rsid w:val="00C41560"/>
    <w:rsid w:val="00C44C31"/>
    <w:rsid w:val="00C4537E"/>
    <w:rsid w:val="00C45503"/>
    <w:rsid w:val="00C512F2"/>
    <w:rsid w:val="00C624CF"/>
    <w:rsid w:val="00C6399C"/>
    <w:rsid w:val="00C80B95"/>
    <w:rsid w:val="00C812B3"/>
    <w:rsid w:val="00C82E4A"/>
    <w:rsid w:val="00C92703"/>
    <w:rsid w:val="00C957F1"/>
    <w:rsid w:val="00C96F98"/>
    <w:rsid w:val="00C972F7"/>
    <w:rsid w:val="00CA0E94"/>
    <w:rsid w:val="00CA165D"/>
    <w:rsid w:val="00CA684C"/>
    <w:rsid w:val="00CA6DB9"/>
    <w:rsid w:val="00CB214A"/>
    <w:rsid w:val="00CB4938"/>
    <w:rsid w:val="00CB5CB3"/>
    <w:rsid w:val="00CC288D"/>
    <w:rsid w:val="00CD4B98"/>
    <w:rsid w:val="00CE5063"/>
    <w:rsid w:val="00CE7A17"/>
    <w:rsid w:val="00D0260B"/>
    <w:rsid w:val="00D027F4"/>
    <w:rsid w:val="00D04412"/>
    <w:rsid w:val="00D14797"/>
    <w:rsid w:val="00D15DFF"/>
    <w:rsid w:val="00D16473"/>
    <w:rsid w:val="00D23F42"/>
    <w:rsid w:val="00D27F17"/>
    <w:rsid w:val="00D31CCD"/>
    <w:rsid w:val="00D32595"/>
    <w:rsid w:val="00D32EA2"/>
    <w:rsid w:val="00D33811"/>
    <w:rsid w:val="00D5021B"/>
    <w:rsid w:val="00D50AFD"/>
    <w:rsid w:val="00D5410B"/>
    <w:rsid w:val="00D55A2D"/>
    <w:rsid w:val="00D56AD8"/>
    <w:rsid w:val="00D7233A"/>
    <w:rsid w:val="00D83158"/>
    <w:rsid w:val="00D83C1E"/>
    <w:rsid w:val="00D85DB6"/>
    <w:rsid w:val="00D94879"/>
    <w:rsid w:val="00DA28CA"/>
    <w:rsid w:val="00DA4215"/>
    <w:rsid w:val="00DB5CBC"/>
    <w:rsid w:val="00DB739E"/>
    <w:rsid w:val="00DC19CF"/>
    <w:rsid w:val="00DD2D33"/>
    <w:rsid w:val="00DD3B3E"/>
    <w:rsid w:val="00DE3B84"/>
    <w:rsid w:val="00DE6AD3"/>
    <w:rsid w:val="00DF052B"/>
    <w:rsid w:val="00DF09F0"/>
    <w:rsid w:val="00DF0AF1"/>
    <w:rsid w:val="00DF27F6"/>
    <w:rsid w:val="00DF694B"/>
    <w:rsid w:val="00E129C8"/>
    <w:rsid w:val="00E1617B"/>
    <w:rsid w:val="00E16420"/>
    <w:rsid w:val="00E20C82"/>
    <w:rsid w:val="00E26B1B"/>
    <w:rsid w:val="00E34DEA"/>
    <w:rsid w:val="00E404DE"/>
    <w:rsid w:val="00E413C2"/>
    <w:rsid w:val="00E43961"/>
    <w:rsid w:val="00E54A1B"/>
    <w:rsid w:val="00E555C7"/>
    <w:rsid w:val="00E61AF8"/>
    <w:rsid w:val="00E6542E"/>
    <w:rsid w:val="00E72EEA"/>
    <w:rsid w:val="00E74E82"/>
    <w:rsid w:val="00E83982"/>
    <w:rsid w:val="00E844DD"/>
    <w:rsid w:val="00E85BE2"/>
    <w:rsid w:val="00E870A9"/>
    <w:rsid w:val="00E9042C"/>
    <w:rsid w:val="00E92386"/>
    <w:rsid w:val="00E93A06"/>
    <w:rsid w:val="00EA60F2"/>
    <w:rsid w:val="00EA6CB8"/>
    <w:rsid w:val="00EB1992"/>
    <w:rsid w:val="00EB2540"/>
    <w:rsid w:val="00EB3163"/>
    <w:rsid w:val="00EB4734"/>
    <w:rsid w:val="00EB759A"/>
    <w:rsid w:val="00EC3C33"/>
    <w:rsid w:val="00ED4B78"/>
    <w:rsid w:val="00ED5492"/>
    <w:rsid w:val="00EE55C0"/>
    <w:rsid w:val="00EE67B5"/>
    <w:rsid w:val="00EE7F4E"/>
    <w:rsid w:val="00F00651"/>
    <w:rsid w:val="00F006E5"/>
    <w:rsid w:val="00F02F3B"/>
    <w:rsid w:val="00F1023E"/>
    <w:rsid w:val="00F13EA7"/>
    <w:rsid w:val="00F20722"/>
    <w:rsid w:val="00F22FD5"/>
    <w:rsid w:val="00F264D6"/>
    <w:rsid w:val="00F33E8A"/>
    <w:rsid w:val="00F37451"/>
    <w:rsid w:val="00F3759E"/>
    <w:rsid w:val="00F37C71"/>
    <w:rsid w:val="00F51B4E"/>
    <w:rsid w:val="00F52B0A"/>
    <w:rsid w:val="00F549AB"/>
    <w:rsid w:val="00F62D2B"/>
    <w:rsid w:val="00F73147"/>
    <w:rsid w:val="00F73AB3"/>
    <w:rsid w:val="00F859ED"/>
    <w:rsid w:val="00F86C1B"/>
    <w:rsid w:val="00F92388"/>
    <w:rsid w:val="00FA173E"/>
    <w:rsid w:val="00FA4E5F"/>
    <w:rsid w:val="00FA668B"/>
    <w:rsid w:val="00FB2752"/>
    <w:rsid w:val="00FB6143"/>
    <w:rsid w:val="00FC3C86"/>
    <w:rsid w:val="00FC4B6F"/>
    <w:rsid w:val="00FC5C7E"/>
    <w:rsid w:val="00FD15A1"/>
    <w:rsid w:val="00FD1C2B"/>
    <w:rsid w:val="00FD1D03"/>
    <w:rsid w:val="00FD1DA9"/>
    <w:rsid w:val="00FD30AC"/>
    <w:rsid w:val="00FD3C31"/>
    <w:rsid w:val="00FD6254"/>
    <w:rsid w:val="00FF04DD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/>
    <w:lsdException w:name="heading 5" w:uiPriority="9" w:unhideWhenUsed="0"/>
    <w:lsdException w:name="heading 6" w:uiPriority="9" w:unhideWhenUsed="0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nhideWhenUsed="0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767786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FD1D03"/>
    <w:pPr>
      <w:spacing w:before="60" w:after="0"/>
    </w:pPr>
    <w:rPr>
      <w:b/>
      <w:sz w:val="18"/>
    </w:rPr>
  </w:style>
  <w:style w:type="paragraph" w:styleId="Innehll2">
    <w:name w:val="toc 2"/>
    <w:basedOn w:val="Normal"/>
    <w:next w:val="Normal"/>
    <w:autoRedefine/>
    <w:uiPriority w:val="39"/>
    <w:rsid w:val="00FD1D03"/>
    <w:pPr>
      <w:tabs>
        <w:tab w:val="left" w:pos="879"/>
        <w:tab w:val="right" w:leader="dot" w:pos="6792"/>
      </w:tabs>
      <w:spacing w:after="0"/>
      <w:ind w:left="221"/>
    </w:pPr>
    <w:rPr>
      <w:sz w:val="18"/>
    </w:r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paragraph" w:styleId="Fotnotstext">
    <w:name w:val="footnote text"/>
    <w:basedOn w:val="Normal"/>
    <w:link w:val="FotnotstextChar"/>
    <w:uiPriority w:val="99"/>
    <w:rsid w:val="00AA23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A23D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rsid w:val="00AA23DD"/>
    <w:rPr>
      <w:vertAlign w:val="superscript"/>
    </w:rPr>
  </w:style>
  <w:style w:type="character" w:styleId="Kommentarsreferens">
    <w:name w:val="annotation reference"/>
    <w:basedOn w:val="Standardstycketeckensnitt"/>
    <w:rsid w:val="00C068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0687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0687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722A"/>
    <w:pPr>
      <w:overflowPunct/>
      <w:autoSpaceDE/>
      <w:autoSpaceDN/>
      <w:adjustRightInd/>
      <w:textAlignment w:val="auto"/>
    </w:pPr>
    <w:rPr>
      <w:rFonts w:ascii="Book Antiqua" w:eastAsiaTheme="minorHAnsi" w:hAnsi="Book Antiqua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722A"/>
    <w:rPr>
      <w:rFonts w:ascii="Book Antiqua" w:eastAsia="Times New Roman" w:hAnsi="Book Antiqua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37852"/>
    <w:rPr>
      <w:color w:val="800080" w:themeColor="followedHyperlink"/>
      <w:u w:val="single"/>
    </w:rPr>
  </w:style>
  <w:style w:type="character" w:customStyle="1" w:styleId="FormatmallKursiv">
    <w:name w:val="Formatmall Kursiv"/>
    <w:basedOn w:val="Standardstycketeckensnitt"/>
    <w:rsid w:val="00537852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/>
    <w:lsdException w:name="heading 5" w:uiPriority="9" w:unhideWhenUsed="0"/>
    <w:lsdException w:name="heading 6" w:uiPriority="9" w:unhideWhenUsed="0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nhideWhenUsed="0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767786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FD1D03"/>
    <w:pPr>
      <w:spacing w:before="60" w:after="0"/>
    </w:pPr>
    <w:rPr>
      <w:b/>
      <w:sz w:val="18"/>
    </w:rPr>
  </w:style>
  <w:style w:type="paragraph" w:styleId="Innehll2">
    <w:name w:val="toc 2"/>
    <w:basedOn w:val="Normal"/>
    <w:next w:val="Normal"/>
    <w:autoRedefine/>
    <w:uiPriority w:val="39"/>
    <w:rsid w:val="00FD1D03"/>
    <w:pPr>
      <w:tabs>
        <w:tab w:val="left" w:pos="879"/>
        <w:tab w:val="right" w:leader="dot" w:pos="6792"/>
      </w:tabs>
      <w:spacing w:after="0"/>
      <w:ind w:left="221"/>
    </w:pPr>
    <w:rPr>
      <w:sz w:val="18"/>
    </w:r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paragraph" w:styleId="Fotnotstext">
    <w:name w:val="footnote text"/>
    <w:basedOn w:val="Normal"/>
    <w:link w:val="FotnotstextChar"/>
    <w:uiPriority w:val="99"/>
    <w:rsid w:val="00AA23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A23D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rsid w:val="00AA23DD"/>
    <w:rPr>
      <w:vertAlign w:val="superscript"/>
    </w:rPr>
  </w:style>
  <w:style w:type="character" w:styleId="Kommentarsreferens">
    <w:name w:val="annotation reference"/>
    <w:basedOn w:val="Standardstycketeckensnitt"/>
    <w:rsid w:val="00C068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0687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0687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722A"/>
    <w:pPr>
      <w:overflowPunct/>
      <w:autoSpaceDE/>
      <w:autoSpaceDN/>
      <w:adjustRightInd/>
      <w:textAlignment w:val="auto"/>
    </w:pPr>
    <w:rPr>
      <w:rFonts w:ascii="Book Antiqua" w:eastAsiaTheme="minorHAnsi" w:hAnsi="Book Antiqua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722A"/>
    <w:rPr>
      <w:rFonts w:ascii="Book Antiqua" w:eastAsia="Times New Roman" w:hAnsi="Book Antiqua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37852"/>
    <w:rPr>
      <w:color w:val="800080" w:themeColor="followedHyperlink"/>
      <w:u w:val="single"/>
    </w:rPr>
  </w:style>
  <w:style w:type="character" w:customStyle="1" w:styleId="FormatmallKursiv">
    <w:name w:val="Formatmall Kursiv"/>
    <w:basedOn w:val="Standardstycketeckensnitt"/>
    <w:rsid w:val="00537852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riksdagen.se/sv/Dokument-Lagar/Lagar/Svenskforfattningssamling/Forordning-2001100-om-den-o_sfs-2001-100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energimyndigheten.se/statistik/energipriser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riksdagen.se/sv/Dokument-Lagar/Lagar/Svenskforfattningssamling/Lag-200199-om-den-officiell_sfs-2001-99/" TargetMode="Externa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iksdagen.se/sv/Dokument-Lagar/Lagar/Svenskforfattningssamling/Personuppgiftslag-1998204_sfs-1998-204/" TargetMode="External"/><Relationship Id="rId20" Type="http://schemas.openxmlformats.org/officeDocument/2006/relationships/hyperlink" Target="http://www.energimyndigheten.se/statistik/energipriser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h6.scb.se/metadata/" TargetMode="External"/><Relationship Id="rId32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://www.riksdagen.se/sv/Dokument-Lagar/Lagar/Svenskforfattningssamling/Offentlighets--och-sekretessla_sfs-2009-400/" TargetMode="External"/><Relationship Id="rId23" Type="http://schemas.openxmlformats.org/officeDocument/2006/relationships/hyperlink" Target="http://www.scb.se/en0106/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://www.riksdagen.se/sv/Dokument-Lagar/Lagar/Svenskforfattningssamling/Forordning-2001100-om-den-o_sfs-2001-100/" TargetMode="External"/><Relationship Id="rId19" Type="http://schemas.openxmlformats.org/officeDocument/2006/relationships/hyperlink" Target="http://www.scb.se/en0106/" TargetMode="External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www.scb.se/en0307/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3DA7-F9B5-4A4D-8811-DEA095FF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2997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 Helen PCA/MFI-Ö</dc:creator>
  <cp:lastModifiedBy>Jennie Belking</cp:lastModifiedBy>
  <cp:revision>2</cp:revision>
  <cp:lastPrinted>2016-10-13T07:36:00Z</cp:lastPrinted>
  <dcterms:created xsi:type="dcterms:W3CDTF">2016-11-17T07:44:00Z</dcterms:created>
  <dcterms:modified xsi:type="dcterms:W3CDTF">2016-11-17T07:44:00Z</dcterms:modified>
</cp:coreProperties>
</file>