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BA367" w14:textId="77777777" w:rsidR="00E16D2E" w:rsidRPr="00FE493B" w:rsidRDefault="00E16D2E" w:rsidP="009E0A8F">
      <w:pPr>
        <w:pStyle w:val="Ingetavstnd"/>
        <w:spacing w:before="600" w:after="120"/>
        <w:rPr>
          <w:rFonts w:ascii="Arial" w:hAnsi="Arial" w:cs="Arial"/>
          <w:b/>
          <w:sz w:val="40"/>
          <w:szCs w:val="40"/>
        </w:rPr>
      </w:pPr>
      <w:bookmarkStart w:id="0" w:name="_Toc458005258"/>
      <w:bookmarkStart w:id="1" w:name="_Toc467559862"/>
      <w:bookmarkStart w:id="2" w:name="_Toc467560184"/>
      <w:bookmarkStart w:id="3" w:name="_Toc468341380"/>
      <w:r w:rsidRPr="00FE493B">
        <w:rPr>
          <w:rFonts w:ascii="Arial" w:hAnsi="Arial" w:cs="Arial"/>
          <w:b/>
          <w:sz w:val="40"/>
          <w:szCs w:val="40"/>
        </w:rPr>
        <w:t>STATISTIKENS FRAMSTÄLLNING</w:t>
      </w:r>
    </w:p>
    <w:p w14:paraId="68BBA368" w14:textId="68747366" w:rsidR="00E16D2E" w:rsidRPr="00FE493B" w:rsidRDefault="005C717F" w:rsidP="00134E00">
      <w:pPr>
        <w:pStyle w:val="Ingetavstnd"/>
        <w:spacing w:before="120"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EN0114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2"/>
      </w:tblGrid>
      <w:tr w:rsidR="00365688" w:rsidRPr="008E28D9" w14:paraId="68BBA378" w14:textId="77777777" w:rsidTr="00072EF3">
        <w:trPr>
          <w:cantSplit/>
          <w:trHeight w:hRule="exact" w:val="7710"/>
        </w:trPr>
        <w:tc>
          <w:tcPr>
            <w:tcW w:w="6802" w:type="dxa"/>
          </w:tcPr>
          <w:p w14:paraId="68BBA369" w14:textId="77777777" w:rsidR="00E30A09" w:rsidRPr="008E28D9" w:rsidRDefault="00E30A09" w:rsidP="00E30A09">
            <w:pPr>
              <w:pStyle w:val="Innehllsfrteckningsrubrik"/>
              <w:rPr>
                <w:rFonts w:cs="Arial"/>
                <w:sz w:val="22"/>
                <w:szCs w:val="22"/>
              </w:rPr>
            </w:pPr>
            <w:r w:rsidRPr="008E28D9">
              <w:rPr>
                <w:rFonts w:cs="Arial"/>
                <w:sz w:val="22"/>
                <w:szCs w:val="22"/>
              </w:rPr>
              <w:t>Ämnesområde</w:t>
            </w:r>
          </w:p>
          <w:p w14:paraId="68BBA36B" w14:textId="79A4CA36" w:rsidR="00E30A09" w:rsidRDefault="001D5EB8" w:rsidP="00E30A0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r w:rsidRPr="00B3028D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Energi</w:t>
            </w:r>
          </w:p>
          <w:p w14:paraId="41EE831C" w14:textId="77777777" w:rsidR="00C247E1" w:rsidRPr="00B3028D" w:rsidRDefault="00C247E1" w:rsidP="00E30A0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  <w:p w14:paraId="68BBA36C" w14:textId="77777777" w:rsidR="00E30A09" w:rsidRPr="008E28D9" w:rsidRDefault="00E30A09" w:rsidP="00E30A09">
            <w:pPr>
              <w:pStyle w:val="Innehllsfrteckningsrubrik"/>
              <w:rPr>
                <w:rFonts w:cs="Arial"/>
                <w:sz w:val="22"/>
                <w:szCs w:val="22"/>
              </w:rPr>
            </w:pPr>
            <w:r w:rsidRPr="008E28D9">
              <w:rPr>
                <w:rFonts w:cs="Arial"/>
                <w:sz w:val="22"/>
                <w:szCs w:val="22"/>
              </w:rPr>
              <w:t>Statistikområde</w:t>
            </w:r>
          </w:p>
          <w:p w14:paraId="43C352FE" w14:textId="0E9ACA23" w:rsidR="001D5EB8" w:rsidRDefault="001D5EB8" w:rsidP="001D5EB8">
            <w:pPr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r w:rsidRPr="00B3028D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Tillförsel och användning av energi</w:t>
            </w:r>
          </w:p>
          <w:p w14:paraId="6349577C" w14:textId="77777777" w:rsidR="00C247E1" w:rsidRPr="00B3028D" w:rsidRDefault="00C247E1" w:rsidP="001D5EB8">
            <w:pPr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  <w:p w14:paraId="68BBA36F" w14:textId="77777777" w:rsidR="00E30A09" w:rsidRPr="008E28D9" w:rsidRDefault="00E30A09" w:rsidP="00E30A09">
            <w:pPr>
              <w:pStyle w:val="Innehllsfrteckningsrubrik"/>
              <w:rPr>
                <w:rFonts w:cs="Arial"/>
                <w:sz w:val="22"/>
                <w:szCs w:val="22"/>
              </w:rPr>
            </w:pPr>
            <w:r w:rsidRPr="008E28D9">
              <w:rPr>
                <w:rFonts w:cs="Arial"/>
                <w:sz w:val="22"/>
                <w:szCs w:val="22"/>
              </w:rPr>
              <w:t>Produktkod</w:t>
            </w:r>
          </w:p>
          <w:p w14:paraId="68BBA370" w14:textId="2FDB81DC" w:rsidR="00E30A09" w:rsidRDefault="00072EF3" w:rsidP="00524CE5">
            <w:pPr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  <w:r w:rsidRPr="00524CE5"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  <w:t>EN0114</w:t>
            </w:r>
          </w:p>
          <w:p w14:paraId="1311B13D" w14:textId="77777777" w:rsidR="00C247E1" w:rsidRPr="00524CE5" w:rsidRDefault="00C247E1" w:rsidP="00524CE5">
            <w:pPr>
              <w:rPr>
                <w:rFonts w:ascii="Verdana" w:eastAsia="Times New Roman" w:hAnsi="Verdana" w:cs="Times New Roman"/>
                <w:sz w:val="17"/>
                <w:szCs w:val="17"/>
                <w:lang w:eastAsia="sv-SE"/>
              </w:rPr>
            </w:pPr>
          </w:p>
          <w:p w14:paraId="68BBA372" w14:textId="77777777" w:rsidR="00E30A09" w:rsidRPr="008E28D9" w:rsidRDefault="00E30A09" w:rsidP="00E30A09">
            <w:pPr>
              <w:pStyle w:val="Innehllsfrteckningsrubrik"/>
              <w:rPr>
                <w:rFonts w:cs="Arial"/>
                <w:sz w:val="22"/>
                <w:szCs w:val="22"/>
              </w:rPr>
            </w:pPr>
            <w:r w:rsidRPr="008E28D9">
              <w:rPr>
                <w:rFonts w:cs="Arial"/>
                <w:sz w:val="22"/>
                <w:szCs w:val="22"/>
              </w:rPr>
              <w:t>Referenstid</w:t>
            </w:r>
          </w:p>
          <w:p w14:paraId="68BBA373" w14:textId="6D34A38D" w:rsidR="00E30A09" w:rsidRPr="008E28D9" w:rsidRDefault="00072EF3" w:rsidP="00E30A09">
            <w:r>
              <w:t>2017</w:t>
            </w:r>
          </w:p>
          <w:p w14:paraId="68BBA377" w14:textId="3CE7037B" w:rsidR="009E0A8F" w:rsidRPr="008E28D9" w:rsidRDefault="009E0A8F" w:rsidP="0015758C">
            <w:pPr>
              <w:rPr>
                <w:rFonts w:ascii="Verdana" w:hAnsi="Verdana"/>
                <w:color w:val="129AB0"/>
                <w:sz w:val="17"/>
                <w:szCs w:val="17"/>
              </w:rPr>
            </w:pPr>
          </w:p>
        </w:tc>
      </w:tr>
    </w:tbl>
    <w:p w14:paraId="68BBA379" w14:textId="77777777" w:rsidR="00E556B6" w:rsidRPr="008E28D9" w:rsidRDefault="00E556B6" w:rsidP="00684904">
      <w:pPr>
        <w:pStyle w:val="Innehllsfrteckningsrubrik"/>
        <w:spacing w:after="120"/>
        <w:contextualSpacing w:val="0"/>
        <w:rPr>
          <w:rFonts w:cs="Arial"/>
          <w:sz w:val="22"/>
          <w:szCs w:val="22"/>
        </w:rPr>
      </w:pPr>
      <w:bookmarkStart w:id="4" w:name="_Toc467250894"/>
      <w:bookmarkStart w:id="5" w:name="_Toc467251726"/>
      <w:bookmarkStart w:id="6" w:name="_Toc467482262"/>
      <w:bookmarkStart w:id="7" w:name="_Toc467661101"/>
      <w:r w:rsidRPr="008E28D9">
        <w:rPr>
          <w:rFonts w:cs="Arial"/>
          <w:sz w:val="22"/>
          <w:szCs w:val="22"/>
        </w:rPr>
        <w:t>Kontaktuppgifter</w:t>
      </w:r>
      <w:bookmarkEnd w:id="4"/>
      <w:bookmarkEnd w:id="5"/>
      <w:bookmarkEnd w:id="6"/>
      <w:bookmarkEnd w:id="7"/>
      <w:r w:rsidRPr="008E28D9">
        <w:rPr>
          <w:rFonts w:cs="Arial"/>
          <w:sz w:val="22"/>
          <w:szCs w:val="22"/>
        </w:rPr>
        <w:t xml:space="preserve"> </w:t>
      </w:r>
    </w:p>
    <w:tbl>
      <w:tblPr>
        <w:tblStyle w:val="Tabellrutnt"/>
        <w:tblW w:w="6803" w:type="dxa"/>
        <w:tblLook w:val="04A0" w:firstRow="1" w:lastRow="0" w:firstColumn="1" w:lastColumn="0" w:noHBand="0" w:noVBand="1"/>
      </w:tblPr>
      <w:tblGrid>
        <w:gridCol w:w="2154"/>
        <w:gridCol w:w="4649"/>
      </w:tblGrid>
      <w:tr w:rsidR="00E556B6" w:rsidRPr="008E28D9" w14:paraId="68BBA37C" w14:textId="77777777" w:rsidTr="00134E00">
        <w:trPr>
          <w:trHeight w:hRule="exact" w:val="567"/>
        </w:trPr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14:paraId="68BBA37A" w14:textId="77777777" w:rsidR="00E556B6" w:rsidRPr="008E28D9" w:rsidRDefault="00E556B6" w:rsidP="00524CE5">
            <w:pPr>
              <w:spacing w:before="60" w:after="6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28D9">
              <w:rPr>
                <w:rFonts w:ascii="Arial" w:hAnsi="Arial" w:cs="Arial"/>
                <w:b/>
                <w:iCs/>
                <w:sz w:val="20"/>
                <w:szCs w:val="20"/>
              </w:rPr>
              <w:t>Statistikansvarig myndighet</w:t>
            </w:r>
          </w:p>
        </w:tc>
        <w:tc>
          <w:tcPr>
            <w:tcW w:w="4649" w:type="dxa"/>
            <w:tcBorders>
              <w:bottom w:val="double" w:sz="4" w:space="0" w:color="auto"/>
            </w:tcBorders>
            <w:vAlign w:val="center"/>
          </w:tcPr>
          <w:p w14:paraId="68BBA37B" w14:textId="77777777" w:rsidR="00E556B6" w:rsidRPr="008E28D9" w:rsidRDefault="00E556B6" w:rsidP="00134E00">
            <w:pPr>
              <w:spacing w:before="60" w:after="60" w:line="240" w:lineRule="auto"/>
              <w:rPr>
                <w:iCs/>
              </w:rPr>
            </w:pPr>
          </w:p>
        </w:tc>
      </w:tr>
      <w:tr w:rsidR="00E556B6" w:rsidRPr="008E28D9" w14:paraId="68BBA37F" w14:textId="77777777" w:rsidTr="00134E00">
        <w:trPr>
          <w:trHeight w:hRule="exact" w:val="510"/>
        </w:trPr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14:paraId="68BBA37D" w14:textId="77777777" w:rsidR="00E556B6" w:rsidRPr="008E28D9" w:rsidRDefault="00E556B6" w:rsidP="00524CE5">
            <w:pPr>
              <w:spacing w:before="60" w:after="6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28D9">
              <w:rPr>
                <w:rFonts w:ascii="Arial" w:hAnsi="Arial" w:cs="Arial"/>
                <w:b/>
                <w:iCs/>
                <w:sz w:val="20"/>
                <w:szCs w:val="20"/>
              </w:rPr>
              <w:t>Kontaktinformation</w:t>
            </w:r>
          </w:p>
        </w:tc>
        <w:tc>
          <w:tcPr>
            <w:tcW w:w="4649" w:type="dxa"/>
            <w:tcBorders>
              <w:top w:val="double" w:sz="4" w:space="0" w:color="auto"/>
            </w:tcBorders>
            <w:vAlign w:val="center"/>
          </w:tcPr>
          <w:p w14:paraId="68BBA37E" w14:textId="77777777" w:rsidR="00E556B6" w:rsidRPr="008E28D9" w:rsidRDefault="00E556B6" w:rsidP="00134E00">
            <w:pPr>
              <w:spacing w:before="60" w:after="60" w:line="240" w:lineRule="auto"/>
              <w:rPr>
                <w:iCs/>
              </w:rPr>
            </w:pPr>
          </w:p>
        </w:tc>
      </w:tr>
      <w:tr w:rsidR="00E556B6" w:rsidRPr="008E28D9" w14:paraId="68BBA382" w14:textId="77777777" w:rsidTr="00134E00">
        <w:trPr>
          <w:trHeight w:hRule="exact" w:val="510"/>
        </w:trPr>
        <w:tc>
          <w:tcPr>
            <w:tcW w:w="2154" w:type="dxa"/>
            <w:vAlign w:val="center"/>
          </w:tcPr>
          <w:p w14:paraId="68BBA380" w14:textId="77777777" w:rsidR="00E556B6" w:rsidRPr="008E28D9" w:rsidRDefault="00E556B6" w:rsidP="00524CE5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28D9">
              <w:rPr>
                <w:rFonts w:ascii="Arial" w:hAnsi="Arial" w:cs="Arial"/>
                <w:b/>
                <w:iCs/>
                <w:sz w:val="20"/>
                <w:szCs w:val="20"/>
              </w:rPr>
              <w:t>E-post</w:t>
            </w:r>
          </w:p>
        </w:tc>
        <w:tc>
          <w:tcPr>
            <w:tcW w:w="4649" w:type="dxa"/>
            <w:vAlign w:val="center"/>
          </w:tcPr>
          <w:p w14:paraId="68BBA381" w14:textId="77777777" w:rsidR="00E556B6" w:rsidRPr="008E28D9" w:rsidRDefault="00E556B6" w:rsidP="00134E00">
            <w:pPr>
              <w:spacing w:before="60" w:after="60" w:line="240" w:lineRule="auto"/>
              <w:rPr>
                <w:iCs/>
              </w:rPr>
            </w:pPr>
          </w:p>
        </w:tc>
      </w:tr>
      <w:tr w:rsidR="00E556B6" w:rsidRPr="00EB759A" w14:paraId="68BBA385" w14:textId="77777777" w:rsidTr="00134E00">
        <w:trPr>
          <w:trHeight w:hRule="exact" w:val="510"/>
        </w:trPr>
        <w:tc>
          <w:tcPr>
            <w:tcW w:w="2154" w:type="dxa"/>
            <w:vAlign w:val="center"/>
          </w:tcPr>
          <w:p w14:paraId="68BBA383" w14:textId="77777777" w:rsidR="00E556B6" w:rsidRPr="00711C8E" w:rsidRDefault="00E556B6" w:rsidP="00524CE5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E28D9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4649" w:type="dxa"/>
            <w:vAlign w:val="center"/>
          </w:tcPr>
          <w:p w14:paraId="68BBA384" w14:textId="77777777" w:rsidR="00E556B6" w:rsidRPr="009A6D15" w:rsidRDefault="00E556B6" w:rsidP="00134E00">
            <w:pPr>
              <w:spacing w:before="60" w:after="60" w:line="240" w:lineRule="auto"/>
              <w:rPr>
                <w:iCs/>
              </w:rPr>
            </w:pPr>
          </w:p>
        </w:tc>
      </w:tr>
    </w:tbl>
    <w:p w14:paraId="68BBA386" w14:textId="77777777" w:rsidR="00684904" w:rsidRDefault="00684904">
      <w:pPr>
        <w:spacing w:after="200" w:line="276" w:lineRule="auto"/>
        <w:rPr>
          <w:lang w:eastAsia="sv-SE"/>
        </w:rPr>
      </w:pPr>
      <w:r>
        <w:rPr>
          <w:lang w:eastAsia="sv-SE"/>
        </w:rPr>
        <w:br w:type="page"/>
      </w:r>
    </w:p>
    <w:p w14:paraId="68BBA387" w14:textId="77777777" w:rsidR="00852829" w:rsidRPr="00926894" w:rsidRDefault="00852829" w:rsidP="00852829">
      <w:pPr>
        <w:pStyle w:val="Innehll1"/>
        <w:tabs>
          <w:tab w:val="left" w:pos="442"/>
          <w:tab w:val="right" w:leader="dot" w:pos="6792"/>
        </w:tabs>
        <w:rPr>
          <w:sz w:val="28"/>
          <w:szCs w:val="28"/>
        </w:rPr>
      </w:pPr>
      <w:r w:rsidRPr="00926894">
        <w:rPr>
          <w:sz w:val="28"/>
          <w:szCs w:val="28"/>
        </w:rPr>
        <w:lastRenderedPageBreak/>
        <w:t>Innehåll</w:t>
      </w:r>
    </w:p>
    <w:p w14:paraId="68BBA388" w14:textId="77777777" w:rsidR="00852829" w:rsidRDefault="00852829" w:rsidP="00852829">
      <w:pPr>
        <w:rPr>
          <w:lang w:bidi="en-US"/>
        </w:rPr>
      </w:pPr>
    </w:p>
    <w:p w14:paraId="2E016E43" w14:textId="671DD974" w:rsidR="003041D1" w:rsidRDefault="0049725E">
      <w:pPr>
        <w:pStyle w:val="Innehll1"/>
        <w:tabs>
          <w:tab w:val="left" w:pos="442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r>
        <w:rPr>
          <w:b/>
          <w:bCs/>
          <w:szCs w:val="20"/>
        </w:rPr>
        <w:fldChar w:fldCharType="begin"/>
      </w:r>
      <w:r>
        <w:rPr>
          <w:b/>
          <w:bCs/>
          <w:szCs w:val="20"/>
        </w:rPr>
        <w:instrText xml:space="preserve"> TOC \o "1-3" \h \z \u </w:instrText>
      </w:r>
      <w:r>
        <w:rPr>
          <w:b/>
          <w:bCs/>
          <w:szCs w:val="20"/>
        </w:rPr>
        <w:fldChar w:fldCharType="separate"/>
      </w:r>
      <w:hyperlink w:anchor="_Toc536188203" w:history="1">
        <w:r w:rsidR="003041D1" w:rsidRPr="00E63E38">
          <w:rPr>
            <w:rStyle w:val="Hyperlnk"/>
            <w:noProof/>
          </w:rPr>
          <w:t>1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Statistikens sammanhang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_Toc536188203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3</w:t>
        </w:r>
        <w:r w:rsidR="003041D1">
          <w:rPr>
            <w:noProof/>
            <w:webHidden/>
          </w:rPr>
          <w:fldChar w:fldCharType="end"/>
        </w:r>
      </w:hyperlink>
    </w:p>
    <w:p w14:paraId="07EFDBD5" w14:textId="056E15D1" w:rsidR="003041D1" w:rsidRDefault="00BD7294">
      <w:pPr>
        <w:pStyle w:val="Innehll1"/>
        <w:tabs>
          <w:tab w:val="left" w:pos="442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04" w:history="1">
        <w:r w:rsidR="003041D1" w:rsidRPr="00E63E38">
          <w:rPr>
            <w:rStyle w:val="Hyperlnk"/>
            <w:noProof/>
          </w:rPr>
          <w:t>2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Undersökningsdesign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_Toc536188204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3</w:t>
        </w:r>
        <w:r w:rsidR="003041D1">
          <w:rPr>
            <w:noProof/>
            <w:webHidden/>
          </w:rPr>
          <w:fldChar w:fldCharType="end"/>
        </w:r>
      </w:hyperlink>
    </w:p>
    <w:p w14:paraId="17D1258A" w14:textId="2AF9F8A7" w:rsidR="003041D1" w:rsidRDefault="00BD7294">
      <w:pPr>
        <w:pStyle w:val="Innehll2"/>
        <w:tabs>
          <w:tab w:val="left" w:pos="879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05" w:history="1">
        <w:r w:rsidR="003041D1" w:rsidRPr="00E63E38">
          <w:rPr>
            <w:rStyle w:val="Hyperlnk"/>
            <w:noProof/>
          </w:rPr>
          <w:t>2.1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Målstorheter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_Toc536188205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3</w:t>
        </w:r>
        <w:r w:rsidR="003041D1">
          <w:rPr>
            <w:noProof/>
            <w:webHidden/>
          </w:rPr>
          <w:fldChar w:fldCharType="end"/>
        </w:r>
      </w:hyperlink>
    </w:p>
    <w:p w14:paraId="4D99EA96" w14:textId="28F56E62" w:rsidR="003041D1" w:rsidRDefault="00BD7294">
      <w:pPr>
        <w:pStyle w:val="Innehll2"/>
        <w:tabs>
          <w:tab w:val="left" w:pos="879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06" w:history="1">
        <w:r w:rsidR="003041D1" w:rsidRPr="00E63E38">
          <w:rPr>
            <w:rStyle w:val="Hyperlnk"/>
            <w:noProof/>
          </w:rPr>
          <w:t>2.2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Ramförfarande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_Toc536188206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3</w:t>
        </w:r>
        <w:r w:rsidR="003041D1">
          <w:rPr>
            <w:noProof/>
            <w:webHidden/>
          </w:rPr>
          <w:fldChar w:fldCharType="end"/>
        </w:r>
      </w:hyperlink>
    </w:p>
    <w:p w14:paraId="24C952F6" w14:textId="0C06AC20" w:rsidR="003041D1" w:rsidRDefault="00BD7294">
      <w:pPr>
        <w:pStyle w:val="Innehll2"/>
        <w:tabs>
          <w:tab w:val="left" w:pos="879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07" w:history="1">
        <w:r w:rsidR="003041D1" w:rsidRPr="00E63E38">
          <w:rPr>
            <w:rStyle w:val="Hyperlnk"/>
            <w:noProof/>
          </w:rPr>
          <w:t>2.3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Förfaranden för urval och uteslutning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_Toc536188207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3</w:t>
        </w:r>
        <w:r w:rsidR="003041D1">
          <w:rPr>
            <w:noProof/>
            <w:webHidden/>
          </w:rPr>
          <w:fldChar w:fldCharType="end"/>
        </w:r>
      </w:hyperlink>
    </w:p>
    <w:p w14:paraId="5A80725E" w14:textId="2CA44808" w:rsidR="003041D1" w:rsidRDefault="00BD7294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08" w:history="1">
        <w:r w:rsidR="003041D1" w:rsidRPr="00E63E38">
          <w:rPr>
            <w:rStyle w:val="Hyperlnk"/>
            <w:noProof/>
          </w:rPr>
          <w:t>2.3.1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Urvalsförfarande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_Toc536188208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3</w:t>
        </w:r>
        <w:r w:rsidR="003041D1">
          <w:rPr>
            <w:noProof/>
            <w:webHidden/>
          </w:rPr>
          <w:fldChar w:fldCharType="end"/>
        </w:r>
      </w:hyperlink>
    </w:p>
    <w:p w14:paraId="0CB07989" w14:textId="22003AA3" w:rsidR="003041D1" w:rsidRDefault="00BD7294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09" w:history="1">
        <w:r w:rsidR="003041D1" w:rsidRPr="00E63E38">
          <w:rPr>
            <w:rStyle w:val="Hyperlnk"/>
            <w:noProof/>
          </w:rPr>
          <w:t>2.3.2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Uteslutning från insamling (cut-off)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_Toc536188209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4</w:t>
        </w:r>
        <w:r w:rsidR="003041D1">
          <w:rPr>
            <w:noProof/>
            <w:webHidden/>
          </w:rPr>
          <w:fldChar w:fldCharType="end"/>
        </w:r>
      </w:hyperlink>
    </w:p>
    <w:p w14:paraId="69333A22" w14:textId="4499DCE2" w:rsidR="003041D1" w:rsidRDefault="00BD7294">
      <w:pPr>
        <w:pStyle w:val="Innehll2"/>
        <w:tabs>
          <w:tab w:val="left" w:pos="879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10" w:history="1">
        <w:r w:rsidR="003041D1" w:rsidRPr="00E63E38">
          <w:rPr>
            <w:rStyle w:val="Hyperlnk"/>
            <w:noProof/>
          </w:rPr>
          <w:t>2.4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Insamlingsförfarande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_Toc536188210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4</w:t>
        </w:r>
        <w:r w:rsidR="003041D1">
          <w:rPr>
            <w:noProof/>
            <w:webHidden/>
          </w:rPr>
          <w:fldChar w:fldCharType="end"/>
        </w:r>
      </w:hyperlink>
    </w:p>
    <w:p w14:paraId="6D4A217C" w14:textId="79C06C83" w:rsidR="003041D1" w:rsidRDefault="00BD7294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11" w:history="1">
        <w:r w:rsidR="003041D1" w:rsidRPr="00E63E38">
          <w:rPr>
            <w:rStyle w:val="Hyperlnk"/>
            <w:noProof/>
          </w:rPr>
          <w:t>2.4.1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Datainsamlingsmetoder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_Toc536188211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4</w:t>
        </w:r>
        <w:r w:rsidR="003041D1">
          <w:rPr>
            <w:noProof/>
            <w:webHidden/>
          </w:rPr>
          <w:fldChar w:fldCharType="end"/>
        </w:r>
      </w:hyperlink>
    </w:p>
    <w:p w14:paraId="4FF38AE8" w14:textId="2274CC11" w:rsidR="003041D1" w:rsidRDefault="00BD7294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12" w:history="1">
        <w:r w:rsidR="003041D1" w:rsidRPr="00E63E38">
          <w:rPr>
            <w:rStyle w:val="Hyperlnk"/>
            <w:noProof/>
          </w:rPr>
          <w:t>2.4.2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Mätning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_Toc536188212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5</w:t>
        </w:r>
        <w:r w:rsidR="003041D1">
          <w:rPr>
            <w:noProof/>
            <w:webHidden/>
          </w:rPr>
          <w:fldChar w:fldCharType="end"/>
        </w:r>
      </w:hyperlink>
    </w:p>
    <w:p w14:paraId="4D24BFAC" w14:textId="619F6025" w:rsidR="003041D1" w:rsidRDefault="00BD7294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13" w:history="1">
        <w:r w:rsidR="003041D1" w:rsidRPr="00E63E38">
          <w:rPr>
            <w:rStyle w:val="Hyperlnk"/>
            <w:noProof/>
          </w:rPr>
          <w:t>2.4.3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Bortfallsuppföljning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_Toc536188213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5</w:t>
        </w:r>
        <w:r w:rsidR="003041D1">
          <w:rPr>
            <w:noProof/>
            <w:webHidden/>
          </w:rPr>
          <w:fldChar w:fldCharType="end"/>
        </w:r>
      </w:hyperlink>
    </w:p>
    <w:p w14:paraId="15D9F7B6" w14:textId="009D0C51" w:rsidR="003041D1" w:rsidRDefault="00BD7294">
      <w:pPr>
        <w:pStyle w:val="Innehll2"/>
        <w:tabs>
          <w:tab w:val="left" w:pos="879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14" w:history="1">
        <w:r w:rsidR="003041D1" w:rsidRPr="00E63E38">
          <w:rPr>
            <w:rStyle w:val="Hyperlnk"/>
            <w:noProof/>
          </w:rPr>
          <w:t>2.5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Bearbetningar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_Toc536188214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5</w:t>
        </w:r>
        <w:r w:rsidR="003041D1">
          <w:rPr>
            <w:noProof/>
            <w:webHidden/>
          </w:rPr>
          <w:fldChar w:fldCharType="end"/>
        </w:r>
      </w:hyperlink>
    </w:p>
    <w:p w14:paraId="6600CCDE" w14:textId="1BB3C43A" w:rsidR="003041D1" w:rsidRDefault="00BD7294">
      <w:pPr>
        <w:pStyle w:val="Innehll2"/>
        <w:tabs>
          <w:tab w:val="left" w:pos="879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15" w:history="1">
        <w:r w:rsidR="003041D1" w:rsidRPr="00E63E38">
          <w:rPr>
            <w:rStyle w:val="Hyperlnk"/>
            <w:noProof/>
          </w:rPr>
          <w:t>2.6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Granskning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_Toc536188215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5</w:t>
        </w:r>
        <w:r w:rsidR="003041D1">
          <w:rPr>
            <w:noProof/>
            <w:webHidden/>
          </w:rPr>
          <w:fldChar w:fldCharType="end"/>
        </w:r>
      </w:hyperlink>
    </w:p>
    <w:p w14:paraId="47C052FD" w14:textId="2CFC2505" w:rsidR="003041D1" w:rsidRDefault="00BD7294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16" w:history="1">
        <w:r w:rsidR="003041D1" w:rsidRPr="00E63E38">
          <w:rPr>
            <w:rStyle w:val="Hyperlnk"/>
            <w:noProof/>
          </w:rPr>
          <w:t>2.6.1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Granskning under insamlingen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_Toc536188216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6</w:t>
        </w:r>
        <w:r w:rsidR="003041D1">
          <w:rPr>
            <w:noProof/>
            <w:webHidden/>
          </w:rPr>
          <w:fldChar w:fldCharType="end"/>
        </w:r>
      </w:hyperlink>
    </w:p>
    <w:p w14:paraId="383C94CB" w14:textId="3B502278" w:rsidR="003041D1" w:rsidRDefault="00BD7294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17" w:history="1">
        <w:r w:rsidR="003041D1" w:rsidRPr="00E63E38">
          <w:rPr>
            <w:rStyle w:val="Hyperlnk"/>
            <w:noProof/>
          </w:rPr>
          <w:t>2.6.2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Granskning av mikrodata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_Toc536188217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6</w:t>
        </w:r>
        <w:r w:rsidR="003041D1">
          <w:rPr>
            <w:noProof/>
            <w:webHidden/>
          </w:rPr>
          <w:fldChar w:fldCharType="end"/>
        </w:r>
      </w:hyperlink>
    </w:p>
    <w:p w14:paraId="07250445" w14:textId="49779565" w:rsidR="003041D1" w:rsidRDefault="00BD7294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18" w:history="1">
        <w:r w:rsidR="003041D1" w:rsidRPr="00E63E38">
          <w:rPr>
            <w:rStyle w:val="Hyperlnk"/>
            <w:noProof/>
          </w:rPr>
          <w:t>2.6.3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Granskning av makrodata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_Toc536188218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6</w:t>
        </w:r>
        <w:r w:rsidR="003041D1">
          <w:rPr>
            <w:noProof/>
            <w:webHidden/>
          </w:rPr>
          <w:fldChar w:fldCharType="end"/>
        </w:r>
      </w:hyperlink>
    </w:p>
    <w:p w14:paraId="32217A59" w14:textId="6640A11A" w:rsidR="003041D1" w:rsidRDefault="00BD7294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19" w:history="1">
        <w:r w:rsidR="003041D1" w:rsidRPr="00E63E38">
          <w:rPr>
            <w:rStyle w:val="Hyperlnk"/>
            <w:noProof/>
          </w:rPr>
          <w:t>2.6.4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Granskning av redovisning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_Toc536188219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6</w:t>
        </w:r>
        <w:r w:rsidR="003041D1">
          <w:rPr>
            <w:noProof/>
            <w:webHidden/>
          </w:rPr>
          <w:fldChar w:fldCharType="end"/>
        </w:r>
      </w:hyperlink>
    </w:p>
    <w:p w14:paraId="495F7369" w14:textId="3E579186" w:rsidR="003041D1" w:rsidRDefault="00BD7294">
      <w:pPr>
        <w:pStyle w:val="Innehll2"/>
        <w:tabs>
          <w:tab w:val="left" w:pos="879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20" w:history="1">
        <w:r w:rsidR="003041D1" w:rsidRPr="00E63E38">
          <w:rPr>
            <w:rStyle w:val="Hyperlnk"/>
            <w:noProof/>
          </w:rPr>
          <w:t>2.7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Skattningsförfarande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_Toc536188220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6</w:t>
        </w:r>
        <w:r w:rsidR="003041D1">
          <w:rPr>
            <w:noProof/>
            <w:webHidden/>
          </w:rPr>
          <w:fldChar w:fldCharType="end"/>
        </w:r>
      </w:hyperlink>
    </w:p>
    <w:p w14:paraId="6DDB5D22" w14:textId="0BAACE03" w:rsidR="003041D1" w:rsidRDefault="00BD7294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21" w:history="1">
        <w:r w:rsidR="003041D1" w:rsidRPr="00E63E38">
          <w:rPr>
            <w:rStyle w:val="Hyperlnk"/>
            <w:noProof/>
          </w:rPr>
          <w:t>2.7.1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Principer och antaganden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_Toc536188221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6</w:t>
        </w:r>
        <w:r w:rsidR="003041D1">
          <w:rPr>
            <w:noProof/>
            <w:webHidden/>
          </w:rPr>
          <w:fldChar w:fldCharType="end"/>
        </w:r>
      </w:hyperlink>
    </w:p>
    <w:p w14:paraId="1390C0F7" w14:textId="53CC0570" w:rsidR="003041D1" w:rsidRDefault="00BD7294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22" w:history="1">
        <w:r w:rsidR="003041D1" w:rsidRPr="00E63E38">
          <w:rPr>
            <w:rStyle w:val="Hyperlnk"/>
            <w:noProof/>
          </w:rPr>
          <w:t>2.7.2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Skattningsförfarande för målstorheter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_Toc536188222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7</w:t>
        </w:r>
        <w:r w:rsidR="003041D1">
          <w:rPr>
            <w:noProof/>
            <w:webHidden/>
          </w:rPr>
          <w:fldChar w:fldCharType="end"/>
        </w:r>
      </w:hyperlink>
    </w:p>
    <w:p w14:paraId="33476E84" w14:textId="771DC974" w:rsidR="003041D1" w:rsidRDefault="00BD7294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23" w:history="1">
        <w:r w:rsidR="003041D1" w:rsidRPr="00E63E38">
          <w:rPr>
            <w:rStyle w:val="Hyperlnk"/>
            <w:noProof/>
          </w:rPr>
          <w:t>2.7.3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Skattningsförfarande för tillförlitlighet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_Toc536188223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8</w:t>
        </w:r>
        <w:r w:rsidR="003041D1">
          <w:rPr>
            <w:noProof/>
            <w:webHidden/>
          </w:rPr>
          <w:fldChar w:fldCharType="end"/>
        </w:r>
      </w:hyperlink>
    </w:p>
    <w:p w14:paraId="56678CED" w14:textId="65E7E5FA" w:rsidR="003041D1" w:rsidRDefault="00BD7294">
      <w:pPr>
        <w:pStyle w:val="Innehll3"/>
        <w:tabs>
          <w:tab w:val="left" w:pos="1321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24" w:history="1">
        <w:r w:rsidR="003041D1" w:rsidRPr="00E63E38">
          <w:rPr>
            <w:rStyle w:val="Hyperlnk"/>
            <w:noProof/>
          </w:rPr>
          <w:t>2.7.4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Röjandekontroll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_Toc536188224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8</w:t>
        </w:r>
        <w:r w:rsidR="003041D1">
          <w:rPr>
            <w:noProof/>
            <w:webHidden/>
          </w:rPr>
          <w:fldChar w:fldCharType="end"/>
        </w:r>
      </w:hyperlink>
    </w:p>
    <w:p w14:paraId="5D964B2B" w14:textId="4D51CCAD" w:rsidR="003041D1" w:rsidRDefault="00BD7294">
      <w:pPr>
        <w:pStyle w:val="Innehll1"/>
        <w:tabs>
          <w:tab w:val="left" w:pos="442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25" w:history="1">
        <w:r w:rsidR="003041D1" w:rsidRPr="00E63E38">
          <w:rPr>
            <w:rStyle w:val="Hyperlnk"/>
            <w:noProof/>
          </w:rPr>
          <w:t>3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Genomförande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_Toc536188225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8</w:t>
        </w:r>
        <w:r w:rsidR="003041D1">
          <w:rPr>
            <w:noProof/>
            <w:webHidden/>
          </w:rPr>
          <w:fldChar w:fldCharType="end"/>
        </w:r>
      </w:hyperlink>
    </w:p>
    <w:p w14:paraId="69CEA01D" w14:textId="322FB600" w:rsidR="003041D1" w:rsidRDefault="00BD7294">
      <w:pPr>
        <w:pStyle w:val="Innehll2"/>
        <w:tabs>
          <w:tab w:val="left" w:pos="879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26" w:history="1">
        <w:r w:rsidR="003041D1" w:rsidRPr="00E63E38">
          <w:rPr>
            <w:rStyle w:val="Hyperlnk"/>
            <w:rFonts w:eastAsia="Times New Roman"/>
            <w:noProof/>
            <w:lang w:eastAsia="sv-SE"/>
          </w:rPr>
          <w:t>3.</w:t>
        </w:r>
        <w:r w:rsidR="003041D1" w:rsidRPr="00E63E38">
          <w:rPr>
            <w:rStyle w:val="Hyperlnk"/>
            <w:noProof/>
          </w:rPr>
          <w:t>1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noProof/>
          </w:rPr>
          <w:t>Kvantitativ information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_Toc536188226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8</w:t>
        </w:r>
        <w:r w:rsidR="003041D1">
          <w:rPr>
            <w:noProof/>
            <w:webHidden/>
          </w:rPr>
          <w:fldChar w:fldCharType="end"/>
        </w:r>
      </w:hyperlink>
    </w:p>
    <w:p w14:paraId="36E15D2A" w14:textId="50B819EB" w:rsidR="003041D1" w:rsidRDefault="00BD7294">
      <w:pPr>
        <w:pStyle w:val="Innehll2"/>
        <w:tabs>
          <w:tab w:val="left" w:pos="879"/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27" w:history="1">
        <w:r w:rsidR="003041D1" w:rsidRPr="00E63E38">
          <w:rPr>
            <w:rStyle w:val="Hyperlnk"/>
            <w:rFonts w:eastAsia="Times New Roman"/>
            <w:noProof/>
            <w:lang w:eastAsia="sv-SE"/>
          </w:rPr>
          <w:t>3.2</w:t>
        </w:r>
        <w:r w:rsidR="003041D1">
          <w:rPr>
            <w:rFonts w:asciiTheme="minorHAnsi" w:eastAsiaTheme="minorEastAsia" w:hAnsiTheme="minorHAnsi"/>
            <w:noProof/>
            <w:sz w:val="22"/>
            <w:lang w:eastAsia="sv-SE"/>
          </w:rPr>
          <w:tab/>
        </w:r>
        <w:r w:rsidR="003041D1" w:rsidRPr="00E63E38">
          <w:rPr>
            <w:rStyle w:val="Hyperlnk"/>
            <w:rFonts w:eastAsia="Times New Roman"/>
            <w:noProof/>
            <w:lang w:eastAsia="sv-SE"/>
          </w:rPr>
          <w:t>Avvikelser från undersökningsdesignen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_Toc536188227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8</w:t>
        </w:r>
        <w:r w:rsidR="003041D1">
          <w:rPr>
            <w:noProof/>
            <w:webHidden/>
          </w:rPr>
          <w:fldChar w:fldCharType="end"/>
        </w:r>
      </w:hyperlink>
    </w:p>
    <w:p w14:paraId="7EBFEBEC" w14:textId="62CBC99B" w:rsidR="003041D1" w:rsidRDefault="00BD7294">
      <w:pPr>
        <w:pStyle w:val="Innehll1"/>
        <w:tabs>
          <w:tab w:val="right" w:leader="dot" w:pos="679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536188228" w:history="1">
        <w:r w:rsidR="003041D1" w:rsidRPr="00E63E38">
          <w:rPr>
            <w:rStyle w:val="Hyperlnk"/>
            <w:noProof/>
            <w:lang w:eastAsia="sv-SE"/>
          </w:rPr>
          <w:t>Bilaga 1</w:t>
        </w:r>
        <w:r w:rsidR="003041D1">
          <w:rPr>
            <w:noProof/>
            <w:webHidden/>
          </w:rPr>
          <w:tab/>
        </w:r>
        <w:r w:rsidR="003041D1">
          <w:rPr>
            <w:noProof/>
            <w:webHidden/>
          </w:rPr>
          <w:fldChar w:fldCharType="begin"/>
        </w:r>
        <w:r w:rsidR="003041D1">
          <w:rPr>
            <w:noProof/>
            <w:webHidden/>
          </w:rPr>
          <w:instrText xml:space="preserve"> PAGEREF _Toc536188228 \h </w:instrText>
        </w:r>
        <w:r w:rsidR="003041D1">
          <w:rPr>
            <w:noProof/>
            <w:webHidden/>
          </w:rPr>
        </w:r>
        <w:r w:rsidR="003041D1">
          <w:rPr>
            <w:noProof/>
            <w:webHidden/>
          </w:rPr>
          <w:fldChar w:fldCharType="separate"/>
        </w:r>
        <w:r w:rsidR="003041D1">
          <w:rPr>
            <w:noProof/>
            <w:webHidden/>
          </w:rPr>
          <w:t>9</w:t>
        </w:r>
        <w:r w:rsidR="003041D1">
          <w:rPr>
            <w:noProof/>
            <w:webHidden/>
          </w:rPr>
          <w:fldChar w:fldCharType="end"/>
        </w:r>
      </w:hyperlink>
    </w:p>
    <w:p w14:paraId="68BBA3A2" w14:textId="3D9591A6" w:rsidR="00852829" w:rsidRDefault="0049725E" w:rsidP="00852829">
      <w:r>
        <w:rPr>
          <w:rFonts w:ascii="Arial" w:hAnsi="Arial"/>
          <w:b/>
          <w:bCs/>
          <w:sz w:val="20"/>
          <w:szCs w:val="20"/>
        </w:rPr>
        <w:fldChar w:fldCharType="end"/>
      </w:r>
    </w:p>
    <w:p w14:paraId="68BBA3A3" w14:textId="77777777" w:rsidR="00852829" w:rsidRDefault="00852829" w:rsidP="00852829">
      <w:r>
        <w:br w:type="page"/>
      </w:r>
    </w:p>
    <w:p w14:paraId="68BBA3A4" w14:textId="77777777" w:rsidR="00965F91" w:rsidRPr="008E28D9" w:rsidRDefault="00320AAA" w:rsidP="00965F91">
      <w:pPr>
        <w:pStyle w:val="Rubrik1"/>
        <w:numPr>
          <w:ilvl w:val="0"/>
          <w:numId w:val="13"/>
        </w:numPr>
        <w:tabs>
          <w:tab w:val="clear" w:pos="1304"/>
        </w:tabs>
        <w:overflowPunct w:val="0"/>
        <w:autoSpaceDE w:val="0"/>
        <w:autoSpaceDN w:val="0"/>
        <w:adjustRightInd w:val="0"/>
        <w:spacing w:before="360"/>
        <w:ind w:left="680" w:hanging="680"/>
        <w:textAlignment w:val="baseline"/>
        <w:rPr>
          <w:sz w:val="24"/>
          <w:szCs w:val="24"/>
        </w:rPr>
      </w:pPr>
      <w:bookmarkStart w:id="8" w:name="_Toc495483280"/>
      <w:bookmarkStart w:id="9" w:name="_Toc536188203"/>
      <w:bookmarkStart w:id="10" w:name="_Toc457985726"/>
      <w:bookmarkStart w:id="11" w:name="_Toc458005259"/>
      <w:bookmarkStart w:id="12" w:name="_Toc467559863"/>
      <w:bookmarkStart w:id="13" w:name="_Toc467560185"/>
      <w:bookmarkStart w:id="14" w:name="_Toc468341381"/>
      <w:bookmarkEnd w:id="0"/>
      <w:bookmarkEnd w:id="1"/>
      <w:bookmarkEnd w:id="2"/>
      <w:bookmarkEnd w:id="3"/>
      <w:r w:rsidRPr="008E28D9">
        <w:rPr>
          <w:sz w:val="24"/>
          <w:szCs w:val="24"/>
        </w:rPr>
        <w:lastRenderedPageBreak/>
        <w:t>Statistikens sammanhang</w:t>
      </w:r>
      <w:bookmarkEnd w:id="8"/>
      <w:bookmarkEnd w:id="9"/>
    </w:p>
    <w:p w14:paraId="68BBA3A7" w14:textId="5071D3A0" w:rsidR="009A1D1B" w:rsidRDefault="00027CD6" w:rsidP="00965F91">
      <w:r w:rsidRPr="00536738">
        <w:t>Statistiken syftar till att belysa e</w:t>
      </w:r>
      <w:r>
        <w:t>n</w:t>
      </w:r>
      <w:r w:rsidRPr="00536738">
        <w:t xml:space="preserve">ergianvändningen i byggsektorn. Uppgifterna används bland annat för utrednings- och uppföljningsändamål, för internationell statistikrapportering samt </w:t>
      </w:r>
      <w:r>
        <w:t xml:space="preserve">som </w:t>
      </w:r>
      <w:r w:rsidRPr="00536738">
        <w:t>underlag för de årliga officiella energibalanserna. Byggsektorn ingår som en delkomponent i energibalanserna och avser byggsektorns energianvändning exklusive vägtransporter</w:t>
      </w:r>
      <w:r>
        <w:t>.</w:t>
      </w:r>
      <w:r w:rsidRPr="00536738">
        <w:t xml:space="preserve"> </w:t>
      </w:r>
    </w:p>
    <w:p w14:paraId="26AF2B09" w14:textId="3BC09591" w:rsidR="00027CD6" w:rsidRPr="00027CD6" w:rsidRDefault="00027CD6" w:rsidP="00027CD6">
      <w:r>
        <w:t>Statistiken över byggsektorns energianvändning framställs intermittent. Målstorheternas referensperiod är kalenderåret 2017. Dessförinnan fram</w:t>
      </w:r>
      <w:r>
        <w:softHyphen/>
        <w:t>ställdes statistik för kalenderåret 2004. Uppgiftsinsamling görs året efter referensåret. Statistikredovisning görs året efter eller två år efter referensåret.</w:t>
      </w:r>
    </w:p>
    <w:p w14:paraId="68BBA3A8" w14:textId="43A543EC" w:rsidR="00265425" w:rsidRDefault="00965F91" w:rsidP="00265425">
      <w:pPr>
        <w:pStyle w:val="Rubrik1"/>
        <w:numPr>
          <w:ilvl w:val="0"/>
          <w:numId w:val="13"/>
        </w:numPr>
        <w:tabs>
          <w:tab w:val="clear" w:pos="1304"/>
        </w:tabs>
        <w:overflowPunct w:val="0"/>
        <w:autoSpaceDE w:val="0"/>
        <w:autoSpaceDN w:val="0"/>
        <w:adjustRightInd w:val="0"/>
        <w:spacing w:before="360"/>
        <w:ind w:left="680" w:hanging="680"/>
        <w:textAlignment w:val="baseline"/>
        <w:rPr>
          <w:sz w:val="24"/>
          <w:szCs w:val="24"/>
        </w:rPr>
      </w:pPr>
      <w:bookmarkStart w:id="15" w:name="_Toc495483281"/>
      <w:bookmarkStart w:id="16" w:name="_Toc536188204"/>
      <w:r>
        <w:rPr>
          <w:sz w:val="24"/>
          <w:szCs w:val="24"/>
        </w:rPr>
        <w:t>U</w:t>
      </w:r>
      <w:r w:rsidR="00265425" w:rsidRPr="0059140F">
        <w:rPr>
          <w:sz w:val="24"/>
          <w:szCs w:val="24"/>
        </w:rPr>
        <w:t>n</w:t>
      </w:r>
      <w:r>
        <w:rPr>
          <w:sz w:val="24"/>
          <w:szCs w:val="24"/>
        </w:rPr>
        <w:t>der</w:t>
      </w:r>
      <w:r w:rsidR="00265425" w:rsidRPr="0059140F">
        <w:rPr>
          <w:sz w:val="24"/>
          <w:szCs w:val="24"/>
        </w:rPr>
        <w:t>s</w:t>
      </w:r>
      <w:bookmarkEnd w:id="10"/>
      <w:bookmarkEnd w:id="11"/>
      <w:bookmarkEnd w:id="12"/>
      <w:bookmarkEnd w:id="13"/>
      <w:bookmarkEnd w:id="14"/>
      <w:r>
        <w:rPr>
          <w:sz w:val="24"/>
          <w:szCs w:val="24"/>
        </w:rPr>
        <w:t>ökningsdesign</w:t>
      </w:r>
      <w:bookmarkEnd w:id="15"/>
      <w:bookmarkEnd w:id="16"/>
    </w:p>
    <w:p w14:paraId="68BBA3A9" w14:textId="77777777" w:rsidR="00265425" w:rsidRDefault="00965F91" w:rsidP="0047099C">
      <w:pPr>
        <w:pStyle w:val="Rubrik2"/>
        <w:numPr>
          <w:ilvl w:val="1"/>
          <w:numId w:val="13"/>
        </w:numPr>
        <w:tabs>
          <w:tab w:val="clear" w:pos="1304"/>
        </w:tabs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17" w:name="_Toc479755445"/>
      <w:bookmarkStart w:id="18" w:name="_Toc434590533"/>
      <w:bookmarkStart w:id="19" w:name="_Toc457985727"/>
      <w:bookmarkStart w:id="20" w:name="_Toc458005260"/>
      <w:bookmarkStart w:id="21" w:name="_Toc467559864"/>
      <w:bookmarkStart w:id="22" w:name="_Toc467560186"/>
      <w:bookmarkStart w:id="23" w:name="_Toc468341382"/>
      <w:bookmarkStart w:id="24" w:name="_Toc495483282"/>
      <w:bookmarkStart w:id="25" w:name="_Toc536188205"/>
      <w:bookmarkEnd w:id="17"/>
      <w:r>
        <w:t>M</w:t>
      </w:r>
      <w:r w:rsidR="00265425" w:rsidRPr="0059140F">
        <w:t>ål</w:t>
      </w:r>
      <w:r>
        <w:t>storheter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68BBA3AA" w14:textId="6844EB83" w:rsidR="00176C90" w:rsidRPr="00176C90" w:rsidRDefault="00C87F30" w:rsidP="00721810">
      <w:r w:rsidRPr="00721810">
        <w:rPr>
          <w:rFonts w:eastAsiaTheme="minorEastAsia"/>
          <w:iCs/>
        </w:rPr>
        <w:t>De statistiska målstorheterna utgörs av summor</w:t>
      </w:r>
      <w:r>
        <w:rPr>
          <w:rFonts w:eastAsiaTheme="minorEastAsia"/>
          <w:iCs/>
        </w:rPr>
        <w:t xml:space="preserve"> som beskriver den svenska bygg</w:t>
      </w:r>
      <w:r w:rsidRPr="00721810">
        <w:rPr>
          <w:rFonts w:eastAsiaTheme="minorEastAsia"/>
          <w:iCs/>
        </w:rPr>
        <w:t xml:space="preserve">branschens energianvändning under 2017 med avseende på omfattning och karaktär. </w:t>
      </w:r>
    </w:p>
    <w:p w14:paraId="68BBA3AC" w14:textId="77777777" w:rsidR="00965F91" w:rsidRDefault="00965F91" w:rsidP="00965F91">
      <w:pPr>
        <w:pStyle w:val="Rubrik2"/>
        <w:numPr>
          <w:ilvl w:val="1"/>
          <w:numId w:val="13"/>
        </w:numPr>
        <w:tabs>
          <w:tab w:val="clear" w:pos="1304"/>
        </w:tabs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26" w:name="_Toc495483283"/>
      <w:bookmarkStart w:id="27" w:name="_Toc536188206"/>
      <w:r>
        <w:t>Ramförfarande</w:t>
      </w:r>
      <w:bookmarkEnd w:id="26"/>
      <w:bookmarkEnd w:id="27"/>
    </w:p>
    <w:p w14:paraId="13954DD0" w14:textId="7A7B0AB7" w:rsidR="00027CD6" w:rsidRDefault="00027CD6" w:rsidP="006F405D">
      <w:r w:rsidRPr="00FB2880">
        <w:t>Målpopulationen</w:t>
      </w:r>
      <w:r>
        <w:t xml:space="preserve"> utgörs av</w:t>
      </w:r>
      <w:r w:rsidRPr="00C57D0D">
        <w:t xml:space="preserve"> </w:t>
      </w:r>
      <w:r>
        <w:t xml:space="preserve">målobjekten </w:t>
      </w:r>
      <w:r w:rsidRPr="00C57D0D">
        <w:t xml:space="preserve">arbetsställen med primär verksamhet </w:t>
      </w:r>
      <w:r>
        <w:t xml:space="preserve">2017 </w:t>
      </w:r>
      <w:r w:rsidRPr="00C57D0D">
        <w:t xml:space="preserve">inom byggbranschen (SNI 41-43) </w:t>
      </w:r>
      <w:r>
        <w:t>tillhörande</w:t>
      </w:r>
      <w:r w:rsidRPr="00C57D0D">
        <w:t xml:space="preserve"> företag med primär verksamhet</w:t>
      </w:r>
      <w:r>
        <w:t xml:space="preserve"> 2017</w:t>
      </w:r>
      <w:r w:rsidRPr="00C57D0D">
        <w:t xml:space="preserve"> inom byggbranschen. </w:t>
      </w:r>
    </w:p>
    <w:p w14:paraId="55FDE1E9" w14:textId="3FFCC1D6" w:rsidR="00027CD6" w:rsidRPr="00C57D0D" w:rsidRDefault="00027CD6" w:rsidP="00027CD6">
      <w:r>
        <w:t>Observationsobjekten är av samma typ,</w:t>
      </w:r>
      <w:r w:rsidR="00C87F30">
        <w:t xml:space="preserve"> </w:t>
      </w:r>
      <w:r>
        <w:t>som målobjekten</w:t>
      </w:r>
      <w:r w:rsidR="0071169A">
        <w:t xml:space="preserve">, dvs. </w:t>
      </w:r>
      <w:r w:rsidR="0071169A" w:rsidRPr="00C57D0D">
        <w:t>arbetsställen</w:t>
      </w:r>
      <w:r>
        <w:t xml:space="preserve">, medan uppgiftskällorna utgörs av företag inom byggbranschen. </w:t>
      </w:r>
      <w:r w:rsidR="00C87F30">
        <w:t xml:space="preserve">Företagen kontaktas i första hand genom deras postadress och senare genom deras utsedda kontaktperson för uppgiftslämnandet. </w:t>
      </w:r>
      <w:r>
        <w:t xml:space="preserve">Företagen ombeds att exkludera energianvändning hänförlig till </w:t>
      </w:r>
      <w:r w:rsidR="0071169A">
        <w:t>arbetsställen utanför målpopula</w:t>
      </w:r>
      <w:r>
        <w:t xml:space="preserve">tionen i sin rapportering.  </w:t>
      </w:r>
    </w:p>
    <w:p w14:paraId="150032CA" w14:textId="11C8447A" w:rsidR="006F405D" w:rsidRDefault="00027CD6" w:rsidP="006F405D">
      <w:r>
        <w:t xml:space="preserve">Rampopulationen skapas utifrån novemberversionen 2017 av SCB:s företagsdatabas (FDB) och består av samtliga arbetsställen inom SNI 41-43 tillhörande aktiva företag inom SNI 41-43. </w:t>
      </w:r>
    </w:p>
    <w:p w14:paraId="68BBA3AF" w14:textId="77777777" w:rsidR="00965F91" w:rsidRDefault="0034701E" w:rsidP="00965F91">
      <w:pPr>
        <w:pStyle w:val="Rubrik2"/>
        <w:numPr>
          <w:ilvl w:val="1"/>
          <w:numId w:val="13"/>
        </w:numPr>
        <w:tabs>
          <w:tab w:val="clear" w:pos="1304"/>
        </w:tabs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28" w:name="_Toc495483284"/>
      <w:bookmarkStart w:id="29" w:name="_Toc536188207"/>
      <w:r>
        <w:t>F</w:t>
      </w:r>
      <w:r w:rsidR="00965F91">
        <w:t>örfarande</w:t>
      </w:r>
      <w:r>
        <w:t>n för urval</w:t>
      </w:r>
      <w:r w:rsidR="00965F91">
        <w:t xml:space="preserve"> och </w:t>
      </w:r>
      <w:r w:rsidR="00965F91" w:rsidRPr="002F4634">
        <w:t>uteslutning</w:t>
      </w:r>
      <w:bookmarkEnd w:id="28"/>
      <w:bookmarkEnd w:id="29"/>
    </w:p>
    <w:p w14:paraId="68BBA3B0" w14:textId="77777777" w:rsidR="003B5188" w:rsidRDefault="003B5188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30" w:name="_Toc479755449"/>
      <w:bookmarkStart w:id="31" w:name="_Toc479755450"/>
      <w:bookmarkStart w:id="32" w:name="_Toc495483285"/>
      <w:bookmarkStart w:id="33" w:name="_Toc536188208"/>
      <w:bookmarkEnd w:id="30"/>
      <w:bookmarkEnd w:id="31"/>
      <w:r>
        <w:t>Urvalsförfarande</w:t>
      </w:r>
      <w:bookmarkEnd w:id="32"/>
      <w:bookmarkEnd w:id="33"/>
    </w:p>
    <w:p w14:paraId="0C7E0D25" w14:textId="5F867CD0" w:rsidR="006F405D" w:rsidRDefault="006F405D" w:rsidP="00027CD6">
      <w:r>
        <w:t xml:space="preserve">Urvalsramen består av en delmängd av de aktiva företagen inom SNI 41-43. </w:t>
      </w:r>
      <w:r w:rsidR="00027CD6">
        <w:t>Från urvalsramen dras ett stratifierat obundet slumpmässigt urval (OSU), där stratifiering gjorts efter storlek och tvåsiffrig SNI-kod.</w:t>
      </w:r>
      <w:r w:rsidR="00FE59C8">
        <w:t xml:space="preserve"> Stratumstoleken</w:t>
      </w:r>
      <w:r w:rsidR="00BB0E38">
        <w:t xml:space="preserve"> </w:t>
      </w:r>
      <w:r w:rsidR="00031F39">
        <w:t>redovisas</w:t>
      </w:r>
      <w:r w:rsidR="00BB0E38">
        <w:t xml:space="preserve"> i </w:t>
      </w:r>
      <w:r w:rsidR="008C7EB9">
        <w:rPr>
          <w:i/>
        </w:rPr>
        <w:t>tabell 1</w:t>
      </w:r>
      <w:r w:rsidR="00BB0E38">
        <w:t xml:space="preserve"> nedan.</w:t>
      </w:r>
    </w:p>
    <w:p w14:paraId="674B8908" w14:textId="3B7410F9" w:rsidR="00027CD6" w:rsidRPr="00EF7E07" w:rsidRDefault="00027CD6" w:rsidP="00027CD6">
      <w:pPr>
        <w:rPr>
          <w:i/>
        </w:rPr>
      </w:pPr>
      <w:r w:rsidRPr="00EF7E07">
        <w:rPr>
          <w:i/>
        </w:rPr>
        <w:t xml:space="preserve">Tabell </w:t>
      </w:r>
      <w:r w:rsidR="008C7EB9">
        <w:rPr>
          <w:i/>
        </w:rPr>
        <w:t>1</w:t>
      </w:r>
      <w:r w:rsidRPr="00EF7E07">
        <w:rPr>
          <w:i/>
        </w:rPr>
        <w:t>. Urvalsramens storlek (N</w:t>
      </w:r>
      <w:r w:rsidRPr="008D71F5">
        <w:rPr>
          <w:i/>
          <w:vertAlign w:val="subscript"/>
        </w:rPr>
        <w:t>h</w:t>
      </w:r>
      <w:r w:rsidRPr="00EF7E07">
        <w:rPr>
          <w:i/>
        </w:rPr>
        <w:t>) och urvalsstorlekar (n</w:t>
      </w:r>
      <w:r w:rsidRPr="008D71F5">
        <w:rPr>
          <w:i/>
          <w:vertAlign w:val="subscript"/>
        </w:rPr>
        <w:t>h</w:t>
      </w:r>
      <w:r w:rsidRPr="00EF7E07">
        <w:rPr>
          <w:i/>
        </w:rPr>
        <w:t>) per stratum</w:t>
      </w:r>
    </w:p>
    <w:tbl>
      <w:tblPr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829"/>
        <w:gridCol w:w="851"/>
        <w:gridCol w:w="850"/>
        <w:gridCol w:w="709"/>
        <w:gridCol w:w="851"/>
        <w:gridCol w:w="567"/>
        <w:gridCol w:w="708"/>
        <w:gridCol w:w="709"/>
      </w:tblGrid>
      <w:tr w:rsidR="00027CD6" w:rsidRPr="00DA6D0E" w14:paraId="0101480C" w14:textId="77777777" w:rsidTr="00524CE5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F1D0" w14:textId="77777777" w:rsidR="00027CD6" w:rsidRPr="00DA6D0E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Bransch</w:t>
            </w:r>
          </w:p>
        </w:tc>
        <w:tc>
          <w:tcPr>
            <w:tcW w:w="60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A6B6" w14:textId="77777777" w:rsidR="00027CD6" w:rsidRPr="00DA6D0E" w:rsidRDefault="00027CD6" w:rsidP="0052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Företagsstorlek</w:t>
            </w:r>
          </w:p>
        </w:tc>
      </w:tr>
      <w:tr w:rsidR="00027CD6" w:rsidRPr="00DA6D0E" w14:paraId="3DD51E24" w14:textId="77777777" w:rsidTr="00524CE5">
        <w:trPr>
          <w:trHeight w:val="30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A31E" w14:textId="77777777" w:rsidR="00027CD6" w:rsidRPr="00DA6D0E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7691" w14:textId="77777777" w:rsidR="00027CD6" w:rsidRPr="00DA6D0E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Små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4E4A" w14:textId="77777777" w:rsidR="00027CD6" w:rsidRPr="00DA6D0E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Mellanstora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3228" w14:textId="77777777" w:rsidR="00027CD6" w:rsidRPr="00DA6D0E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Stora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EC61" w14:textId="77777777" w:rsidR="00027CD6" w:rsidRPr="00DA6D0E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Totalt</w:t>
            </w:r>
          </w:p>
        </w:tc>
      </w:tr>
      <w:tr w:rsidR="00027CD6" w:rsidRPr="00DA6D0E" w14:paraId="23829403" w14:textId="77777777" w:rsidTr="00524CE5">
        <w:trPr>
          <w:trHeight w:val="90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2598" w14:textId="77777777" w:rsidR="00027CD6" w:rsidRPr="00DA6D0E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FBE0" w14:textId="77777777" w:rsidR="00027CD6" w:rsidRPr="008D71F5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 w:rsidRPr="008D71F5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N</w:t>
            </w:r>
            <w:r w:rsidRPr="008D71F5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sv-SE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C166" w14:textId="77777777" w:rsidR="00027CD6" w:rsidRPr="008D71F5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 w:rsidRPr="008D71F5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n</w:t>
            </w:r>
            <w:r w:rsidRPr="008D71F5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sv-SE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5E2B" w14:textId="77777777" w:rsidR="00027CD6" w:rsidRPr="008D71F5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 w:rsidRPr="008D71F5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N</w:t>
            </w:r>
            <w:r w:rsidRPr="008D71F5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sv-SE"/>
              </w:rPr>
              <w:t>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519D" w14:textId="77777777" w:rsidR="00027CD6" w:rsidRPr="008D71F5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 w:rsidRPr="008D71F5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n</w:t>
            </w:r>
            <w:r w:rsidRPr="008D71F5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sv-SE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E480" w14:textId="77777777" w:rsidR="00027CD6" w:rsidRPr="008D71F5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 w:rsidRPr="008D71F5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N</w:t>
            </w:r>
            <w:r w:rsidRPr="008D71F5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sv-SE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F4FD" w14:textId="77777777" w:rsidR="00027CD6" w:rsidRPr="008D71F5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 w:rsidRPr="008D71F5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n</w:t>
            </w:r>
            <w:r w:rsidRPr="008D71F5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sv-SE"/>
              </w:rPr>
              <w:t>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7CBB" w14:textId="77777777" w:rsidR="00027CD6" w:rsidRPr="008D71F5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 w:rsidRPr="008D71F5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N</w:t>
            </w:r>
            <w:r w:rsidRPr="008D71F5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sv-SE"/>
              </w:rPr>
              <w:t>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DE37" w14:textId="77777777" w:rsidR="00027CD6" w:rsidRPr="008D71F5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 w:rsidRPr="008D71F5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n</w:t>
            </w:r>
            <w:r w:rsidRPr="008D71F5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sv-SE"/>
              </w:rPr>
              <w:t>h</w:t>
            </w:r>
          </w:p>
        </w:tc>
      </w:tr>
      <w:tr w:rsidR="00027CD6" w:rsidRPr="00DA6D0E" w14:paraId="68357A8A" w14:textId="77777777" w:rsidTr="00524CE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FB1F" w14:textId="77777777" w:rsidR="00027CD6" w:rsidRPr="00DA6D0E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D1C5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2 344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2F8F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553F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12A0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5B92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A28B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724E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2 986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02F0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616</w:t>
            </w:r>
          </w:p>
        </w:tc>
      </w:tr>
      <w:tr w:rsidR="00027CD6" w:rsidRPr="00DA6D0E" w14:paraId="4A98785B" w14:textId="77777777" w:rsidTr="00524CE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F9AA" w14:textId="77777777" w:rsidR="00027CD6" w:rsidRPr="00DA6D0E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E06D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7E21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8B3C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4F12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29F2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2E7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A04D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A681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114</w:t>
            </w:r>
          </w:p>
        </w:tc>
      </w:tr>
      <w:tr w:rsidR="00027CD6" w:rsidRPr="00DA6D0E" w14:paraId="0C177284" w14:textId="77777777" w:rsidTr="00524CE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1E90" w14:textId="77777777" w:rsidR="00027CD6" w:rsidRPr="00DA6D0E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5C8C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5 216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1F5A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BE40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1 019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6F12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ECDE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C6B5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color w:val="000000"/>
                <w:lang w:eastAsia="sv-SE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E13A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2EE2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403</w:t>
            </w:r>
          </w:p>
        </w:tc>
      </w:tr>
      <w:tr w:rsidR="00027CD6" w:rsidRPr="00DA6D0E" w14:paraId="0B0EB4E9" w14:textId="77777777" w:rsidTr="00524CE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E055" w14:textId="77777777" w:rsidR="00027CD6" w:rsidRPr="00DA6D0E" w:rsidRDefault="00027CD6" w:rsidP="00524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Totalt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076E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7 828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C5D4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18B4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7E31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FE9B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743A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8879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9 682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54A9" w14:textId="77777777" w:rsidR="00027CD6" w:rsidRPr="00DA6D0E" w:rsidRDefault="00027CD6" w:rsidP="00524C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A6D0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1 133</w:t>
            </w:r>
          </w:p>
        </w:tc>
      </w:tr>
    </w:tbl>
    <w:p w14:paraId="68BBA3B1" w14:textId="0D4C5DD6" w:rsidR="00176C90" w:rsidRPr="00176C90" w:rsidRDefault="00176C90" w:rsidP="006A36C3"/>
    <w:p w14:paraId="68BBA3B3" w14:textId="77777777" w:rsidR="003B5188" w:rsidRDefault="003B5188" w:rsidP="003B5188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34" w:name="_Toc495483286"/>
      <w:bookmarkStart w:id="35" w:name="_Toc536188209"/>
      <w:r>
        <w:t>Uteslutning från insamling (cut-off)</w:t>
      </w:r>
      <w:bookmarkEnd w:id="34"/>
      <w:bookmarkEnd w:id="35"/>
    </w:p>
    <w:p w14:paraId="37E150C2" w14:textId="7A0D3BFF" w:rsidR="006F405D" w:rsidRDefault="00027CD6" w:rsidP="00027CD6">
      <w:r>
        <w:t>Följande enheter utesluts ur urvalsramen:</w:t>
      </w:r>
    </w:p>
    <w:p w14:paraId="59E3EF94" w14:textId="2FB1B3C7" w:rsidR="006F405D" w:rsidRDefault="00027CD6" w:rsidP="006F405D">
      <w:pPr>
        <w:pStyle w:val="Punktlista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f</w:t>
      </w:r>
      <w:r w:rsidR="006F405D">
        <w:t xml:space="preserve">öretag inom </w:t>
      </w:r>
      <w:r w:rsidR="006F405D" w:rsidRPr="00C57D0D">
        <w:t>SNI 43.2</w:t>
      </w:r>
      <w:r w:rsidR="006F405D">
        <w:t xml:space="preserve"> </w:t>
      </w:r>
      <w:r w:rsidR="006F405D" w:rsidRPr="00C57D0D">
        <w:rPr>
          <w:i/>
        </w:rPr>
        <w:t>Elinstallationer, VVS-arbeten och andra bygginstallationer</w:t>
      </w:r>
      <w:r>
        <w:t>,</w:t>
      </w:r>
    </w:p>
    <w:p w14:paraId="186AD716" w14:textId="2B09F215" w:rsidR="006F405D" w:rsidRDefault="00027CD6" w:rsidP="006F405D">
      <w:pPr>
        <w:pStyle w:val="Punktlista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f</w:t>
      </w:r>
      <w:r w:rsidR="006F405D" w:rsidRPr="00C57D0D">
        <w:t xml:space="preserve">öretag med </w:t>
      </w:r>
      <w:r w:rsidR="006F405D">
        <w:t>färre än fem anställda</w:t>
      </w:r>
      <w:r>
        <w:t>.</w:t>
      </w:r>
    </w:p>
    <w:p w14:paraId="68BBA3B4" w14:textId="131C23BC" w:rsidR="00176C90" w:rsidRDefault="00176C90" w:rsidP="006A36C3"/>
    <w:p w14:paraId="3993A070" w14:textId="2CC6E477" w:rsidR="00FE59C8" w:rsidRPr="00176C90" w:rsidRDefault="00FE59C8" w:rsidP="006A36C3">
      <w:r>
        <w:t>Se Kvalitetsdeklarationen avsnitt 2.2.1 Urval för en analys om uteslutningens påverkan på statistiken.</w:t>
      </w:r>
    </w:p>
    <w:p w14:paraId="68BBA3B6" w14:textId="77777777" w:rsidR="00965F91" w:rsidRDefault="00BA0AAC" w:rsidP="00965F91">
      <w:pPr>
        <w:pStyle w:val="Rubrik2"/>
        <w:numPr>
          <w:ilvl w:val="1"/>
          <w:numId w:val="13"/>
        </w:numPr>
        <w:tabs>
          <w:tab w:val="clear" w:pos="1304"/>
        </w:tabs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36" w:name="_Toc495483287"/>
      <w:bookmarkStart w:id="37" w:name="_Toc536188210"/>
      <w:r>
        <w:t>Insamlingsförfarande</w:t>
      </w:r>
      <w:bookmarkEnd w:id="36"/>
      <w:bookmarkEnd w:id="37"/>
    </w:p>
    <w:p w14:paraId="68BBA3B7" w14:textId="77777777" w:rsidR="004C673F" w:rsidRDefault="004C673F" w:rsidP="00266F7B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38" w:name="_Toc479755454"/>
      <w:bookmarkStart w:id="39" w:name="_Toc495483288"/>
      <w:bookmarkStart w:id="40" w:name="_Toc536188211"/>
      <w:bookmarkEnd w:id="38"/>
      <w:r>
        <w:t>Datainsamlingsmetoder</w:t>
      </w:r>
      <w:bookmarkEnd w:id="39"/>
      <w:bookmarkEnd w:id="40"/>
    </w:p>
    <w:p w14:paraId="20617359" w14:textId="70550329" w:rsidR="00C87F30" w:rsidRDefault="00F31C33" w:rsidP="00F31C33">
      <w:pPr>
        <w:rPr>
          <w:rFonts w:eastAsiaTheme="minorEastAsia"/>
          <w:iCs/>
        </w:rPr>
      </w:pPr>
      <w:r>
        <w:t>Datainsamling</w:t>
      </w:r>
      <w:r w:rsidR="00D82B4E">
        <w:t>en genom</w:t>
      </w:r>
      <w:r w:rsidR="00524CE5">
        <w:t>förs med</w:t>
      </w:r>
      <w:r>
        <w:t xml:space="preserve"> ett webbaserat frågeformulär. </w:t>
      </w:r>
      <w:r w:rsidR="00C87F30">
        <w:t xml:space="preserve">Ett informationsbrev skickades </w:t>
      </w:r>
      <w:r w:rsidR="0047250E">
        <w:t>i</w:t>
      </w:r>
      <w:r w:rsidR="00C87F30">
        <w:t xml:space="preserve"> oktober 2018</w:t>
      </w:r>
      <w:r w:rsidR="0047250E">
        <w:t>, året efter referensåret,</w:t>
      </w:r>
      <w:r w:rsidR="00C87F30">
        <w:t xml:space="preserve"> till företagens postadress med information om att företaget kommit med i undersökningen och att de ska logga in på</w:t>
      </w:r>
      <w:r w:rsidR="0047250E">
        <w:t xml:space="preserve"> och</w:t>
      </w:r>
      <w:r w:rsidR="00C87F30">
        <w:t xml:space="preserve"> besvara ett webbaserat frågeformulär</w:t>
      </w:r>
      <w:r w:rsidR="00C87F30" w:rsidRPr="00CE454D">
        <w:rPr>
          <w:rFonts w:eastAsiaTheme="minorEastAsia"/>
          <w:iCs/>
        </w:rPr>
        <w:t>.</w:t>
      </w:r>
      <w:r w:rsidR="00C87F30">
        <w:rPr>
          <w:rFonts w:eastAsiaTheme="minorEastAsia"/>
          <w:iCs/>
        </w:rPr>
        <w:t xml:space="preserve"> Företaget informerades även om att de ska utse en kontaktperson för uppgiftslämnandet för eventuella frågor rörande de rapporterade uppgifterna.</w:t>
      </w:r>
    </w:p>
    <w:p w14:paraId="42BF163C" w14:textId="439BD4E5" w:rsidR="00F31C33" w:rsidRDefault="006906C6" w:rsidP="00F31C33">
      <w:r>
        <w:t>Denna d</w:t>
      </w:r>
      <w:r w:rsidR="00F31C33">
        <w:t>atainsamlingsmetod har valts för att byggsektorn</w:t>
      </w:r>
      <w:r w:rsidR="00D82B4E">
        <w:t xml:space="preserve"> i regel</w:t>
      </w:r>
      <w:r w:rsidR="00F31C33">
        <w:t xml:space="preserve"> har möjlighet att svara </w:t>
      </w:r>
      <w:r w:rsidR="00BB0E38">
        <w:t>via</w:t>
      </w:r>
      <w:r w:rsidR="00F31C33">
        <w:t xml:space="preserve"> Internet och att e</w:t>
      </w:r>
      <w:r w:rsidR="00524CE5">
        <w:t>tt webbaserat</w:t>
      </w:r>
      <w:r w:rsidR="00F31C33">
        <w:t xml:space="preserve"> </w:t>
      </w:r>
      <w:r w:rsidR="00524CE5">
        <w:t>formulär</w:t>
      </w:r>
      <w:r w:rsidR="00F31C33">
        <w:t xml:space="preserve"> ger möjligheten att rimlighetskontrollera </w:t>
      </w:r>
      <w:r w:rsidR="00031F39">
        <w:t>uppgifterna</w:t>
      </w:r>
      <w:r w:rsidR="00F31C33">
        <w:t xml:space="preserve"> direkt vid insamling. </w:t>
      </w:r>
    </w:p>
    <w:p w14:paraId="37C4E06D" w14:textId="75B82394" w:rsidR="00F31C33" w:rsidRDefault="002A3469" w:rsidP="00F31C33">
      <w:r w:rsidRPr="00C00D32">
        <w:t>Mätinstrumentet redovisas</w:t>
      </w:r>
      <w:r>
        <w:t xml:space="preserve"> i </w:t>
      </w:r>
      <w:r w:rsidRPr="008C7EB9">
        <w:rPr>
          <w:i/>
        </w:rPr>
        <w:t>bilaga 1</w:t>
      </w:r>
      <w:r w:rsidRPr="00C00D32">
        <w:t>.</w:t>
      </w:r>
    </w:p>
    <w:p w14:paraId="68BBA3BB" w14:textId="77777777" w:rsidR="004C673F" w:rsidRDefault="004C673F" w:rsidP="00266F7B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41" w:name="_Toc495483289"/>
      <w:bookmarkStart w:id="42" w:name="_Toc536188212"/>
      <w:r>
        <w:t>Mätning</w:t>
      </w:r>
      <w:bookmarkEnd w:id="41"/>
      <w:bookmarkEnd w:id="42"/>
    </w:p>
    <w:p w14:paraId="08FAF075" w14:textId="48DC6453" w:rsidR="006906C6" w:rsidRDefault="006906C6" w:rsidP="00970A40">
      <w:r>
        <w:t>Ett frågeformulär har skapats med syfte att mäta företag</w:t>
      </w:r>
      <w:r w:rsidR="003041D1">
        <w:t>ens</w:t>
      </w:r>
      <w:r>
        <w:t xml:space="preserve"> energianvändning fördelat på användningskategorier och bränsletyper. Frågeformuläret är redovisat i </w:t>
      </w:r>
      <w:r w:rsidR="008C7EB9">
        <w:rPr>
          <w:i/>
        </w:rPr>
        <w:t>bilaga 1</w:t>
      </w:r>
      <w:r>
        <w:t>.</w:t>
      </w:r>
    </w:p>
    <w:p w14:paraId="68BBA3BC" w14:textId="38B0BC6F" w:rsidR="00176C90" w:rsidRPr="00176C90" w:rsidRDefault="00F31C33" w:rsidP="00970A40">
      <w:r w:rsidRPr="00CE454D">
        <w:rPr>
          <w:rFonts w:eastAsiaTheme="minorEastAsia"/>
          <w:iCs/>
        </w:rPr>
        <w:t xml:space="preserve">Se </w:t>
      </w:r>
      <w:r>
        <w:rPr>
          <w:rFonts w:eastAsiaTheme="minorEastAsia"/>
          <w:iCs/>
        </w:rPr>
        <w:t>k</w:t>
      </w:r>
      <w:r w:rsidRPr="00CE454D">
        <w:rPr>
          <w:rFonts w:eastAsiaTheme="minorEastAsia"/>
          <w:iCs/>
        </w:rPr>
        <w:t>valitets</w:t>
      </w:r>
      <w:r>
        <w:rPr>
          <w:rFonts w:eastAsiaTheme="minorEastAsia"/>
          <w:iCs/>
        </w:rPr>
        <w:softHyphen/>
      </w:r>
      <w:r w:rsidRPr="00CE454D">
        <w:rPr>
          <w:rFonts w:eastAsiaTheme="minorEastAsia"/>
          <w:iCs/>
        </w:rPr>
        <w:t>deklarationen för en beskrivning av frågeformulärets observations</w:t>
      </w:r>
      <w:r>
        <w:rPr>
          <w:rFonts w:eastAsiaTheme="minorEastAsia"/>
          <w:iCs/>
        </w:rPr>
        <w:softHyphen/>
        <w:t>variabler.</w:t>
      </w:r>
    </w:p>
    <w:p w14:paraId="68BBA3BE" w14:textId="77777777" w:rsidR="00970A40" w:rsidRDefault="00970A40" w:rsidP="00970A40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43" w:name="_Toc495483290"/>
      <w:bookmarkStart w:id="44" w:name="_Toc536188213"/>
      <w:r>
        <w:lastRenderedPageBreak/>
        <w:t>Bortfallsuppföljning</w:t>
      </w:r>
      <w:bookmarkEnd w:id="43"/>
      <w:bookmarkEnd w:id="44"/>
    </w:p>
    <w:p w14:paraId="68BBA3BF" w14:textId="41604EA2" w:rsidR="00970A40" w:rsidRPr="00F31C33" w:rsidRDefault="00524CE5" w:rsidP="00F31C33">
      <w:r>
        <w:t xml:space="preserve">Objektsbortfallet </w:t>
      </w:r>
      <w:r w:rsidR="003041D1">
        <w:t>mäts som</w:t>
      </w:r>
      <w:r>
        <w:t xml:space="preserve"> företag som ingår i urvalet men inte besvarat frågeformuläret. För att minska objektsbortfallet har e</w:t>
      </w:r>
      <w:r w:rsidR="00F31C33" w:rsidRPr="00F31C33">
        <w:t>fter sista svarsdagen tre papperspåminnelser</w:t>
      </w:r>
      <w:r>
        <w:t xml:space="preserve"> skickats</w:t>
      </w:r>
      <w:r w:rsidR="00F31C33" w:rsidRPr="00F31C33">
        <w:t xml:space="preserve"> ut till de företag som inte besvarat </w:t>
      </w:r>
      <w:r w:rsidR="003041D1">
        <w:t>frågeformuläret</w:t>
      </w:r>
      <w:r w:rsidR="00F31C33" w:rsidRPr="00F31C33">
        <w:t>.</w:t>
      </w:r>
      <w:r w:rsidR="00F31C33">
        <w:t xml:space="preserve"> Uppgiftslämnare som bedöms </w:t>
      </w:r>
      <w:r w:rsidR="00BB0E38">
        <w:t>ha stor inverkan på statistiken</w:t>
      </w:r>
      <w:r w:rsidR="00F31C33">
        <w:t xml:space="preserve"> har även kontaktas via telefon.</w:t>
      </w:r>
    </w:p>
    <w:p w14:paraId="68BBA3C1" w14:textId="77777777" w:rsidR="00D3787C" w:rsidRDefault="00970A40" w:rsidP="0047099C">
      <w:pPr>
        <w:pStyle w:val="Rubrik2"/>
        <w:numPr>
          <w:ilvl w:val="1"/>
          <w:numId w:val="13"/>
        </w:numPr>
        <w:tabs>
          <w:tab w:val="clear" w:pos="1304"/>
        </w:tabs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45" w:name="_Toc495483291"/>
      <w:bookmarkStart w:id="46" w:name="_Toc536188214"/>
      <w:r>
        <w:t>Bearbetningar</w:t>
      </w:r>
      <w:bookmarkEnd w:id="45"/>
      <w:bookmarkEnd w:id="46"/>
    </w:p>
    <w:p w14:paraId="68BBA3C2" w14:textId="056F7E68" w:rsidR="00176C90" w:rsidRPr="00176C90" w:rsidRDefault="003041D1" w:rsidP="006A36C3">
      <w:bookmarkStart w:id="47" w:name="_Toc479755458"/>
      <w:bookmarkStart w:id="48" w:name="_Toc479755459"/>
      <w:bookmarkEnd w:id="47"/>
      <w:bookmarkEnd w:id="48"/>
      <w:r>
        <w:t>Objekts- och partiella bortfall har inte imputerats.</w:t>
      </w:r>
    </w:p>
    <w:p w14:paraId="68BBA3C4" w14:textId="77777777" w:rsidR="00D3787C" w:rsidRDefault="00D3787C" w:rsidP="00D3787C">
      <w:pPr>
        <w:pStyle w:val="Rubrik2"/>
        <w:numPr>
          <w:ilvl w:val="1"/>
          <w:numId w:val="13"/>
        </w:numPr>
        <w:tabs>
          <w:tab w:val="clear" w:pos="1304"/>
        </w:tabs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49" w:name="_Toc495483292"/>
      <w:bookmarkStart w:id="50" w:name="_Toc536188215"/>
      <w:r>
        <w:t>Granskning</w:t>
      </w:r>
      <w:bookmarkEnd w:id="49"/>
      <w:bookmarkEnd w:id="50"/>
    </w:p>
    <w:p w14:paraId="68BBA3C5" w14:textId="124127E1" w:rsidR="00176C90" w:rsidRPr="00F31C33" w:rsidRDefault="00F31C33" w:rsidP="00F31C33">
      <w:r w:rsidRPr="00F31C33">
        <w:t xml:space="preserve">De insamlade uppgifterna granskas under insamlingen, efter </w:t>
      </w:r>
      <w:r w:rsidR="00031F39" w:rsidRPr="00F31C33">
        <w:t>avslutad</w:t>
      </w:r>
      <w:r w:rsidRPr="00F31C33">
        <w:t xml:space="preserve"> insamling samt i aggregerad form</w:t>
      </w:r>
      <w:r w:rsidR="00D82B4E">
        <w:t xml:space="preserve"> innan publicering</w:t>
      </w:r>
      <w:r w:rsidRPr="00F31C33">
        <w:t xml:space="preserve">. </w:t>
      </w:r>
      <w:r w:rsidR="00D82B4E">
        <w:t>Upp</w:t>
      </w:r>
      <w:r w:rsidR="00BB0E38">
        <w:t>gifts</w:t>
      </w:r>
      <w:r w:rsidRPr="00F31C33">
        <w:t xml:space="preserve">lämnare </w:t>
      </w:r>
      <w:r w:rsidR="00D82B4E">
        <w:t>återkontakts om de insamlade uppgifterna behöver kompletteras</w:t>
      </w:r>
      <w:r w:rsidRPr="00F31C33">
        <w:t>.</w:t>
      </w:r>
    </w:p>
    <w:p w14:paraId="68BBA3C7" w14:textId="77777777" w:rsidR="00D3787C" w:rsidRDefault="00831D3B" w:rsidP="00D3787C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51" w:name="_Toc495483293"/>
      <w:bookmarkStart w:id="52" w:name="_Toc536188216"/>
      <w:r>
        <w:t>G</w:t>
      </w:r>
      <w:r w:rsidR="00D3787C">
        <w:t>ranskning</w:t>
      </w:r>
      <w:r>
        <w:t xml:space="preserve"> under insamling</w:t>
      </w:r>
      <w:r w:rsidR="00E36BB4">
        <w:t>en</w:t>
      </w:r>
      <w:bookmarkEnd w:id="51"/>
      <w:bookmarkEnd w:id="52"/>
    </w:p>
    <w:p w14:paraId="68BBA3C8" w14:textId="7CA3C604" w:rsidR="00176C90" w:rsidRPr="00176C90" w:rsidRDefault="00F31C33" w:rsidP="006A36C3">
      <w:r w:rsidRPr="00CE454D">
        <w:rPr>
          <w:rFonts w:eastAsiaTheme="minorEastAsia"/>
          <w:iCs/>
        </w:rPr>
        <w:t xml:space="preserve">I samband med </w:t>
      </w:r>
      <w:r w:rsidR="00FE59C8">
        <w:rPr>
          <w:rFonts w:eastAsiaTheme="minorEastAsia"/>
          <w:iCs/>
        </w:rPr>
        <w:t>uppgiftslämnandet</w:t>
      </w:r>
      <w:r>
        <w:rPr>
          <w:rFonts w:eastAsiaTheme="minorEastAsia"/>
          <w:iCs/>
        </w:rPr>
        <w:t xml:space="preserve"> </w:t>
      </w:r>
      <w:r w:rsidR="00FE59C8">
        <w:rPr>
          <w:rFonts w:eastAsiaTheme="minorEastAsia"/>
          <w:iCs/>
        </w:rPr>
        <w:t>i</w:t>
      </w:r>
      <w:r>
        <w:rPr>
          <w:rFonts w:eastAsiaTheme="minorEastAsia"/>
          <w:iCs/>
        </w:rPr>
        <w:t xml:space="preserve"> insamlingsverktyget SIV</w:t>
      </w:r>
      <w:r w:rsidRPr="00CE454D">
        <w:rPr>
          <w:rFonts w:eastAsiaTheme="minorEastAsia"/>
          <w:iCs/>
        </w:rPr>
        <w:t xml:space="preserve"> genomförs maskinella kontroller </w:t>
      </w:r>
      <w:r w:rsidR="00FE59C8">
        <w:rPr>
          <w:rFonts w:eastAsiaTheme="minorEastAsia"/>
          <w:iCs/>
        </w:rPr>
        <w:t>av</w:t>
      </w:r>
      <w:r w:rsidRPr="00CE454D">
        <w:rPr>
          <w:rFonts w:eastAsiaTheme="minorEastAsia"/>
          <w:iCs/>
        </w:rPr>
        <w:t xml:space="preserve"> svaren. Om en uppgift avviker </w:t>
      </w:r>
      <w:r>
        <w:rPr>
          <w:rFonts w:eastAsiaTheme="minorEastAsia"/>
          <w:iCs/>
        </w:rPr>
        <w:t xml:space="preserve">mycket </w:t>
      </w:r>
      <w:r w:rsidRPr="00CE454D">
        <w:rPr>
          <w:rFonts w:eastAsiaTheme="minorEastAsia"/>
          <w:iCs/>
        </w:rPr>
        <w:t>från förväntat värde upp</w:t>
      </w:r>
      <w:r>
        <w:rPr>
          <w:rFonts w:eastAsiaTheme="minorEastAsia"/>
          <w:iCs/>
        </w:rPr>
        <w:softHyphen/>
      </w:r>
      <w:r w:rsidRPr="00CE454D">
        <w:rPr>
          <w:rFonts w:eastAsiaTheme="minorEastAsia"/>
          <w:iCs/>
        </w:rPr>
        <w:t>manas uppgiftslämnaren att kommentera avvikelsen.</w:t>
      </w:r>
      <w:r>
        <w:rPr>
          <w:rFonts w:eastAsiaTheme="minorEastAsia"/>
          <w:iCs/>
        </w:rPr>
        <w:t xml:space="preserve"> </w:t>
      </w:r>
      <w:r w:rsidRPr="00CE454D">
        <w:rPr>
          <w:rFonts w:eastAsiaTheme="minorEastAsia"/>
          <w:iCs/>
        </w:rPr>
        <w:t xml:space="preserve">En </w:t>
      </w:r>
      <w:r>
        <w:rPr>
          <w:rFonts w:eastAsiaTheme="minorEastAsia"/>
          <w:iCs/>
        </w:rPr>
        <w:t xml:space="preserve">misstänkt </w:t>
      </w:r>
      <w:r w:rsidR="00FE59C8">
        <w:rPr>
          <w:rFonts w:eastAsiaTheme="minorEastAsia"/>
          <w:iCs/>
        </w:rPr>
        <w:t xml:space="preserve">avvikande uppgift avser att uppgiften väsentlig </w:t>
      </w:r>
      <w:r w:rsidR="00914EFE">
        <w:rPr>
          <w:rFonts w:eastAsiaTheme="minorEastAsia"/>
          <w:iCs/>
        </w:rPr>
        <w:t>avviker</w:t>
      </w:r>
      <w:r w:rsidR="00FE59C8">
        <w:rPr>
          <w:rFonts w:eastAsiaTheme="minorEastAsia"/>
          <w:iCs/>
        </w:rPr>
        <w:t xml:space="preserve"> från förväntat värde</w:t>
      </w:r>
      <w:r w:rsidRPr="00CE454D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>för företagets</w:t>
      </w:r>
      <w:r w:rsidR="00BB0E38">
        <w:rPr>
          <w:rFonts w:eastAsiaTheme="minorEastAsia"/>
          <w:iCs/>
        </w:rPr>
        <w:t xml:space="preserve"> bransch,</w:t>
      </w:r>
      <w:r>
        <w:rPr>
          <w:rFonts w:eastAsiaTheme="minorEastAsia"/>
          <w:iCs/>
        </w:rPr>
        <w:t xml:space="preserve"> omsättningsklass</w:t>
      </w:r>
      <w:r w:rsidR="00BB0E38">
        <w:rPr>
          <w:rFonts w:eastAsiaTheme="minorEastAsia"/>
          <w:iCs/>
        </w:rPr>
        <w:t xml:space="preserve"> </w:t>
      </w:r>
      <w:r w:rsidR="00AD6C07">
        <w:rPr>
          <w:rFonts w:eastAsiaTheme="minorEastAsia"/>
          <w:iCs/>
        </w:rPr>
        <w:t>och</w:t>
      </w:r>
      <w:r w:rsidR="00BB0E38">
        <w:rPr>
          <w:rFonts w:eastAsiaTheme="minorEastAsia"/>
          <w:iCs/>
        </w:rPr>
        <w:t xml:space="preserve"> antal anställda</w:t>
      </w:r>
      <w:r>
        <w:rPr>
          <w:rFonts w:eastAsiaTheme="minorEastAsia"/>
          <w:iCs/>
        </w:rPr>
        <w:t xml:space="preserve">. </w:t>
      </w:r>
    </w:p>
    <w:p w14:paraId="68BBA3CA" w14:textId="77777777" w:rsidR="00831D3B" w:rsidRDefault="00831D3B" w:rsidP="00831D3B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53" w:name="_Toc495483294"/>
      <w:bookmarkStart w:id="54" w:name="_Toc536188217"/>
      <w:r>
        <w:t>Granskning av mikrodata</w:t>
      </w:r>
      <w:bookmarkEnd w:id="53"/>
      <w:bookmarkEnd w:id="54"/>
    </w:p>
    <w:p w14:paraId="68BBA3CB" w14:textId="790D640C" w:rsidR="00176C90" w:rsidRPr="00BB0E38" w:rsidRDefault="00BB0E38" w:rsidP="006A36C3">
      <w:pPr>
        <w:rPr>
          <w:rFonts w:eastAsiaTheme="minorEastAsia"/>
          <w:iCs/>
        </w:rPr>
      </w:pPr>
      <w:r>
        <w:rPr>
          <w:rFonts w:eastAsiaTheme="minorEastAsia"/>
          <w:iCs/>
        </w:rPr>
        <w:t>Insamlade</w:t>
      </w:r>
      <w:r w:rsidRPr="00CE454D">
        <w:rPr>
          <w:rFonts w:eastAsiaTheme="minorEastAsia"/>
          <w:iCs/>
        </w:rPr>
        <w:t xml:space="preserve"> uppgift</w:t>
      </w:r>
      <w:r>
        <w:rPr>
          <w:rFonts w:eastAsiaTheme="minorEastAsia"/>
          <w:iCs/>
        </w:rPr>
        <w:t xml:space="preserve">er </w:t>
      </w:r>
      <w:r w:rsidRPr="00CE454D">
        <w:rPr>
          <w:rFonts w:eastAsiaTheme="minorEastAsia"/>
          <w:iCs/>
        </w:rPr>
        <w:t>kontrolleras</w:t>
      </w:r>
      <w:r>
        <w:rPr>
          <w:rFonts w:eastAsiaTheme="minorEastAsia"/>
          <w:iCs/>
        </w:rPr>
        <w:t xml:space="preserve"> </w:t>
      </w:r>
      <w:r w:rsidR="00FE59C8">
        <w:rPr>
          <w:rFonts w:eastAsiaTheme="minorEastAsia"/>
          <w:iCs/>
        </w:rPr>
        <w:t xml:space="preserve">i förhållande till </w:t>
      </w:r>
      <w:r w:rsidR="00972EA8">
        <w:rPr>
          <w:rFonts w:eastAsiaTheme="minorEastAsia"/>
          <w:iCs/>
        </w:rPr>
        <w:t>motsvarande</w:t>
      </w:r>
      <w:r w:rsidR="00FE59C8">
        <w:rPr>
          <w:rFonts w:eastAsiaTheme="minorEastAsia"/>
          <w:iCs/>
        </w:rPr>
        <w:t xml:space="preserve"> uppgifter från andra uppgiftslämnare i samma stratum</w:t>
      </w:r>
      <w:r>
        <w:rPr>
          <w:rFonts w:eastAsiaTheme="minorEastAsia"/>
          <w:iCs/>
        </w:rPr>
        <w:t xml:space="preserve">. </w:t>
      </w:r>
      <w:r w:rsidRPr="00CE454D">
        <w:rPr>
          <w:rFonts w:eastAsiaTheme="minorEastAsia"/>
          <w:iCs/>
        </w:rPr>
        <w:t xml:space="preserve">Om </w:t>
      </w:r>
      <w:r>
        <w:rPr>
          <w:rFonts w:eastAsiaTheme="minorEastAsia"/>
          <w:iCs/>
        </w:rPr>
        <w:t>en uppgiftslämnare lämnat</w:t>
      </w:r>
      <w:r w:rsidR="00FE59C8">
        <w:rPr>
          <w:rFonts w:eastAsiaTheme="minorEastAsia"/>
          <w:iCs/>
        </w:rPr>
        <w:t xml:space="preserve"> ett </w:t>
      </w:r>
      <w:r w:rsidR="008568EC">
        <w:rPr>
          <w:rFonts w:eastAsiaTheme="minorEastAsia"/>
          <w:iCs/>
        </w:rPr>
        <w:t>svar</w:t>
      </w:r>
      <w:r>
        <w:rPr>
          <w:rFonts w:eastAsiaTheme="minorEastAsia"/>
          <w:iCs/>
        </w:rPr>
        <w:t xml:space="preserve"> som väsentligt avviker från övriga insamlade </w:t>
      </w:r>
      <w:r w:rsidR="008568EC">
        <w:rPr>
          <w:rFonts w:eastAsiaTheme="minorEastAsia"/>
          <w:iCs/>
        </w:rPr>
        <w:t>svar</w:t>
      </w:r>
      <w:r>
        <w:rPr>
          <w:rFonts w:eastAsiaTheme="minorEastAsia"/>
          <w:iCs/>
        </w:rPr>
        <w:t xml:space="preserve"> </w:t>
      </w:r>
      <w:r w:rsidR="00FE59C8">
        <w:rPr>
          <w:rFonts w:eastAsiaTheme="minorEastAsia"/>
          <w:iCs/>
        </w:rPr>
        <w:t xml:space="preserve">i </w:t>
      </w:r>
      <w:r>
        <w:rPr>
          <w:rFonts w:eastAsiaTheme="minorEastAsia"/>
          <w:iCs/>
        </w:rPr>
        <w:t xml:space="preserve">företagets stratum </w:t>
      </w:r>
      <w:r w:rsidRPr="00CE454D">
        <w:rPr>
          <w:rFonts w:eastAsiaTheme="minorEastAsia"/>
          <w:iCs/>
        </w:rPr>
        <w:t>uppmanas uppgiftslämnaren</w:t>
      </w:r>
      <w:r w:rsidR="00FE59C8">
        <w:rPr>
          <w:rFonts w:eastAsiaTheme="minorEastAsia"/>
          <w:iCs/>
        </w:rPr>
        <w:t xml:space="preserve"> att verifiera</w:t>
      </w:r>
      <w:r w:rsidRPr="00CE454D">
        <w:rPr>
          <w:rFonts w:eastAsiaTheme="minorEastAsia"/>
          <w:iCs/>
        </w:rPr>
        <w:t xml:space="preserve"> uppgiften.</w:t>
      </w:r>
      <w:r w:rsidRPr="00EC006B">
        <w:rPr>
          <w:rFonts w:eastAsiaTheme="minorEastAsia"/>
          <w:iCs/>
        </w:rPr>
        <w:t xml:space="preserve"> </w:t>
      </w:r>
      <w:r w:rsidR="00524CE5">
        <w:rPr>
          <w:rFonts w:eastAsiaTheme="minorEastAsia"/>
          <w:iCs/>
        </w:rPr>
        <w:t>Granskningen är selektiv i den mening att s</w:t>
      </w:r>
      <w:r>
        <w:rPr>
          <w:rFonts w:eastAsiaTheme="minorEastAsia"/>
          <w:iCs/>
        </w:rPr>
        <w:t>tora b</w:t>
      </w:r>
      <w:r w:rsidR="00524CE5">
        <w:rPr>
          <w:rFonts w:eastAsiaTheme="minorEastAsia"/>
          <w:iCs/>
        </w:rPr>
        <w:t>ränslevolymer har prioriterats</w:t>
      </w:r>
      <w:r>
        <w:rPr>
          <w:rFonts w:eastAsiaTheme="minorEastAsia"/>
          <w:iCs/>
        </w:rPr>
        <w:t>.</w:t>
      </w:r>
    </w:p>
    <w:p w14:paraId="68BBA3CD" w14:textId="77777777" w:rsidR="00831D3B" w:rsidRDefault="00831D3B" w:rsidP="00831D3B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55" w:name="_Toc495483295"/>
      <w:bookmarkStart w:id="56" w:name="_Toc536188218"/>
      <w:r>
        <w:t>Granskning av makrodata</w:t>
      </w:r>
      <w:bookmarkEnd w:id="55"/>
      <w:bookmarkEnd w:id="56"/>
    </w:p>
    <w:p w14:paraId="68BBA3CF" w14:textId="60693FE6" w:rsidR="00831D3B" w:rsidRPr="00552DD5" w:rsidRDefault="00BB0E38" w:rsidP="00F86644">
      <w:pP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>
        <w:rPr>
          <w:rFonts w:eastAsiaTheme="minorEastAsia"/>
          <w:iCs/>
        </w:rPr>
        <w:t xml:space="preserve">Datamaterialet aggregeras </w:t>
      </w:r>
      <w:r w:rsidR="005324D6">
        <w:rPr>
          <w:rFonts w:eastAsiaTheme="minorEastAsia"/>
          <w:iCs/>
        </w:rPr>
        <w:t>på bransch-</w:t>
      </w:r>
      <w:r w:rsidR="00FE59C8">
        <w:rPr>
          <w:rFonts w:eastAsiaTheme="minorEastAsia"/>
          <w:iCs/>
        </w:rPr>
        <w:t>,</w:t>
      </w:r>
      <w:r w:rsidR="005324D6">
        <w:rPr>
          <w:rFonts w:eastAsiaTheme="minorEastAsia"/>
          <w:iCs/>
        </w:rPr>
        <w:t xml:space="preserve"> och variabelnivå</w:t>
      </w:r>
      <w:r>
        <w:rPr>
          <w:rFonts w:eastAsiaTheme="minorEastAsia"/>
          <w:iCs/>
        </w:rPr>
        <w:t xml:space="preserve"> och jämförs med resultaten från </w:t>
      </w:r>
      <w:r w:rsidR="003041D1">
        <w:rPr>
          <w:rFonts w:eastAsiaTheme="minorEastAsia"/>
          <w:iCs/>
        </w:rPr>
        <w:t>föregående</w:t>
      </w:r>
      <w:r w:rsidR="005324D6">
        <w:rPr>
          <w:rFonts w:eastAsiaTheme="minorEastAsia"/>
          <w:iCs/>
        </w:rPr>
        <w:t xml:space="preserve"> undersökning avseende 2004.</w:t>
      </w:r>
      <w:r>
        <w:rPr>
          <w:rFonts w:eastAsiaTheme="minorEastAsia"/>
          <w:iCs/>
        </w:rPr>
        <w:t xml:space="preserve"> </w:t>
      </w:r>
      <w:r w:rsidR="005324D6">
        <w:rPr>
          <w:rFonts w:eastAsiaTheme="minorEastAsia"/>
          <w:iCs/>
        </w:rPr>
        <w:t xml:space="preserve">Ämnesmässiga </w:t>
      </w:r>
      <w:r w:rsidR="00031F39">
        <w:rPr>
          <w:rFonts w:eastAsiaTheme="minorEastAsia"/>
          <w:iCs/>
        </w:rPr>
        <w:t>bedömningar</w:t>
      </w:r>
      <w:r w:rsidR="005324D6">
        <w:rPr>
          <w:rFonts w:eastAsiaTheme="minorEastAsia"/>
          <w:iCs/>
        </w:rPr>
        <w:t xml:space="preserve"> görs även av de aggregerade uppgifterna</w:t>
      </w:r>
      <w:r w:rsidR="00FE59C8">
        <w:rPr>
          <w:rFonts w:eastAsiaTheme="minorEastAsia"/>
          <w:iCs/>
        </w:rPr>
        <w:t>s rimlighet</w:t>
      </w:r>
      <w:r w:rsidR="005324D6">
        <w:rPr>
          <w:rFonts w:eastAsiaTheme="minorEastAsia"/>
          <w:iCs/>
        </w:rPr>
        <w:t>.</w:t>
      </w:r>
      <w:r w:rsidRPr="00552DD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</w:t>
      </w:r>
    </w:p>
    <w:p w14:paraId="68BBA3D0" w14:textId="77777777" w:rsidR="00831D3B" w:rsidRDefault="00831D3B" w:rsidP="00831D3B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57" w:name="_Toc495483296"/>
      <w:bookmarkStart w:id="58" w:name="_Toc536188219"/>
      <w:r>
        <w:t xml:space="preserve">Granskning av </w:t>
      </w:r>
      <w:r w:rsidR="004133BA">
        <w:t>redovisning</w:t>
      </w:r>
      <w:bookmarkEnd w:id="57"/>
      <w:bookmarkEnd w:id="58"/>
    </w:p>
    <w:p w14:paraId="68BBA3D1" w14:textId="5232B078" w:rsidR="00176C90" w:rsidRPr="00176C90" w:rsidRDefault="00F31C33" w:rsidP="006A36C3">
      <w:r w:rsidRPr="00F31C33">
        <w:t xml:space="preserve">Inför </w:t>
      </w:r>
      <w:r>
        <w:t xml:space="preserve">leverans av data </w:t>
      </w:r>
      <w:r w:rsidRPr="00F31C33">
        <w:t xml:space="preserve">granskas samtliga delar av materialet. SCB kontrollerar att alla </w:t>
      </w:r>
      <w:r w:rsidR="00FE59C8">
        <w:t xml:space="preserve">insamlade uppgifter har </w:t>
      </w:r>
      <w:r w:rsidR="005324D6">
        <w:t>rätt enhet och energiinnehåll.</w:t>
      </w:r>
    </w:p>
    <w:p w14:paraId="68BBA3D3" w14:textId="77777777" w:rsidR="00D3787C" w:rsidRDefault="00D3787C" w:rsidP="00D3787C">
      <w:pPr>
        <w:pStyle w:val="Rubrik2"/>
        <w:numPr>
          <w:ilvl w:val="1"/>
          <w:numId w:val="13"/>
        </w:numPr>
        <w:tabs>
          <w:tab w:val="clear" w:pos="1304"/>
        </w:tabs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59" w:name="_Toc495483297"/>
      <w:bookmarkStart w:id="60" w:name="_Toc536188220"/>
      <w:r>
        <w:lastRenderedPageBreak/>
        <w:t>Skattningsförfarande</w:t>
      </w:r>
      <w:bookmarkEnd w:id="59"/>
      <w:bookmarkEnd w:id="60"/>
    </w:p>
    <w:p w14:paraId="68BBA3D6" w14:textId="3704A06A" w:rsidR="00D3787C" w:rsidRDefault="00EB56F7" w:rsidP="00D3787C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61" w:name="_Toc479755468"/>
      <w:bookmarkStart w:id="62" w:name="_Toc479755469"/>
      <w:bookmarkStart w:id="63" w:name="_Toc495483298"/>
      <w:bookmarkStart w:id="64" w:name="_Toc536188221"/>
      <w:bookmarkEnd w:id="61"/>
      <w:bookmarkEnd w:id="62"/>
      <w:r>
        <w:t>Principer och a</w:t>
      </w:r>
      <w:r w:rsidR="00D3787C">
        <w:t>ntaganden</w:t>
      </w:r>
      <w:bookmarkEnd w:id="63"/>
      <w:bookmarkEnd w:id="64"/>
    </w:p>
    <w:p w14:paraId="478ACE2F" w14:textId="5F01E34F" w:rsidR="00875DA4" w:rsidRDefault="00875DA4" w:rsidP="00875DA4">
      <w:r>
        <w:t>Det använda skattnings</w:t>
      </w:r>
      <w:r w:rsidR="003041D1">
        <w:t>förfarandet</w:t>
      </w:r>
      <w:r>
        <w:t xml:space="preserve"> justerar för bortfall och övertäckning, </w:t>
      </w:r>
      <w:r w:rsidR="00721810">
        <w:t>samt delvis för</w:t>
      </w:r>
      <w:r>
        <w:t xml:space="preserve"> </w:t>
      </w:r>
      <w:proofErr w:type="spellStart"/>
      <w:r>
        <w:t>undertäckning</w:t>
      </w:r>
      <w:proofErr w:type="spellEnd"/>
      <w:r>
        <w:t>.</w:t>
      </w:r>
    </w:p>
    <w:p w14:paraId="4258FED1" w14:textId="77777777" w:rsidR="00721810" w:rsidRDefault="00721810" w:rsidP="00721810">
      <w:pPr>
        <w:rPr>
          <w:rFonts w:asciiTheme="minorHAnsi" w:hAnsiTheme="minorHAnsi"/>
        </w:rPr>
      </w:pPr>
      <w:r>
        <w:t xml:space="preserve">Företag med färre än fem anställda utesluts från urvalsramen och ingår inte i direktinsamling med motivationen att företagens energianvändning är låg i jämförelse med branschen som helhet. Företagens energianvändning modellskattas istället med antagandena att energianvändningen för företag tillhörande gruppen </w:t>
      </w:r>
      <w:proofErr w:type="gramStart"/>
      <w:r>
        <w:t>0-4</w:t>
      </w:r>
      <w:proofErr w:type="gramEnd"/>
      <w:r>
        <w:t xml:space="preserve"> anställda motsvarar den för gruppen 5-19 anställda och att målvariablerna samvarierar med företagets nettoomsättning i SEK.</w:t>
      </w:r>
    </w:p>
    <w:p w14:paraId="6B346A1F" w14:textId="77777777" w:rsidR="00721810" w:rsidRDefault="00721810" w:rsidP="00721810">
      <w:pPr>
        <w:rPr>
          <w:i/>
        </w:rPr>
      </w:pPr>
      <w:r>
        <w:rPr>
          <w:i/>
        </w:rPr>
        <w:t xml:space="preserve">Tabell 1. Benämning av stratifieringsgrupper efter SNI-2 och antal anställda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29"/>
        <w:gridCol w:w="860"/>
        <w:gridCol w:w="851"/>
        <w:gridCol w:w="803"/>
        <w:gridCol w:w="898"/>
      </w:tblGrid>
      <w:tr w:rsidR="00721810" w14:paraId="38B2B8BC" w14:textId="77777777" w:rsidTr="00721810">
        <w:trPr>
          <w:trHeight w:val="68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54D80B11" w14:textId="77777777" w:rsidR="00721810" w:rsidRDefault="00721810">
            <w:pPr>
              <w:jc w:val="right"/>
              <w:rPr>
                <w:b/>
              </w:rPr>
            </w:pPr>
            <w:r>
              <w:rPr>
                <w:b/>
              </w:rPr>
              <w:t>Antal anställda</w:t>
            </w:r>
          </w:p>
          <w:p w14:paraId="7F2D62EA" w14:textId="77777777" w:rsidR="00721810" w:rsidRDefault="00721810">
            <w:r>
              <w:rPr>
                <w:b/>
              </w:rPr>
              <w:t>SNI-2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9FC0" w14:textId="77777777" w:rsidR="00721810" w:rsidRDefault="00721810">
            <w:proofErr w:type="gramStart"/>
            <w:r>
              <w:t>0-4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3C3B" w14:textId="77777777" w:rsidR="00721810" w:rsidRDefault="00721810">
            <w:proofErr w:type="gramStart"/>
            <w:r>
              <w:t>5-19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4EBE" w14:textId="77777777" w:rsidR="00721810" w:rsidRDefault="00721810">
            <w:proofErr w:type="gramStart"/>
            <w:r>
              <w:t>20-99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A869" w14:textId="77777777" w:rsidR="00721810" w:rsidRDefault="00721810">
            <w:r>
              <w:t>100-</w:t>
            </w:r>
          </w:p>
        </w:tc>
      </w:tr>
      <w:tr w:rsidR="00721810" w14:paraId="5D7D2CFF" w14:textId="77777777" w:rsidTr="00721810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D00D" w14:textId="77777777" w:rsidR="00721810" w:rsidRDefault="00721810">
            <w: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4EB3" w14:textId="77777777" w:rsidR="00721810" w:rsidRDefault="00721810">
            <w:r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09E9" w14:textId="77777777" w:rsidR="00721810" w:rsidRDefault="00721810">
            <w:r>
              <w:t>412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0429" w14:textId="77777777" w:rsidR="00721810" w:rsidRDefault="00721810">
            <w:r>
              <w:t>413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94E6" w14:textId="77777777" w:rsidR="00721810" w:rsidRDefault="00721810">
            <w:r>
              <w:t>414</w:t>
            </w:r>
          </w:p>
        </w:tc>
      </w:tr>
      <w:tr w:rsidR="00721810" w14:paraId="7A6D9FC2" w14:textId="77777777" w:rsidTr="00721810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0CA1" w14:textId="77777777" w:rsidR="00721810" w:rsidRDefault="00721810">
            <w:r>
              <w:t>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35BC" w14:textId="77777777" w:rsidR="00721810" w:rsidRDefault="00721810">
            <w:r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3E72" w14:textId="77777777" w:rsidR="00721810" w:rsidRDefault="00721810">
            <w:r>
              <w:t>422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6A63" w14:textId="77777777" w:rsidR="00721810" w:rsidRDefault="00721810">
            <w:r>
              <w:t>423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430A" w14:textId="77777777" w:rsidR="00721810" w:rsidRDefault="00721810">
            <w:r>
              <w:t>424</w:t>
            </w:r>
          </w:p>
        </w:tc>
      </w:tr>
      <w:tr w:rsidR="00721810" w14:paraId="2A5608FE" w14:textId="77777777" w:rsidTr="00721810">
        <w:trPr>
          <w:trHeight w:val="2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E078" w14:textId="77777777" w:rsidR="00721810" w:rsidRDefault="00721810">
            <w:r>
              <w:t>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3355" w14:textId="77777777" w:rsidR="00721810" w:rsidRDefault="00721810"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389E" w14:textId="77777777" w:rsidR="00721810" w:rsidRDefault="00721810">
            <w:r>
              <w:t>432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DF17" w14:textId="77777777" w:rsidR="00721810" w:rsidRDefault="00721810">
            <w:r>
              <w:t>433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3917" w14:textId="77777777" w:rsidR="00721810" w:rsidRDefault="00721810">
            <w:r>
              <w:t>434</w:t>
            </w:r>
          </w:p>
        </w:tc>
      </w:tr>
    </w:tbl>
    <w:p w14:paraId="41A3B664" w14:textId="77777777" w:rsidR="00721810" w:rsidRDefault="00721810" w:rsidP="00721810">
      <w:pPr>
        <w:rPr>
          <w:rFonts w:asciiTheme="minorHAnsi" w:hAnsiTheme="minorHAnsi"/>
          <w:sz w:val="18"/>
        </w:rPr>
      </w:pPr>
    </w:p>
    <w:p w14:paraId="4098E40F" w14:textId="77777777" w:rsidR="00721810" w:rsidRDefault="00721810" w:rsidP="00721810">
      <w:r>
        <w:t xml:space="preserve">För stratumen 411, 421 och 431 modellskattas en stratumtotal </w:t>
      </w:r>
      <w:proofErr w:type="spellStart"/>
      <w:r>
        <w:t>T</w:t>
      </w:r>
      <w:r>
        <w:rPr>
          <w:vertAlign w:val="subscript"/>
        </w:rPr>
        <w:t>h</w:t>
      </w:r>
      <w:proofErr w:type="spellEnd"/>
      <w:r>
        <w:t xml:space="preserve"> för målvariabel y enligt</w:t>
      </w:r>
    </w:p>
    <w:p w14:paraId="4471E319" w14:textId="77777777" w:rsidR="00721810" w:rsidRDefault="00721810" w:rsidP="00721810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sz w:val="1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18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</w:rPr>
              <m:t>h</m:t>
            </m:r>
          </m:sub>
        </m:sSub>
        <m:d>
          <m:dPr>
            <m:ctrlPr>
              <w:rPr>
                <w:rFonts w:ascii="Cambria Math" w:hAnsi="Cambria Math"/>
                <w:i/>
                <w:sz w:val="18"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18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oms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18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oms</m:t>
                </m:r>
              </m:e>
              <m:sub>
                <m:r>
                  <w:rPr>
                    <w:rFonts w:ascii="Cambria Math" w:hAnsi="Cambria Math"/>
                  </w:rPr>
                  <m:t>h+1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 w:val="1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18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</w:rPr>
              <m:t>h+1</m:t>
            </m:r>
          </m:sub>
        </m:sSub>
        <m:d>
          <m:dPr>
            <m:ctrlPr>
              <w:rPr>
                <w:rFonts w:ascii="Cambria Math" w:hAnsi="Cambria Math"/>
                <w:i/>
                <w:sz w:val="18"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</m:oMath>
      <w:r>
        <w:rPr>
          <w:rFonts w:eastAsiaTheme="minorEastAsia"/>
        </w:rPr>
        <w:t>,</w:t>
      </w:r>
    </w:p>
    <w:p w14:paraId="60221324" w14:textId="77777777" w:rsidR="00721810" w:rsidRDefault="00721810" w:rsidP="00721810">
      <w:r>
        <w:rPr>
          <w:rFonts w:eastAsiaTheme="minorEastAsia"/>
        </w:rPr>
        <w:t xml:space="preserve">där </w:t>
      </w:r>
      <m:oMath>
        <m:sSub>
          <m:sSubPr>
            <m:ctrlPr>
              <w:rPr>
                <w:rFonts w:ascii="Cambria Math" w:hAnsi="Cambria Math"/>
                <w:i/>
                <w:sz w:val="18"/>
              </w:rPr>
            </m:ctrlPr>
          </m:sSubPr>
          <m:e>
            <m:r>
              <w:rPr>
                <w:rFonts w:ascii="Cambria Math" w:hAnsi="Cambria Math"/>
              </w:rPr>
              <m:t>oms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</m:oMath>
      <w:r>
        <w:rPr>
          <w:rFonts w:eastAsiaTheme="minorEastAsia"/>
        </w:rPr>
        <w:t xml:space="preserve"> är den totala nettoomsättningen för företagen i stratum h, </w:t>
      </w:r>
      <m:oMath>
        <m:sSub>
          <m:sSubPr>
            <m:ctrlPr>
              <w:rPr>
                <w:rFonts w:ascii="Cambria Math" w:hAnsi="Cambria Math"/>
                <w:i/>
                <w:sz w:val="18"/>
              </w:rPr>
            </m:ctrlPr>
          </m:sSubPr>
          <m:e>
            <m:r>
              <w:rPr>
                <w:rFonts w:ascii="Cambria Math" w:hAnsi="Cambria Math"/>
              </w:rPr>
              <m:t>oms</m:t>
            </m:r>
          </m:e>
          <m:sub>
            <m:r>
              <w:rPr>
                <w:rFonts w:ascii="Cambria Math" w:hAnsi="Cambria Math"/>
              </w:rPr>
              <m:t>h+1</m:t>
            </m:r>
          </m:sub>
        </m:sSub>
      </m:oMath>
      <w:r>
        <w:rPr>
          <w:rFonts w:eastAsiaTheme="minorEastAsia"/>
        </w:rPr>
        <w:t xml:space="preserve"> är den totala nettoomsättningen för företagen i motsvarande stratum en storleksklass större och </w:t>
      </w:r>
      <m:oMath>
        <m:sSub>
          <m:sSubPr>
            <m:ctrlPr>
              <w:rPr>
                <w:rFonts w:ascii="Cambria Math" w:hAnsi="Cambria Math"/>
                <w:i/>
                <w:sz w:val="1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18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</w:rPr>
              <m:t>h+1</m:t>
            </m:r>
          </m:sub>
        </m:sSub>
        <m:d>
          <m:dPr>
            <m:ctrlPr>
              <w:rPr>
                <w:rFonts w:ascii="Cambria Math" w:hAnsi="Cambria Math"/>
                <w:i/>
                <w:sz w:val="18"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</m:oMath>
      <w:r>
        <w:rPr>
          <w:rFonts w:eastAsiaTheme="minorEastAsia"/>
        </w:rPr>
        <w:t xml:space="preserve"> är den skattade stratumtotalen för målvari</w:t>
      </w:r>
      <w:proofErr w:type="spellStart"/>
      <w:r>
        <w:rPr>
          <w:rFonts w:eastAsiaTheme="minorEastAsia"/>
        </w:rPr>
        <w:t>abel</w:t>
      </w:r>
      <w:proofErr w:type="spellEnd"/>
      <w:r>
        <w:rPr>
          <w:rFonts w:eastAsiaTheme="minorEastAsia"/>
        </w:rPr>
        <w:t xml:space="preserve"> y i motsvarande stratum en storleksklass större.</w:t>
      </w:r>
    </w:p>
    <w:p w14:paraId="16453CD9" w14:textId="77777777" w:rsidR="00721810" w:rsidRDefault="00721810" w:rsidP="00721810">
      <w:r>
        <w:t xml:space="preserve">Modellskattningens precision beror på hur väl modellantagandena uppfylls. Antagandet att energianvändningen per omsatt krona för företag tillhörande gruppen </w:t>
      </w:r>
      <w:proofErr w:type="gramStart"/>
      <w:r>
        <w:t>0-4</w:t>
      </w:r>
      <w:proofErr w:type="gramEnd"/>
      <w:r>
        <w:t xml:space="preserve"> anställda motsvarar den för gruppen 5-19 anställda har inte utvärderats och antagandet att målvariablerna samvarierar med företagets nettoomsättning i SEK befaras inte helt uppfyllt.</w:t>
      </w:r>
    </w:p>
    <w:p w14:paraId="02E2D612" w14:textId="77777777" w:rsidR="00721810" w:rsidRDefault="00721810" w:rsidP="00875DA4"/>
    <w:p w14:paraId="559F9579" w14:textId="44F4A1B8" w:rsidR="00875DA4" w:rsidRDefault="00875DA4" w:rsidP="00875DA4">
      <w:r>
        <w:t>För att skattningsförfarandet inte skall tillföra ytterligare systematiska fel (bias) till skattningarna krävs att nedanstående villkor är tillräckligt väl uppfyllda:</w:t>
      </w:r>
    </w:p>
    <w:p w14:paraId="66361766" w14:textId="0813A8D2" w:rsidR="00875DA4" w:rsidRDefault="00293034" w:rsidP="00875DA4">
      <w:pPr>
        <w:pStyle w:val="Liststycke"/>
        <w:numPr>
          <w:ilvl w:val="0"/>
          <w:numId w:val="21"/>
        </w:numPr>
      </w:pPr>
      <w:r>
        <w:t>att s</w:t>
      </w:r>
      <w:r w:rsidR="00875DA4">
        <w:t>varsbenägenhet för objekt tillhörande målpopulationen inom samma stratum är lika och/eller</w:t>
      </w:r>
      <w:r>
        <w:t>,</w:t>
      </w:r>
    </w:p>
    <w:p w14:paraId="442C9918" w14:textId="4C733A0F" w:rsidR="00875DA4" w:rsidRDefault="00293034" w:rsidP="00875DA4">
      <w:pPr>
        <w:pStyle w:val="Liststycke"/>
        <w:numPr>
          <w:ilvl w:val="0"/>
          <w:numId w:val="21"/>
        </w:numPr>
      </w:pPr>
      <w:r>
        <w:t>att målvariablerna</w:t>
      </w:r>
      <w:r w:rsidR="00875DA4">
        <w:t xml:space="preserve"> inte samvarierar med svarsbenägenheten samt</w:t>
      </w:r>
      <w:r>
        <w:t>,</w:t>
      </w:r>
    </w:p>
    <w:p w14:paraId="065B2FD6" w14:textId="530DFDA4" w:rsidR="009B1320" w:rsidRDefault="00293034" w:rsidP="009B1320">
      <w:pPr>
        <w:pStyle w:val="Liststycke"/>
        <w:numPr>
          <w:ilvl w:val="0"/>
          <w:numId w:val="21"/>
        </w:numPr>
      </w:pPr>
      <w:r>
        <w:t>att ö</w:t>
      </w:r>
      <w:r w:rsidR="00875DA4">
        <w:t>vertäckningsobjekt och objekt som tillhör målpopulationen inom stratum har samma svarsbenägenhet</w:t>
      </w:r>
      <w:r>
        <w:t>.</w:t>
      </w:r>
      <w:r w:rsidR="00875DA4">
        <w:t xml:space="preserve"> </w:t>
      </w:r>
    </w:p>
    <w:p w14:paraId="1BE1AF1D" w14:textId="1194D23B" w:rsidR="009B1320" w:rsidRDefault="009B1320" w:rsidP="009B1320">
      <w:r>
        <w:t xml:space="preserve">I Kvalitetsdeklarationen under avsnitt 2.2.4 Bortfall görs en </w:t>
      </w:r>
      <w:r w:rsidR="00293034">
        <w:t xml:space="preserve">analys med syfte att bedöma ovanstående antagandens giltighet. </w:t>
      </w:r>
    </w:p>
    <w:p w14:paraId="7A689CFB" w14:textId="77777777" w:rsidR="00875DA4" w:rsidRPr="001C7B03" w:rsidRDefault="00875DA4" w:rsidP="00875DA4">
      <w:r>
        <w:t xml:space="preserve"> </w:t>
      </w:r>
    </w:p>
    <w:p w14:paraId="7BE45427" w14:textId="412117AF" w:rsidR="00875DA4" w:rsidRPr="00875DA4" w:rsidRDefault="0028600F" w:rsidP="00875DA4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65" w:name="_Toc495483299"/>
      <w:bookmarkStart w:id="66" w:name="_Toc536188222"/>
      <w:r>
        <w:t>S</w:t>
      </w:r>
      <w:r w:rsidR="0038712F">
        <w:t>kattning</w:t>
      </w:r>
      <w:r w:rsidR="00835D16">
        <w:t>sförfarande</w:t>
      </w:r>
      <w:r>
        <w:t xml:space="preserve"> </w:t>
      </w:r>
      <w:r w:rsidR="00835D16">
        <w:t>för</w:t>
      </w:r>
      <w:r>
        <w:t xml:space="preserve"> målstorheter</w:t>
      </w:r>
      <w:bookmarkEnd w:id="65"/>
      <w:bookmarkEnd w:id="66"/>
    </w:p>
    <w:p w14:paraId="017D5F4C" w14:textId="4AEDA6A0" w:rsidR="00875DA4" w:rsidRDefault="00875DA4" w:rsidP="00875DA4">
      <w:pPr>
        <w:keepNext/>
      </w:pPr>
      <w:r>
        <w:t xml:space="preserve">Skattningsförandet kan beskrivas i antal olika steg. I det första steget skapas stratumvisa </w:t>
      </w:r>
      <w:r w:rsidR="006A1DB7">
        <w:t>estimat genom att utgå från Horv</w:t>
      </w:r>
      <w:r>
        <w:t>itz-Thompson estimatorn vid full svarsfrekvens, vilken för en stratumtotal T</w:t>
      </w:r>
      <w:r w:rsidRPr="00875DA4">
        <w:rPr>
          <w:vertAlign w:val="subscript"/>
        </w:rPr>
        <w:t>h</w:t>
      </w:r>
      <w:r>
        <w:t xml:space="preserve"> för målvariabel y kan skrivas som:</w:t>
      </w:r>
    </w:p>
    <w:p w14:paraId="211517F2" w14:textId="4D7FA9CD" w:rsidR="00875DA4" w:rsidRDefault="00BD7294" w:rsidP="00293034">
      <w:pPr>
        <w:keepNext/>
        <w:tabs>
          <w:tab w:val="left" w:pos="6379"/>
        </w:tabs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</w:rPr>
              <m:t>h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den>
        </m:f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k∈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kh</m:t>
                </m:r>
              </m:sub>
            </m:sSub>
          </m:e>
        </m:nary>
      </m:oMath>
      <w:r w:rsidR="00875DA4">
        <w:t xml:space="preserve">  , där N</w:t>
      </w:r>
      <w:r w:rsidR="00875DA4" w:rsidRPr="00875DA4">
        <w:rPr>
          <w:vertAlign w:val="subscript"/>
        </w:rPr>
        <w:t>h</w:t>
      </w:r>
      <w:r w:rsidR="00875DA4">
        <w:t xml:space="preserve"> är </w:t>
      </w:r>
      <w:r w:rsidR="00031F39">
        <w:t>populationsstorleken</w:t>
      </w:r>
      <w:r w:rsidR="00875DA4">
        <w:t xml:space="preserve"> i stratum h, n</w:t>
      </w:r>
      <w:r w:rsidR="00875DA4" w:rsidRPr="00875DA4">
        <w:rPr>
          <w:vertAlign w:val="subscript"/>
        </w:rPr>
        <w:t>h</w:t>
      </w:r>
      <w:r w:rsidR="00875DA4">
        <w:t xml:space="preserve"> är urvalsstorleken i stratum h samt s</w:t>
      </w:r>
      <w:r w:rsidR="00875DA4" w:rsidRPr="00875DA4">
        <w:rPr>
          <w:vertAlign w:val="subscript"/>
        </w:rPr>
        <w:t xml:space="preserve">h </w:t>
      </w:r>
      <w:r w:rsidR="00875DA4" w:rsidRPr="00E1789A">
        <w:t>är</w:t>
      </w:r>
      <w:r w:rsidR="00293034">
        <w:t xml:space="preserve"> urvlasmängden</w:t>
      </w:r>
      <w:r w:rsidR="00875DA4" w:rsidRPr="00E1789A">
        <w:t xml:space="preserve"> </w:t>
      </w:r>
      <w:r w:rsidR="00293034">
        <w:t>(</w:t>
      </w:r>
      <w:r w:rsidR="00875DA4" w:rsidRPr="00E1789A">
        <w:t>urva</w:t>
      </w:r>
      <w:r w:rsidR="00875DA4">
        <w:t>let</w:t>
      </w:r>
      <w:r w:rsidR="00293034">
        <w:t>)</w:t>
      </w:r>
      <w:r w:rsidR="00875DA4">
        <w:t xml:space="preserve"> </w:t>
      </w:r>
      <w:r w:rsidR="00293034">
        <w:t xml:space="preserve">i stratum h. </w:t>
      </w:r>
      <w:r w:rsidR="00293034">
        <w:tab/>
      </w:r>
      <w:r w:rsidR="00875DA4">
        <w:t>(i)</w:t>
      </w:r>
    </w:p>
    <w:p w14:paraId="4144589C" w14:textId="77777777" w:rsidR="00875DA4" w:rsidRDefault="00875DA4" w:rsidP="00875DA4">
      <w:pPr>
        <w:keepNext/>
      </w:pPr>
      <w:r>
        <w:t>För att kompensera för bortfall och justera för övertäckning modifieras (i) till:</w:t>
      </w:r>
    </w:p>
    <w:p w14:paraId="32BD6651" w14:textId="569349F5" w:rsidR="00875DA4" w:rsidRPr="00875DA4" w:rsidRDefault="00BD7294" w:rsidP="00293034">
      <w:pPr>
        <w:keepNext/>
        <w:tabs>
          <w:tab w:val="left" w:pos="6379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</w:rPr>
              <m:t>h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den>
        </m:f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k∈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kh</m:t>
                </m:r>
              </m:sub>
            </m:sSub>
          </m:e>
        </m:nary>
      </m:oMath>
      <w:r w:rsidR="00875DA4" w:rsidRPr="00875DA4">
        <w:rPr>
          <w:rFonts w:eastAsiaTheme="minorEastAsia"/>
        </w:rPr>
        <w:t xml:space="preserve"> , där m</w:t>
      </w:r>
      <w:r w:rsidR="00875DA4" w:rsidRPr="00875DA4">
        <w:rPr>
          <w:rFonts w:eastAsiaTheme="minorEastAsia"/>
          <w:vertAlign w:val="subscript"/>
        </w:rPr>
        <w:t xml:space="preserve">h </w:t>
      </w:r>
      <w:r w:rsidR="00875DA4" w:rsidRPr="00875DA4">
        <w:rPr>
          <w:rFonts w:eastAsiaTheme="minorEastAsia"/>
        </w:rPr>
        <w:t>antalet svarande objekt inklusive kända övertäckningsobjekt ersatt n</w:t>
      </w:r>
      <w:r w:rsidR="00875DA4" w:rsidRPr="00875DA4">
        <w:rPr>
          <w:rFonts w:eastAsiaTheme="minorEastAsia"/>
          <w:vertAlign w:val="subscript"/>
        </w:rPr>
        <w:t>h</w:t>
      </w:r>
      <w:r w:rsidR="00875DA4" w:rsidRPr="00875DA4">
        <w:rPr>
          <w:rFonts w:eastAsiaTheme="minorEastAsia"/>
        </w:rPr>
        <w:t xml:space="preserve"> och där summering istället sker över svarsmängden r</w:t>
      </w:r>
      <w:r w:rsidR="00293034">
        <w:rPr>
          <w:rFonts w:eastAsiaTheme="minorEastAsia"/>
          <w:vertAlign w:val="subscript"/>
        </w:rPr>
        <w:t xml:space="preserve">h </w:t>
      </w:r>
      <w:r w:rsidR="00293034">
        <w:rPr>
          <w:rFonts w:eastAsiaTheme="minorEastAsia"/>
          <w:vertAlign w:val="subscript"/>
        </w:rPr>
        <w:tab/>
      </w:r>
      <w:r w:rsidR="00875DA4" w:rsidRPr="00875DA4">
        <w:rPr>
          <w:rFonts w:eastAsiaTheme="minorEastAsia"/>
        </w:rPr>
        <w:t>(ii)</w:t>
      </w:r>
    </w:p>
    <w:p w14:paraId="270AF862" w14:textId="77777777" w:rsidR="00875DA4" w:rsidRPr="00875DA4" w:rsidRDefault="00875DA4" w:rsidP="00875DA4">
      <w:pPr>
        <w:keepNext/>
      </w:pPr>
      <w:r w:rsidRPr="00875DA4">
        <w:rPr>
          <w:rFonts w:eastAsiaTheme="minorEastAsia"/>
        </w:rPr>
        <w:t>I det sista steget summeras stratumtotalerna för att erhålla en skattning som avser hela målpopulationen.</w:t>
      </w:r>
    </w:p>
    <w:p w14:paraId="68BBA3DF" w14:textId="77777777" w:rsidR="00831D3B" w:rsidRDefault="00831D3B" w:rsidP="00831D3B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67" w:name="_Toc495483300"/>
      <w:bookmarkStart w:id="68" w:name="_Toc536188223"/>
      <w:r>
        <w:t>Skattning</w:t>
      </w:r>
      <w:r w:rsidR="00835D16">
        <w:t>sförfarande</w:t>
      </w:r>
      <w:r>
        <w:t xml:space="preserve"> </w:t>
      </w:r>
      <w:r w:rsidR="00835D16">
        <w:t>för</w:t>
      </w:r>
      <w:r>
        <w:t xml:space="preserve"> tillförlitlighet</w:t>
      </w:r>
      <w:bookmarkEnd w:id="67"/>
      <w:bookmarkEnd w:id="68"/>
    </w:p>
    <w:p w14:paraId="68BBA3E0" w14:textId="2D4015E8" w:rsidR="00E6741B" w:rsidRPr="00E6741B" w:rsidRDefault="00875DA4" w:rsidP="006A36C3">
      <w:r>
        <w:t>Medelfel har beräknats för samtliga skattningar under antagandet a)-c) ovan med de gängse uttryck för medelfelet som följer av (ii).</w:t>
      </w:r>
      <w:r w:rsidR="00031F39">
        <w:t xml:space="preserve"> I Kvalitetsdeklarationen avsnitt 2.2.1 Urval redovisas punktskattning och medelfel för de mest förekommande bränslena bensin och diesel.</w:t>
      </w:r>
    </w:p>
    <w:p w14:paraId="68BBA3E2" w14:textId="76FF919A" w:rsidR="00D3787C" w:rsidRDefault="00D3787C" w:rsidP="00B7032B">
      <w:pPr>
        <w:pStyle w:val="Rubrik3"/>
        <w:numPr>
          <w:ilvl w:val="2"/>
          <w:numId w:val="13"/>
        </w:numPr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</w:pPr>
      <w:bookmarkStart w:id="69" w:name="_Toc495483301"/>
      <w:bookmarkStart w:id="70" w:name="_Toc536188224"/>
      <w:r>
        <w:t>Röjandekontroll</w:t>
      </w:r>
      <w:bookmarkEnd w:id="69"/>
      <w:bookmarkEnd w:id="70"/>
    </w:p>
    <w:p w14:paraId="4581BC0D" w14:textId="24D10C93" w:rsidR="00BD7294" w:rsidRPr="00BD7294" w:rsidRDefault="00BD7294" w:rsidP="00BD7294">
      <w:r>
        <w:t>Uppgifterna aggregeras på sådant sätt att ingen kan identifieras genom de publicerade tabellerna.</w:t>
      </w:r>
      <w:bookmarkStart w:id="71" w:name="_GoBack"/>
      <w:bookmarkEnd w:id="71"/>
    </w:p>
    <w:p w14:paraId="68BBA3E5" w14:textId="77777777" w:rsidR="00A11920" w:rsidRDefault="00A11920" w:rsidP="00A11920">
      <w:pPr>
        <w:pStyle w:val="Rubrik1"/>
        <w:numPr>
          <w:ilvl w:val="0"/>
          <w:numId w:val="13"/>
        </w:numPr>
        <w:tabs>
          <w:tab w:val="clear" w:pos="1304"/>
        </w:tabs>
        <w:overflowPunct w:val="0"/>
        <w:autoSpaceDE w:val="0"/>
        <w:autoSpaceDN w:val="0"/>
        <w:adjustRightInd w:val="0"/>
        <w:spacing w:before="360"/>
        <w:ind w:left="680" w:hanging="680"/>
        <w:textAlignment w:val="baseline"/>
        <w:rPr>
          <w:sz w:val="24"/>
          <w:szCs w:val="24"/>
        </w:rPr>
      </w:pPr>
      <w:bookmarkStart w:id="72" w:name="_Toc495483302"/>
      <w:bookmarkStart w:id="73" w:name="_Toc536188225"/>
      <w:r>
        <w:rPr>
          <w:sz w:val="24"/>
          <w:szCs w:val="24"/>
        </w:rPr>
        <w:t>Genomförande</w:t>
      </w:r>
      <w:bookmarkEnd w:id="72"/>
      <w:bookmarkEnd w:id="73"/>
    </w:p>
    <w:p w14:paraId="68BBA3E7" w14:textId="77777777" w:rsidR="00A11920" w:rsidRPr="007E43EA" w:rsidRDefault="00A11920" w:rsidP="00F94459">
      <w:pPr>
        <w:pStyle w:val="Rubrik2"/>
        <w:spacing w:before="240" w:after="40"/>
        <w:ind w:left="709" w:hanging="709"/>
      </w:pPr>
      <w:bookmarkStart w:id="74" w:name="_Toc495483303"/>
      <w:bookmarkStart w:id="75" w:name="_Toc536188226"/>
      <w:r>
        <w:rPr>
          <w:rFonts w:eastAsia="Times New Roman"/>
          <w:lang w:eastAsia="sv-SE"/>
        </w:rPr>
        <w:t>3.</w:t>
      </w:r>
      <w:r w:rsidRPr="007E43EA">
        <w:t>1</w:t>
      </w:r>
      <w:r w:rsidR="00372031">
        <w:tab/>
      </w:r>
      <w:r w:rsidRPr="007E43EA">
        <w:t>Kvantitativ information</w:t>
      </w:r>
      <w:bookmarkEnd w:id="74"/>
      <w:bookmarkEnd w:id="75"/>
    </w:p>
    <w:p w14:paraId="68BBA3E8" w14:textId="3DBA89ED" w:rsidR="00A11920" w:rsidRDefault="00972EA8" w:rsidP="00A11920">
      <w:r>
        <w:t>I oktober 2018 skickades ett informationsbrev till 1 169 företag med information om att de kommit med i undersökningen. Rampopulationen innehöll 9 665 företag. Efter tre papperspåminnelser och</w:t>
      </w:r>
      <w:r w:rsidR="002A3469">
        <w:t xml:space="preserve"> flertalet</w:t>
      </w:r>
      <w:r>
        <w:t xml:space="preserve"> telefonpåminnelser </w:t>
      </w:r>
      <w:r w:rsidR="002A3469">
        <w:t>besvarade</w:t>
      </w:r>
      <w:r>
        <w:t xml:space="preserve"> </w:t>
      </w:r>
      <w:r w:rsidR="002A3469">
        <w:t>875 företag</w:t>
      </w:r>
      <w:r>
        <w:t xml:space="preserve"> </w:t>
      </w:r>
      <w:r w:rsidR="002A3469">
        <w:t>frågeformuläret</w:t>
      </w:r>
      <w:r>
        <w:t xml:space="preserve">. Av de inkomna svaren flaggades </w:t>
      </w:r>
      <w:r w:rsidR="002A3469">
        <w:t>26 procent som misstänkt fel och utreddes manuellt av en granskare. Av de utredda svaren ändrades 51 procent till ett nytt värde.</w:t>
      </w:r>
    </w:p>
    <w:p w14:paraId="68BBA3EA" w14:textId="77777777" w:rsidR="00A11920" w:rsidRDefault="00A11920" w:rsidP="00F94459">
      <w:pPr>
        <w:pStyle w:val="Rubrik2"/>
        <w:spacing w:before="240" w:after="40"/>
        <w:ind w:left="709" w:hanging="709"/>
        <w:rPr>
          <w:rFonts w:eastAsia="Times New Roman"/>
          <w:szCs w:val="20"/>
          <w:lang w:eastAsia="sv-SE"/>
        </w:rPr>
      </w:pPr>
      <w:bookmarkStart w:id="76" w:name="_Toc495483304"/>
      <w:bookmarkStart w:id="77" w:name="_Toc536188227"/>
      <w:r>
        <w:rPr>
          <w:rFonts w:eastAsia="Times New Roman"/>
          <w:lang w:eastAsia="sv-SE"/>
        </w:rPr>
        <w:t>3.2</w:t>
      </w:r>
      <w:r w:rsidR="00372031"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>Avvikelser från undersökningsdesignen</w:t>
      </w:r>
      <w:bookmarkEnd w:id="76"/>
      <w:bookmarkEnd w:id="77"/>
    </w:p>
    <w:p w14:paraId="3FB7085B" w14:textId="22FF3968" w:rsidR="00031F39" w:rsidRPr="007E43EA" w:rsidRDefault="00031F39" w:rsidP="00A11920">
      <w:r>
        <w:t xml:space="preserve">Inga </w:t>
      </w:r>
      <w:r w:rsidR="00D82B4E">
        <w:t>avvikelser</w:t>
      </w:r>
      <w:r>
        <w:t xml:space="preserve"> från undersökningsdesignen har gjorts.</w:t>
      </w:r>
    </w:p>
    <w:p w14:paraId="68BBA3ED" w14:textId="3004CD41" w:rsidR="002A3469" w:rsidRDefault="002A3469">
      <w:pPr>
        <w:spacing w:after="200" w:line="276" w:lineRule="auto"/>
      </w:pPr>
      <w:r>
        <w:br w:type="page"/>
      </w:r>
    </w:p>
    <w:p w14:paraId="3D115880" w14:textId="38B5F23B" w:rsidR="002A3469" w:rsidRDefault="002A3469" w:rsidP="002A3469">
      <w:pPr>
        <w:pStyle w:val="Rubrik1"/>
        <w:rPr>
          <w:lang w:eastAsia="sv-SE"/>
        </w:rPr>
      </w:pPr>
      <w:bookmarkStart w:id="78" w:name="_Toc535416168"/>
      <w:bookmarkStart w:id="79" w:name="_Toc536188228"/>
      <w:r>
        <w:rPr>
          <w:lang w:eastAsia="sv-SE"/>
        </w:rPr>
        <w:lastRenderedPageBreak/>
        <w:t xml:space="preserve">Bilaga </w:t>
      </w:r>
      <w:bookmarkEnd w:id="78"/>
      <w:r>
        <w:rPr>
          <w:lang w:eastAsia="sv-SE"/>
        </w:rPr>
        <w:t>1</w:t>
      </w:r>
      <w:bookmarkEnd w:id="79"/>
    </w:p>
    <w:p w14:paraId="5D7D01E9" w14:textId="77777777" w:rsidR="002A3469" w:rsidRDefault="002A3469" w:rsidP="002A3469">
      <w:pPr>
        <w:rPr>
          <w:lang w:eastAsia="sv-SE"/>
        </w:rPr>
      </w:pPr>
      <w:r>
        <w:rPr>
          <w:noProof/>
          <w:lang w:eastAsia="sv-SE"/>
        </w:rPr>
        <w:drawing>
          <wp:inline distT="0" distB="0" distL="0" distR="0" wp14:anchorId="05E9BBE4" wp14:editId="72D9C98E">
            <wp:extent cx="4856480" cy="6297295"/>
            <wp:effectExtent l="0" t="0" r="1270" b="8255"/>
            <wp:docPr id="2" name="Bildobjekt 2" descr="C:\Users\scbmaav\AppData\Local\Microsoft\Windows\INetCache\Content.Word\Bygg_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bmaav\AppData\Local\Microsoft\Windows\INetCache\Content.Word\Bygg_e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62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2FD7F" w14:textId="7793AB80" w:rsidR="004425DA" w:rsidRDefault="002A3469" w:rsidP="002A3469">
      <w:r>
        <w:rPr>
          <w:noProof/>
          <w:lang w:eastAsia="sv-SE"/>
        </w:rPr>
        <w:lastRenderedPageBreak/>
        <w:drawing>
          <wp:inline distT="0" distB="0" distL="0" distR="0" wp14:anchorId="2816417A" wp14:editId="78DAA694">
            <wp:extent cx="4859655" cy="4548505"/>
            <wp:effectExtent l="0" t="0" r="0" b="4445"/>
            <wp:docPr id="3" name="Bildobjekt 3" descr="C:\Users\scbmaav\AppData\Local\Microsoft\Windows\INetCache\Content.Word\Bygg_fja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cbmaav\AppData\Local\Microsoft\Windows\INetCache\Content.Word\Bygg_fjar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 wp14:anchorId="773583FB" wp14:editId="5B153D14">
            <wp:extent cx="4859655" cy="5370931"/>
            <wp:effectExtent l="0" t="0" r="0" b="1270"/>
            <wp:docPr id="4" name="Bildobjekt 4" descr="C:\Users\scbmaav\AppData\Local\Microsoft\Windows\INetCache\Content.Word\Bygg_brans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scbmaav\AppData\Local\Microsoft\Windows\INetCache\Content.Word\Bygg_bransl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537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 wp14:anchorId="589A1503" wp14:editId="5706CE75">
            <wp:extent cx="4848225" cy="5495925"/>
            <wp:effectExtent l="0" t="0" r="9525" b="9525"/>
            <wp:docPr id="6" name="Bildobjekt 6" descr="Bygg_brans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gg_bransle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 wp14:anchorId="2A24FFEA" wp14:editId="7B11583C">
            <wp:extent cx="4857750" cy="5762625"/>
            <wp:effectExtent l="0" t="0" r="0" b="9525"/>
            <wp:docPr id="5" name="Bildobjekt 5" descr="Bygg_brans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ygg_bransle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 wp14:anchorId="687A7618" wp14:editId="0EC5CF9B">
            <wp:extent cx="4848225" cy="4343400"/>
            <wp:effectExtent l="0" t="0" r="9525" b="0"/>
            <wp:docPr id="1" name="Bildobjekt 1" descr="Bygg_in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ygg_inb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73ABE" w14:textId="044DCB57" w:rsidR="002A3469" w:rsidRDefault="002A3469" w:rsidP="002A3469">
      <w:r>
        <w:rPr>
          <w:noProof/>
          <w:lang w:eastAsia="sv-SE"/>
        </w:rPr>
        <w:drawing>
          <wp:inline distT="0" distB="0" distL="0" distR="0" wp14:anchorId="79FCDEB3" wp14:editId="2DF21A93">
            <wp:extent cx="4319270" cy="3218280"/>
            <wp:effectExtent l="0" t="0" r="5080" b="1270"/>
            <wp:docPr id="7" name="Bildobjekt 7" descr="Bygg_i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ygg_in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32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469" w:rsidSect="00E72EEA">
      <w:headerReference w:type="default" r:id="rId18"/>
      <w:headerReference w:type="first" r:id="rId19"/>
      <w:type w:val="continuous"/>
      <w:pgSz w:w="11906" w:h="16838"/>
      <w:pgMar w:top="1418" w:right="2552" w:bottom="1985" w:left="255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BA3F1" w14:textId="77777777" w:rsidR="00524CE5" w:rsidRDefault="00524CE5" w:rsidP="0005368C">
      <w:r>
        <w:separator/>
      </w:r>
    </w:p>
  </w:endnote>
  <w:endnote w:type="continuationSeparator" w:id="0">
    <w:p w14:paraId="68BBA3F2" w14:textId="77777777" w:rsidR="00524CE5" w:rsidRDefault="00524CE5" w:rsidP="0005368C">
      <w:r>
        <w:continuationSeparator/>
      </w:r>
    </w:p>
  </w:endnote>
  <w:endnote w:type="continuationNotice" w:id="1">
    <w:p w14:paraId="68BBA3F3" w14:textId="77777777" w:rsidR="00524CE5" w:rsidRDefault="00524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BA3EE" w14:textId="77777777" w:rsidR="00524CE5" w:rsidRDefault="00524CE5" w:rsidP="0005368C">
      <w:r>
        <w:separator/>
      </w:r>
    </w:p>
  </w:footnote>
  <w:footnote w:type="continuationSeparator" w:id="0">
    <w:p w14:paraId="68BBA3EF" w14:textId="77777777" w:rsidR="00524CE5" w:rsidRDefault="00524CE5" w:rsidP="0005368C">
      <w:r>
        <w:continuationSeparator/>
      </w:r>
    </w:p>
  </w:footnote>
  <w:footnote w:type="continuationNotice" w:id="1">
    <w:p w14:paraId="68BBA3F0" w14:textId="77777777" w:rsidR="00524CE5" w:rsidRDefault="00524C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999" w:type="dxa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960"/>
      <w:gridCol w:w="2835"/>
      <w:gridCol w:w="1928"/>
      <w:gridCol w:w="567"/>
    </w:tblGrid>
    <w:tr w:rsidR="00524CE5" w14:paraId="68BBA3F9" w14:textId="77777777" w:rsidTr="00524CE5">
      <w:tc>
        <w:tcPr>
          <w:tcW w:w="5669" w:type="dxa"/>
          <w:gridSpan w:val="2"/>
          <w:vMerge w:val="restart"/>
        </w:tcPr>
        <w:p w14:paraId="68BBA3F4" w14:textId="77777777" w:rsidR="00524CE5" w:rsidRPr="00FE493B" w:rsidRDefault="00524CE5" w:rsidP="001A585D">
          <w:pPr>
            <w:pStyle w:val="Sidhuvud"/>
            <w:rPr>
              <w:sz w:val="18"/>
              <w:szCs w:val="18"/>
            </w:rPr>
          </w:pPr>
          <w:r w:rsidRPr="00FE493B">
            <w:rPr>
              <w:sz w:val="18"/>
              <w:szCs w:val="18"/>
            </w:rPr>
            <w:t>Statistikansvarig myndighet</w:t>
          </w:r>
        </w:p>
        <w:p w14:paraId="68BBA3F5" w14:textId="55323F5B" w:rsidR="00524CE5" w:rsidRDefault="00524CE5" w:rsidP="001A585D">
          <w:pPr>
            <w:pStyle w:val="Sidhuvud"/>
          </w:pPr>
          <w:r>
            <w:t>Statens energimyndighet</w:t>
          </w:r>
        </w:p>
      </w:tc>
      <w:tc>
        <w:tcPr>
          <w:tcW w:w="2835" w:type="dxa"/>
          <w:vAlign w:val="center"/>
        </w:tcPr>
        <w:p w14:paraId="68BBA3F6" w14:textId="7A0963AA" w:rsidR="00524CE5" w:rsidRPr="005B2B5B" w:rsidRDefault="00524CE5" w:rsidP="002A3469">
          <w:pPr>
            <w:spacing w:after="0" w:line="240" w:lineRule="auto"/>
          </w:pPr>
          <w:r w:rsidRPr="00FE493B">
            <w:rPr>
              <w:sz w:val="18"/>
              <w:szCs w:val="18"/>
            </w:rPr>
            <w:t xml:space="preserve">Statistikens framställning version </w:t>
          </w:r>
          <w:r>
            <w:rPr>
              <w:sz w:val="18"/>
              <w:szCs w:val="18"/>
            </w:rPr>
            <w:t>1</w:t>
          </w:r>
        </w:p>
      </w:tc>
      <w:tc>
        <w:tcPr>
          <w:tcW w:w="1928" w:type="dxa"/>
        </w:tcPr>
        <w:p w14:paraId="68BBA3F7" w14:textId="77777777" w:rsidR="00524CE5" w:rsidRPr="005B2B5B" w:rsidRDefault="00524CE5" w:rsidP="001A585D">
          <w:pPr>
            <w:spacing w:after="0"/>
          </w:pPr>
        </w:p>
      </w:tc>
      <w:tc>
        <w:tcPr>
          <w:tcW w:w="567" w:type="dxa"/>
        </w:tcPr>
        <w:p w14:paraId="68BBA3F8" w14:textId="42AE8172" w:rsidR="00524CE5" w:rsidRDefault="00524CE5" w:rsidP="001A585D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7250E">
            <w:rPr>
              <w:noProof/>
            </w:rPr>
            <w:t>13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47250E">
            <w:rPr>
              <w:noProof/>
            </w:rPr>
            <w:t>13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524CE5" w14:paraId="68BBA3FE" w14:textId="77777777" w:rsidTr="00524CE5">
      <w:tc>
        <w:tcPr>
          <w:tcW w:w="5669" w:type="dxa"/>
          <w:gridSpan w:val="2"/>
          <w:vMerge/>
        </w:tcPr>
        <w:p w14:paraId="68BBA3FA" w14:textId="77777777" w:rsidR="00524CE5" w:rsidRDefault="00524CE5" w:rsidP="001A585D">
          <w:pPr>
            <w:pStyle w:val="Sidhuvud"/>
          </w:pPr>
        </w:p>
      </w:tc>
      <w:tc>
        <w:tcPr>
          <w:tcW w:w="2835" w:type="dxa"/>
        </w:tcPr>
        <w:p w14:paraId="68BBA3FB" w14:textId="77777777" w:rsidR="00524CE5" w:rsidRPr="00C730F4" w:rsidRDefault="00524CE5" w:rsidP="001A585D">
          <w:pPr>
            <w:pStyle w:val="Sidhuvud"/>
            <w:rPr>
              <w:rFonts w:cs="Arial"/>
            </w:rPr>
          </w:pPr>
          <w:r>
            <w:rPr>
              <w:rFonts w:cs="Arial"/>
            </w:rPr>
            <w:t>&lt;Datum</w:t>
          </w:r>
          <w:r w:rsidRPr="00C730F4">
            <w:rPr>
              <w:rFonts w:cs="Arial"/>
            </w:rPr>
            <w:t>&gt;</w:t>
          </w:r>
        </w:p>
      </w:tc>
      <w:tc>
        <w:tcPr>
          <w:tcW w:w="1928" w:type="dxa"/>
        </w:tcPr>
        <w:p w14:paraId="68BBA3FC" w14:textId="77777777" w:rsidR="00524CE5" w:rsidRPr="005B2B5B" w:rsidRDefault="00524CE5" w:rsidP="001A585D">
          <w:pPr>
            <w:pStyle w:val="Sidhuvud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67" w:type="dxa"/>
        </w:tcPr>
        <w:p w14:paraId="68BBA3FD" w14:textId="77777777" w:rsidR="00524CE5" w:rsidRDefault="00524CE5" w:rsidP="001A585D">
          <w:pPr>
            <w:pStyle w:val="Sidhuvud"/>
          </w:pPr>
        </w:p>
      </w:tc>
    </w:tr>
    <w:tr w:rsidR="00524CE5" w:rsidRPr="006B1232" w14:paraId="68BBA403" w14:textId="77777777" w:rsidTr="00524CE5">
      <w:tc>
        <w:tcPr>
          <w:tcW w:w="5669" w:type="dxa"/>
          <w:gridSpan w:val="2"/>
          <w:vMerge/>
        </w:tcPr>
        <w:p w14:paraId="68BBA3FF" w14:textId="77777777" w:rsidR="00524CE5" w:rsidRDefault="00524CE5" w:rsidP="001A585D">
          <w:pPr>
            <w:pStyle w:val="Sidhuvud"/>
          </w:pPr>
        </w:p>
      </w:tc>
      <w:tc>
        <w:tcPr>
          <w:tcW w:w="2835" w:type="dxa"/>
        </w:tcPr>
        <w:p w14:paraId="68BBA400" w14:textId="77777777" w:rsidR="00524CE5" w:rsidRPr="006B1232" w:rsidRDefault="00524CE5" w:rsidP="001A585D">
          <w:pPr>
            <w:pStyle w:val="Ingetavstnd"/>
            <w:rPr>
              <w:sz w:val="16"/>
              <w:szCs w:val="16"/>
            </w:rPr>
          </w:pPr>
        </w:p>
      </w:tc>
      <w:tc>
        <w:tcPr>
          <w:tcW w:w="1928" w:type="dxa"/>
        </w:tcPr>
        <w:p w14:paraId="68BBA401" w14:textId="77777777" w:rsidR="00524CE5" w:rsidRPr="006B1232" w:rsidRDefault="00524CE5" w:rsidP="001A585D">
          <w:pPr>
            <w:pStyle w:val="Ingetavstnd"/>
            <w:rPr>
              <w:sz w:val="16"/>
              <w:szCs w:val="16"/>
            </w:rPr>
          </w:pPr>
        </w:p>
      </w:tc>
      <w:tc>
        <w:tcPr>
          <w:tcW w:w="567" w:type="dxa"/>
        </w:tcPr>
        <w:p w14:paraId="68BBA402" w14:textId="77777777" w:rsidR="00524CE5" w:rsidRPr="006B1232" w:rsidRDefault="00524CE5" w:rsidP="001A585D">
          <w:pPr>
            <w:pStyle w:val="Ingetavstnd"/>
            <w:rPr>
              <w:sz w:val="16"/>
              <w:szCs w:val="16"/>
            </w:rPr>
          </w:pPr>
        </w:p>
      </w:tc>
    </w:tr>
    <w:tr w:rsidR="00524CE5" w:rsidRPr="006B1232" w14:paraId="68BBA409" w14:textId="77777777" w:rsidTr="00524CE5">
      <w:trPr>
        <w:gridBefore w:val="1"/>
        <w:wBefore w:w="709" w:type="dxa"/>
      </w:trPr>
      <w:tc>
        <w:tcPr>
          <w:tcW w:w="4960" w:type="dxa"/>
        </w:tcPr>
        <w:p w14:paraId="68BBA404" w14:textId="77777777" w:rsidR="00524CE5" w:rsidRDefault="00524CE5" w:rsidP="001A585D">
          <w:pPr>
            <w:pStyle w:val="Ingetavstnd"/>
          </w:pPr>
        </w:p>
        <w:p w14:paraId="68BBA405" w14:textId="77777777" w:rsidR="00524CE5" w:rsidRDefault="00524CE5" w:rsidP="001A585D">
          <w:pPr>
            <w:pStyle w:val="Sidhuvud"/>
          </w:pPr>
        </w:p>
      </w:tc>
      <w:tc>
        <w:tcPr>
          <w:tcW w:w="2835" w:type="dxa"/>
        </w:tcPr>
        <w:p w14:paraId="68BBA406" w14:textId="77777777" w:rsidR="00524CE5" w:rsidRPr="006B1232" w:rsidRDefault="00524CE5" w:rsidP="001A585D">
          <w:pPr>
            <w:pStyle w:val="Ingetavstnd"/>
            <w:rPr>
              <w:sz w:val="16"/>
              <w:szCs w:val="16"/>
            </w:rPr>
          </w:pPr>
        </w:p>
      </w:tc>
      <w:tc>
        <w:tcPr>
          <w:tcW w:w="1928" w:type="dxa"/>
        </w:tcPr>
        <w:p w14:paraId="68BBA407" w14:textId="77777777" w:rsidR="00524CE5" w:rsidRPr="006B1232" w:rsidRDefault="00524CE5" w:rsidP="001A585D">
          <w:pPr>
            <w:pStyle w:val="Ingetavstnd"/>
            <w:rPr>
              <w:sz w:val="16"/>
              <w:szCs w:val="16"/>
            </w:rPr>
          </w:pPr>
        </w:p>
      </w:tc>
      <w:tc>
        <w:tcPr>
          <w:tcW w:w="567" w:type="dxa"/>
        </w:tcPr>
        <w:p w14:paraId="68BBA408" w14:textId="77777777" w:rsidR="00524CE5" w:rsidRPr="006B1232" w:rsidRDefault="00524CE5" w:rsidP="001A585D">
          <w:pPr>
            <w:pStyle w:val="Ingetavstnd"/>
            <w:rPr>
              <w:sz w:val="16"/>
              <w:szCs w:val="16"/>
            </w:rPr>
          </w:pPr>
        </w:p>
      </w:tc>
    </w:tr>
  </w:tbl>
  <w:p w14:paraId="68BBA40A" w14:textId="77777777" w:rsidR="00524CE5" w:rsidRPr="00E72EEA" w:rsidRDefault="00524CE5" w:rsidP="001A585D">
    <w:pPr>
      <w:pStyle w:val="Sidhuvud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999" w:type="dxa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960"/>
      <w:gridCol w:w="2835"/>
      <w:gridCol w:w="1928"/>
      <w:gridCol w:w="567"/>
    </w:tblGrid>
    <w:tr w:rsidR="00524CE5" w14:paraId="68BBA411" w14:textId="77777777" w:rsidTr="00B116CC">
      <w:tc>
        <w:tcPr>
          <w:tcW w:w="5669" w:type="dxa"/>
          <w:gridSpan w:val="2"/>
          <w:vMerge w:val="restart"/>
        </w:tcPr>
        <w:p w14:paraId="68BBA40C" w14:textId="77777777" w:rsidR="00524CE5" w:rsidRPr="00FE493B" w:rsidRDefault="00524CE5" w:rsidP="00B116CC">
          <w:pPr>
            <w:pStyle w:val="Sidhuvud"/>
            <w:rPr>
              <w:sz w:val="18"/>
              <w:szCs w:val="18"/>
            </w:rPr>
          </w:pPr>
          <w:r w:rsidRPr="00FE493B">
            <w:rPr>
              <w:sz w:val="18"/>
              <w:szCs w:val="18"/>
            </w:rPr>
            <w:t>Statistikansvarig myndighet</w:t>
          </w:r>
        </w:p>
        <w:p w14:paraId="68BBA40D" w14:textId="2E515B29" w:rsidR="00524CE5" w:rsidRDefault="00524CE5" w:rsidP="00B116CC">
          <w:pPr>
            <w:pStyle w:val="Sidhuvud"/>
          </w:pPr>
          <w:r>
            <w:t>Statens energimyndighet</w:t>
          </w:r>
        </w:p>
      </w:tc>
      <w:tc>
        <w:tcPr>
          <w:tcW w:w="2835" w:type="dxa"/>
          <w:vAlign w:val="center"/>
        </w:tcPr>
        <w:p w14:paraId="68BBA40E" w14:textId="2C05D11D" w:rsidR="00524CE5" w:rsidRPr="005B2B5B" w:rsidRDefault="00524CE5" w:rsidP="002A3469">
          <w:pPr>
            <w:spacing w:after="0" w:line="240" w:lineRule="auto"/>
          </w:pPr>
          <w:r w:rsidRPr="00FE493B">
            <w:rPr>
              <w:sz w:val="18"/>
              <w:szCs w:val="18"/>
            </w:rPr>
            <w:t xml:space="preserve">Statistikens framställning version </w:t>
          </w:r>
          <w:r>
            <w:rPr>
              <w:sz w:val="18"/>
              <w:szCs w:val="18"/>
            </w:rPr>
            <w:t>1</w:t>
          </w:r>
        </w:p>
      </w:tc>
      <w:tc>
        <w:tcPr>
          <w:tcW w:w="1928" w:type="dxa"/>
        </w:tcPr>
        <w:p w14:paraId="68BBA40F" w14:textId="77777777" w:rsidR="00524CE5" w:rsidRPr="005B2B5B" w:rsidRDefault="00524CE5" w:rsidP="00B116CC">
          <w:pPr>
            <w:spacing w:after="0"/>
          </w:pPr>
        </w:p>
      </w:tc>
      <w:tc>
        <w:tcPr>
          <w:tcW w:w="567" w:type="dxa"/>
        </w:tcPr>
        <w:p w14:paraId="68BBA410" w14:textId="205782D8" w:rsidR="00524CE5" w:rsidRDefault="00524CE5" w:rsidP="00B116CC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7250E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47250E">
            <w:rPr>
              <w:noProof/>
            </w:rPr>
            <w:t>13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524CE5" w14:paraId="68BBA416" w14:textId="77777777" w:rsidTr="00B116CC">
      <w:tc>
        <w:tcPr>
          <w:tcW w:w="5669" w:type="dxa"/>
          <w:gridSpan w:val="2"/>
          <w:vMerge/>
        </w:tcPr>
        <w:p w14:paraId="68BBA412" w14:textId="77777777" w:rsidR="00524CE5" w:rsidRDefault="00524CE5" w:rsidP="00B116CC">
          <w:pPr>
            <w:pStyle w:val="Sidhuvud"/>
          </w:pPr>
        </w:p>
      </w:tc>
      <w:tc>
        <w:tcPr>
          <w:tcW w:w="2835" w:type="dxa"/>
        </w:tcPr>
        <w:p w14:paraId="68BBA413" w14:textId="4A69F649" w:rsidR="00524CE5" w:rsidRPr="00C730F4" w:rsidRDefault="00C01715" w:rsidP="00C730F4">
          <w:pPr>
            <w:pStyle w:val="Sidhuvud"/>
            <w:rPr>
              <w:rFonts w:cs="Arial"/>
            </w:rPr>
          </w:pPr>
          <w:r>
            <w:rPr>
              <w:rFonts w:cs="Arial"/>
            </w:rPr>
            <w:t>2019-01-30</w:t>
          </w:r>
        </w:p>
      </w:tc>
      <w:tc>
        <w:tcPr>
          <w:tcW w:w="1928" w:type="dxa"/>
        </w:tcPr>
        <w:p w14:paraId="68BBA414" w14:textId="77777777" w:rsidR="00524CE5" w:rsidRPr="005B2B5B" w:rsidRDefault="00524CE5" w:rsidP="00B116CC">
          <w:pPr>
            <w:pStyle w:val="Sidhuvud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67" w:type="dxa"/>
        </w:tcPr>
        <w:p w14:paraId="68BBA415" w14:textId="77777777" w:rsidR="00524CE5" w:rsidRDefault="00524CE5" w:rsidP="00B116CC">
          <w:pPr>
            <w:pStyle w:val="Sidhuvud"/>
          </w:pPr>
        </w:p>
      </w:tc>
    </w:tr>
    <w:tr w:rsidR="00524CE5" w:rsidRPr="006B1232" w14:paraId="68BBA41B" w14:textId="77777777" w:rsidTr="00B116CC">
      <w:tc>
        <w:tcPr>
          <w:tcW w:w="5669" w:type="dxa"/>
          <w:gridSpan w:val="2"/>
          <w:vMerge/>
        </w:tcPr>
        <w:p w14:paraId="68BBA417" w14:textId="77777777" w:rsidR="00524CE5" w:rsidRDefault="00524CE5" w:rsidP="00B116CC">
          <w:pPr>
            <w:pStyle w:val="Sidhuvud"/>
          </w:pPr>
        </w:p>
      </w:tc>
      <w:tc>
        <w:tcPr>
          <w:tcW w:w="2835" w:type="dxa"/>
        </w:tcPr>
        <w:p w14:paraId="68BBA418" w14:textId="77777777" w:rsidR="00524CE5" w:rsidRPr="006B1232" w:rsidRDefault="00524CE5" w:rsidP="00B116CC">
          <w:pPr>
            <w:pStyle w:val="Ingetavstnd"/>
            <w:rPr>
              <w:sz w:val="16"/>
              <w:szCs w:val="16"/>
            </w:rPr>
          </w:pPr>
        </w:p>
      </w:tc>
      <w:tc>
        <w:tcPr>
          <w:tcW w:w="1928" w:type="dxa"/>
        </w:tcPr>
        <w:p w14:paraId="68BBA419" w14:textId="77777777" w:rsidR="00524CE5" w:rsidRPr="006B1232" w:rsidRDefault="00524CE5" w:rsidP="00B116CC">
          <w:pPr>
            <w:pStyle w:val="Ingetavstnd"/>
            <w:rPr>
              <w:sz w:val="16"/>
              <w:szCs w:val="16"/>
            </w:rPr>
          </w:pPr>
        </w:p>
      </w:tc>
      <w:tc>
        <w:tcPr>
          <w:tcW w:w="567" w:type="dxa"/>
        </w:tcPr>
        <w:p w14:paraId="68BBA41A" w14:textId="77777777" w:rsidR="00524CE5" w:rsidRPr="006B1232" w:rsidRDefault="00524CE5" w:rsidP="00B116CC">
          <w:pPr>
            <w:pStyle w:val="Ingetavstnd"/>
            <w:rPr>
              <w:sz w:val="16"/>
              <w:szCs w:val="16"/>
            </w:rPr>
          </w:pPr>
        </w:p>
      </w:tc>
    </w:tr>
    <w:tr w:rsidR="00524CE5" w:rsidRPr="006B1232" w14:paraId="68BBA422" w14:textId="77777777" w:rsidTr="00B116CC">
      <w:trPr>
        <w:gridBefore w:val="1"/>
        <w:wBefore w:w="709" w:type="dxa"/>
      </w:trPr>
      <w:tc>
        <w:tcPr>
          <w:tcW w:w="4960" w:type="dxa"/>
        </w:tcPr>
        <w:p w14:paraId="68BBA41C" w14:textId="77777777" w:rsidR="00524CE5" w:rsidRDefault="00524CE5" w:rsidP="00B116CC">
          <w:pPr>
            <w:pStyle w:val="Ingetavstnd"/>
          </w:pPr>
        </w:p>
        <w:p w14:paraId="68BBA41D" w14:textId="77777777" w:rsidR="00524CE5" w:rsidRDefault="00524CE5" w:rsidP="00B116CC">
          <w:pPr>
            <w:pStyle w:val="Sidhuvud"/>
          </w:pPr>
          <w:bookmarkStart w:id="80" w:name="bkmEmail"/>
          <w:bookmarkEnd w:id="80"/>
        </w:p>
        <w:p w14:paraId="68BBA41E" w14:textId="77777777" w:rsidR="00524CE5" w:rsidRDefault="00524CE5" w:rsidP="00B116CC">
          <w:pPr>
            <w:pStyle w:val="Sidhuvud"/>
          </w:pPr>
        </w:p>
      </w:tc>
      <w:tc>
        <w:tcPr>
          <w:tcW w:w="2835" w:type="dxa"/>
        </w:tcPr>
        <w:p w14:paraId="68BBA41F" w14:textId="77777777" w:rsidR="00524CE5" w:rsidRPr="006B1232" w:rsidRDefault="00524CE5" w:rsidP="00B116CC">
          <w:pPr>
            <w:pStyle w:val="Ingetavstnd"/>
            <w:rPr>
              <w:sz w:val="16"/>
              <w:szCs w:val="16"/>
            </w:rPr>
          </w:pPr>
        </w:p>
      </w:tc>
      <w:tc>
        <w:tcPr>
          <w:tcW w:w="1928" w:type="dxa"/>
        </w:tcPr>
        <w:p w14:paraId="68BBA420" w14:textId="77777777" w:rsidR="00524CE5" w:rsidRPr="006B1232" w:rsidRDefault="00524CE5" w:rsidP="00B116CC">
          <w:pPr>
            <w:pStyle w:val="Ingetavstnd"/>
            <w:rPr>
              <w:sz w:val="16"/>
              <w:szCs w:val="16"/>
            </w:rPr>
          </w:pPr>
        </w:p>
      </w:tc>
      <w:tc>
        <w:tcPr>
          <w:tcW w:w="567" w:type="dxa"/>
        </w:tcPr>
        <w:p w14:paraId="68BBA421" w14:textId="77777777" w:rsidR="00524CE5" w:rsidRPr="006B1232" w:rsidRDefault="00524CE5" w:rsidP="00B116CC">
          <w:pPr>
            <w:pStyle w:val="Ingetavstnd"/>
            <w:rPr>
              <w:sz w:val="16"/>
              <w:szCs w:val="16"/>
            </w:rPr>
          </w:pPr>
        </w:p>
      </w:tc>
    </w:tr>
  </w:tbl>
  <w:p w14:paraId="68BBA423" w14:textId="77777777" w:rsidR="00524CE5" w:rsidRPr="00E72EEA" w:rsidRDefault="00524CE5" w:rsidP="00E72EEA">
    <w:pPr>
      <w:pStyle w:val="Sidhuvud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440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AAE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0A5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106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C70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94B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C6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32A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84429"/>
    <w:multiLevelType w:val="hybridMultilevel"/>
    <w:tmpl w:val="6518CAB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75AC"/>
    <w:multiLevelType w:val="hybridMultilevel"/>
    <w:tmpl w:val="0ECC2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529FE"/>
    <w:multiLevelType w:val="hybridMultilevel"/>
    <w:tmpl w:val="31CEF94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048E9"/>
    <w:multiLevelType w:val="hybridMultilevel"/>
    <w:tmpl w:val="B0542592"/>
    <w:lvl w:ilvl="0" w:tplc="CE10BA0A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eastAsia="Times New Roman" w:hAnsi="Symbol" w:cs="Times New Roman" w:hint="default"/>
        <w:sz w:val="20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87D45"/>
    <w:multiLevelType w:val="hybridMultilevel"/>
    <w:tmpl w:val="AB80D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A5093"/>
    <w:multiLevelType w:val="hybridMultilevel"/>
    <w:tmpl w:val="1720A0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378AB"/>
    <w:multiLevelType w:val="hybridMultilevel"/>
    <w:tmpl w:val="F38007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155BA"/>
    <w:multiLevelType w:val="hybridMultilevel"/>
    <w:tmpl w:val="EBD03F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C1BC1"/>
    <w:multiLevelType w:val="multilevel"/>
    <w:tmpl w:val="AB3A648C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18"/>
  </w:num>
  <w:num w:numId="14">
    <w:abstractNumId w:val="15"/>
  </w:num>
  <w:num w:numId="15">
    <w:abstractNumId w:val="12"/>
  </w:num>
  <w:num w:numId="16">
    <w:abstractNumId w:val="13"/>
  </w:num>
  <w:num w:numId="17">
    <w:abstractNumId w:val="17"/>
  </w:num>
  <w:num w:numId="18">
    <w:abstractNumId w:val="16"/>
  </w:num>
  <w:num w:numId="19">
    <w:abstractNumId w:val="14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31"/>
    <w:rsid w:val="00004439"/>
    <w:rsid w:val="00005FEC"/>
    <w:rsid w:val="00011773"/>
    <w:rsid w:val="0001365C"/>
    <w:rsid w:val="00015F28"/>
    <w:rsid w:val="0001672B"/>
    <w:rsid w:val="00021985"/>
    <w:rsid w:val="00025BE1"/>
    <w:rsid w:val="00027CD6"/>
    <w:rsid w:val="0003062C"/>
    <w:rsid w:val="00031F39"/>
    <w:rsid w:val="00036681"/>
    <w:rsid w:val="0004215E"/>
    <w:rsid w:val="000428AB"/>
    <w:rsid w:val="000441E9"/>
    <w:rsid w:val="00045EAC"/>
    <w:rsid w:val="00047098"/>
    <w:rsid w:val="0005368C"/>
    <w:rsid w:val="0005552B"/>
    <w:rsid w:val="00064E64"/>
    <w:rsid w:val="00072EF3"/>
    <w:rsid w:val="00073A06"/>
    <w:rsid w:val="000740AC"/>
    <w:rsid w:val="000746B2"/>
    <w:rsid w:val="00074854"/>
    <w:rsid w:val="00077FA6"/>
    <w:rsid w:val="0008123D"/>
    <w:rsid w:val="000825E5"/>
    <w:rsid w:val="00093AD6"/>
    <w:rsid w:val="000A25F5"/>
    <w:rsid w:val="000A2C2A"/>
    <w:rsid w:val="000B3D96"/>
    <w:rsid w:val="000B5782"/>
    <w:rsid w:val="000D08B5"/>
    <w:rsid w:val="000D6C57"/>
    <w:rsid w:val="000D7B94"/>
    <w:rsid w:val="000E4364"/>
    <w:rsid w:val="000F15BD"/>
    <w:rsid w:val="000F6CCF"/>
    <w:rsid w:val="0010264E"/>
    <w:rsid w:val="0012452B"/>
    <w:rsid w:val="00134E00"/>
    <w:rsid w:val="00145BDA"/>
    <w:rsid w:val="0015758C"/>
    <w:rsid w:val="001700C2"/>
    <w:rsid w:val="00175A19"/>
    <w:rsid w:val="00176C90"/>
    <w:rsid w:val="001818E7"/>
    <w:rsid w:val="00183DC3"/>
    <w:rsid w:val="001A4071"/>
    <w:rsid w:val="001A4469"/>
    <w:rsid w:val="001A585D"/>
    <w:rsid w:val="001B2F1E"/>
    <w:rsid w:val="001B6461"/>
    <w:rsid w:val="001B72B2"/>
    <w:rsid w:val="001C7B03"/>
    <w:rsid w:val="001D1110"/>
    <w:rsid w:val="001D1A98"/>
    <w:rsid w:val="001D4995"/>
    <w:rsid w:val="001D5EB8"/>
    <w:rsid w:val="001E4F92"/>
    <w:rsid w:val="001F5168"/>
    <w:rsid w:val="002002FF"/>
    <w:rsid w:val="002049E8"/>
    <w:rsid w:val="00223125"/>
    <w:rsid w:val="00226942"/>
    <w:rsid w:val="002271C8"/>
    <w:rsid w:val="00242B81"/>
    <w:rsid w:val="00242CC2"/>
    <w:rsid w:val="00246213"/>
    <w:rsid w:val="002544B5"/>
    <w:rsid w:val="00265425"/>
    <w:rsid w:val="00266F7B"/>
    <w:rsid w:val="00273F94"/>
    <w:rsid w:val="0027726F"/>
    <w:rsid w:val="0028600F"/>
    <w:rsid w:val="00291168"/>
    <w:rsid w:val="00293034"/>
    <w:rsid w:val="002974AE"/>
    <w:rsid w:val="002A0478"/>
    <w:rsid w:val="002A3469"/>
    <w:rsid w:val="002C3A6F"/>
    <w:rsid w:val="002C4DD3"/>
    <w:rsid w:val="002D0987"/>
    <w:rsid w:val="002D353E"/>
    <w:rsid w:val="002D4242"/>
    <w:rsid w:val="002E6BD7"/>
    <w:rsid w:val="002F34C9"/>
    <w:rsid w:val="002F4634"/>
    <w:rsid w:val="00303871"/>
    <w:rsid w:val="003041D1"/>
    <w:rsid w:val="00305A37"/>
    <w:rsid w:val="00320AAA"/>
    <w:rsid w:val="00327720"/>
    <w:rsid w:val="00332679"/>
    <w:rsid w:val="00333895"/>
    <w:rsid w:val="00346E1C"/>
    <w:rsid w:val="0034701E"/>
    <w:rsid w:val="00347DA3"/>
    <w:rsid w:val="00350C9B"/>
    <w:rsid w:val="003510FE"/>
    <w:rsid w:val="00352DCB"/>
    <w:rsid w:val="00356D2F"/>
    <w:rsid w:val="00363455"/>
    <w:rsid w:val="00365688"/>
    <w:rsid w:val="00372031"/>
    <w:rsid w:val="0038122B"/>
    <w:rsid w:val="0038352A"/>
    <w:rsid w:val="0038712F"/>
    <w:rsid w:val="00392A4C"/>
    <w:rsid w:val="00395791"/>
    <w:rsid w:val="003976F4"/>
    <w:rsid w:val="003A5625"/>
    <w:rsid w:val="003B4A6C"/>
    <w:rsid w:val="003B5188"/>
    <w:rsid w:val="003B6BE5"/>
    <w:rsid w:val="003C27BD"/>
    <w:rsid w:val="003C44E0"/>
    <w:rsid w:val="003C4A5E"/>
    <w:rsid w:val="003D3A48"/>
    <w:rsid w:val="003D6762"/>
    <w:rsid w:val="003E3D9B"/>
    <w:rsid w:val="003E64C2"/>
    <w:rsid w:val="0040400F"/>
    <w:rsid w:val="004075B4"/>
    <w:rsid w:val="00412ABC"/>
    <w:rsid w:val="004133BA"/>
    <w:rsid w:val="00417D6D"/>
    <w:rsid w:val="00420923"/>
    <w:rsid w:val="00425752"/>
    <w:rsid w:val="00427310"/>
    <w:rsid w:val="00430A1E"/>
    <w:rsid w:val="004310B0"/>
    <w:rsid w:val="00434073"/>
    <w:rsid w:val="004424BD"/>
    <w:rsid w:val="004425DA"/>
    <w:rsid w:val="004460AA"/>
    <w:rsid w:val="004529A3"/>
    <w:rsid w:val="00453032"/>
    <w:rsid w:val="00460C8C"/>
    <w:rsid w:val="0047099C"/>
    <w:rsid w:val="00471969"/>
    <w:rsid w:val="0047250E"/>
    <w:rsid w:val="00475662"/>
    <w:rsid w:val="00483AC0"/>
    <w:rsid w:val="00492D6E"/>
    <w:rsid w:val="004932DC"/>
    <w:rsid w:val="0049725E"/>
    <w:rsid w:val="004B10F0"/>
    <w:rsid w:val="004B4CA4"/>
    <w:rsid w:val="004C673F"/>
    <w:rsid w:val="004F4C7A"/>
    <w:rsid w:val="004F5809"/>
    <w:rsid w:val="004F7793"/>
    <w:rsid w:val="00515998"/>
    <w:rsid w:val="00524CE5"/>
    <w:rsid w:val="005252D2"/>
    <w:rsid w:val="005267C0"/>
    <w:rsid w:val="005324D6"/>
    <w:rsid w:val="00540751"/>
    <w:rsid w:val="005417B6"/>
    <w:rsid w:val="00541FFF"/>
    <w:rsid w:val="005468B8"/>
    <w:rsid w:val="00552DD5"/>
    <w:rsid w:val="00553BBA"/>
    <w:rsid w:val="0055463E"/>
    <w:rsid w:val="005566FB"/>
    <w:rsid w:val="00557F4F"/>
    <w:rsid w:val="00565DA0"/>
    <w:rsid w:val="00567C02"/>
    <w:rsid w:val="005835CF"/>
    <w:rsid w:val="005A1441"/>
    <w:rsid w:val="005B2B5B"/>
    <w:rsid w:val="005B5D93"/>
    <w:rsid w:val="005C0058"/>
    <w:rsid w:val="005C717F"/>
    <w:rsid w:val="005E1879"/>
    <w:rsid w:val="005E37E2"/>
    <w:rsid w:val="005E7CC6"/>
    <w:rsid w:val="005F468F"/>
    <w:rsid w:val="00607D0A"/>
    <w:rsid w:val="00607E8F"/>
    <w:rsid w:val="006106C6"/>
    <w:rsid w:val="00617413"/>
    <w:rsid w:val="006222C6"/>
    <w:rsid w:val="00626F38"/>
    <w:rsid w:val="00633FBD"/>
    <w:rsid w:val="00636259"/>
    <w:rsid w:val="00637D48"/>
    <w:rsid w:val="00653344"/>
    <w:rsid w:val="00656165"/>
    <w:rsid w:val="006620BB"/>
    <w:rsid w:val="00667E40"/>
    <w:rsid w:val="00670C17"/>
    <w:rsid w:val="00677473"/>
    <w:rsid w:val="00680D77"/>
    <w:rsid w:val="00684904"/>
    <w:rsid w:val="006906C6"/>
    <w:rsid w:val="00697FC7"/>
    <w:rsid w:val="006A1DB7"/>
    <w:rsid w:val="006A36C3"/>
    <w:rsid w:val="006B1232"/>
    <w:rsid w:val="006B5A7C"/>
    <w:rsid w:val="006D0BE2"/>
    <w:rsid w:val="006D1205"/>
    <w:rsid w:val="006E00F0"/>
    <w:rsid w:val="006E026B"/>
    <w:rsid w:val="006F405D"/>
    <w:rsid w:val="0070105B"/>
    <w:rsid w:val="00703324"/>
    <w:rsid w:val="0070576E"/>
    <w:rsid w:val="0071169A"/>
    <w:rsid w:val="00714D7C"/>
    <w:rsid w:val="007168D1"/>
    <w:rsid w:val="00721810"/>
    <w:rsid w:val="00743419"/>
    <w:rsid w:val="007514BB"/>
    <w:rsid w:val="00770802"/>
    <w:rsid w:val="00771386"/>
    <w:rsid w:val="0079533A"/>
    <w:rsid w:val="00796421"/>
    <w:rsid w:val="00797D0F"/>
    <w:rsid w:val="007A3FCA"/>
    <w:rsid w:val="007A4B33"/>
    <w:rsid w:val="007B69D6"/>
    <w:rsid w:val="007C10ED"/>
    <w:rsid w:val="007C1BAA"/>
    <w:rsid w:val="007C53D7"/>
    <w:rsid w:val="007C60F7"/>
    <w:rsid w:val="007C7DF6"/>
    <w:rsid w:val="007D5804"/>
    <w:rsid w:val="007E1C91"/>
    <w:rsid w:val="007E43EA"/>
    <w:rsid w:val="007E5C1F"/>
    <w:rsid w:val="007E747D"/>
    <w:rsid w:val="007F2407"/>
    <w:rsid w:val="007F4196"/>
    <w:rsid w:val="007F5E5A"/>
    <w:rsid w:val="00801FF1"/>
    <w:rsid w:val="00805223"/>
    <w:rsid w:val="00816746"/>
    <w:rsid w:val="00822DB5"/>
    <w:rsid w:val="00825CF8"/>
    <w:rsid w:val="00831B11"/>
    <w:rsid w:val="00831D3B"/>
    <w:rsid w:val="00835D16"/>
    <w:rsid w:val="00852829"/>
    <w:rsid w:val="008568EC"/>
    <w:rsid w:val="00875DA4"/>
    <w:rsid w:val="00882EC9"/>
    <w:rsid w:val="00885102"/>
    <w:rsid w:val="008965DA"/>
    <w:rsid w:val="00896693"/>
    <w:rsid w:val="008974B1"/>
    <w:rsid w:val="008C09FA"/>
    <w:rsid w:val="008C5ADE"/>
    <w:rsid w:val="008C7EB9"/>
    <w:rsid w:val="008C7FFC"/>
    <w:rsid w:val="008D6AF5"/>
    <w:rsid w:val="008E28D9"/>
    <w:rsid w:val="008E6BCF"/>
    <w:rsid w:val="008F63CB"/>
    <w:rsid w:val="009010E2"/>
    <w:rsid w:val="009025BF"/>
    <w:rsid w:val="00903BCA"/>
    <w:rsid w:val="0090696D"/>
    <w:rsid w:val="00906F71"/>
    <w:rsid w:val="00912D9D"/>
    <w:rsid w:val="00913EC1"/>
    <w:rsid w:val="00914EFE"/>
    <w:rsid w:val="0092073D"/>
    <w:rsid w:val="009242DF"/>
    <w:rsid w:val="00926894"/>
    <w:rsid w:val="009272C5"/>
    <w:rsid w:val="0094035D"/>
    <w:rsid w:val="0094445D"/>
    <w:rsid w:val="00964F67"/>
    <w:rsid w:val="00965F91"/>
    <w:rsid w:val="009706AA"/>
    <w:rsid w:val="00970A40"/>
    <w:rsid w:val="00972EA8"/>
    <w:rsid w:val="00984E85"/>
    <w:rsid w:val="00984EF8"/>
    <w:rsid w:val="009A141D"/>
    <w:rsid w:val="009A1D1B"/>
    <w:rsid w:val="009A251A"/>
    <w:rsid w:val="009A3A86"/>
    <w:rsid w:val="009B1320"/>
    <w:rsid w:val="009C7215"/>
    <w:rsid w:val="009D2649"/>
    <w:rsid w:val="009D3D1C"/>
    <w:rsid w:val="009D4FCF"/>
    <w:rsid w:val="009D5E5C"/>
    <w:rsid w:val="009E0A8F"/>
    <w:rsid w:val="009E1D48"/>
    <w:rsid w:val="009E36D6"/>
    <w:rsid w:val="009F1EEF"/>
    <w:rsid w:val="009F46E2"/>
    <w:rsid w:val="009F75D3"/>
    <w:rsid w:val="00A004E4"/>
    <w:rsid w:val="00A05F79"/>
    <w:rsid w:val="00A11920"/>
    <w:rsid w:val="00A1326F"/>
    <w:rsid w:val="00A17BFB"/>
    <w:rsid w:val="00A2126E"/>
    <w:rsid w:val="00A24804"/>
    <w:rsid w:val="00A24B8F"/>
    <w:rsid w:val="00A278FE"/>
    <w:rsid w:val="00A3376A"/>
    <w:rsid w:val="00A36D1A"/>
    <w:rsid w:val="00A42839"/>
    <w:rsid w:val="00A4441C"/>
    <w:rsid w:val="00A5134B"/>
    <w:rsid w:val="00A62D8C"/>
    <w:rsid w:val="00A75A87"/>
    <w:rsid w:val="00A75CE2"/>
    <w:rsid w:val="00A773ED"/>
    <w:rsid w:val="00A823CC"/>
    <w:rsid w:val="00AA4AA7"/>
    <w:rsid w:val="00AC6096"/>
    <w:rsid w:val="00AD3B30"/>
    <w:rsid w:val="00AD508E"/>
    <w:rsid w:val="00AD6B4E"/>
    <w:rsid w:val="00AD6C07"/>
    <w:rsid w:val="00AD7513"/>
    <w:rsid w:val="00AD757D"/>
    <w:rsid w:val="00AE71DC"/>
    <w:rsid w:val="00AF69EB"/>
    <w:rsid w:val="00AF6B2F"/>
    <w:rsid w:val="00B07AAD"/>
    <w:rsid w:val="00B116CC"/>
    <w:rsid w:val="00B22382"/>
    <w:rsid w:val="00B2622D"/>
    <w:rsid w:val="00B27132"/>
    <w:rsid w:val="00B27362"/>
    <w:rsid w:val="00B3028D"/>
    <w:rsid w:val="00B37AE3"/>
    <w:rsid w:val="00B45074"/>
    <w:rsid w:val="00B51A5F"/>
    <w:rsid w:val="00B64B5A"/>
    <w:rsid w:val="00B662AD"/>
    <w:rsid w:val="00B7032B"/>
    <w:rsid w:val="00B805AE"/>
    <w:rsid w:val="00B92850"/>
    <w:rsid w:val="00BA0AAC"/>
    <w:rsid w:val="00BB0E38"/>
    <w:rsid w:val="00BB3DA3"/>
    <w:rsid w:val="00BD1537"/>
    <w:rsid w:val="00BD16A9"/>
    <w:rsid w:val="00BD3612"/>
    <w:rsid w:val="00BD5856"/>
    <w:rsid w:val="00BD7294"/>
    <w:rsid w:val="00BE19F2"/>
    <w:rsid w:val="00BF70BE"/>
    <w:rsid w:val="00C01715"/>
    <w:rsid w:val="00C06F14"/>
    <w:rsid w:val="00C247E1"/>
    <w:rsid w:val="00C24C19"/>
    <w:rsid w:val="00C2671F"/>
    <w:rsid w:val="00C45503"/>
    <w:rsid w:val="00C55126"/>
    <w:rsid w:val="00C64FCF"/>
    <w:rsid w:val="00C720FC"/>
    <w:rsid w:val="00C730B3"/>
    <w:rsid w:val="00C730F4"/>
    <w:rsid w:val="00C87F30"/>
    <w:rsid w:val="00C957F1"/>
    <w:rsid w:val="00C972F7"/>
    <w:rsid w:val="00CB5CB3"/>
    <w:rsid w:val="00CC0953"/>
    <w:rsid w:val="00CF4F14"/>
    <w:rsid w:val="00D14797"/>
    <w:rsid w:val="00D27F17"/>
    <w:rsid w:val="00D3787C"/>
    <w:rsid w:val="00D45F4A"/>
    <w:rsid w:val="00D46A4E"/>
    <w:rsid w:val="00D5172C"/>
    <w:rsid w:val="00D56580"/>
    <w:rsid w:val="00D601A4"/>
    <w:rsid w:val="00D64996"/>
    <w:rsid w:val="00D722BB"/>
    <w:rsid w:val="00D73529"/>
    <w:rsid w:val="00D82B4E"/>
    <w:rsid w:val="00D97ED3"/>
    <w:rsid w:val="00DB739E"/>
    <w:rsid w:val="00DC500A"/>
    <w:rsid w:val="00DD2CD9"/>
    <w:rsid w:val="00DE207E"/>
    <w:rsid w:val="00DE3B84"/>
    <w:rsid w:val="00DE3B95"/>
    <w:rsid w:val="00DF1925"/>
    <w:rsid w:val="00DF694B"/>
    <w:rsid w:val="00E06806"/>
    <w:rsid w:val="00E15C5A"/>
    <w:rsid w:val="00E16D2E"/>
    <w:rsid w:val="00E1789A"/>
    <w:rsid w:val="00E21459"/>
    <w:rsid w:val="00E30A09"/>
    <w:rsid w:val="00E34DEA"/>
    <w:rsid w:val="00E36BB4"/>
    <w:rsid w:val="00E372F7"/>
    <w:rsid w:val="00E556B6"/>
    <w:rsid w:val="00E57AB5"/>
    <w:rsid w:val="00E6741B"/>
    <w:rsid w:val="00E717E2"/>
    <w:rsid w:val="00E72EEA"/>
    <w:rsid w:val="00E73FF9"/>
    <w:rsid w:val="00E84FFF"/>
    <w:rsid w:val="00E85C0B"/>
    <w:rsid w:val="00E867B0"/>
    <w:rsid w:val="00EB218D"/>
    <w:rsid w:val="00EB2540"/>
    <w:rsid w:val="00EB4FC3"/>
    <w:rsid w:val="00EB556A"/>
    <w:rsid w:val="00EB56F7"/>
    <w:rsid w:val="00EC3C33"/>
    <w:rsid w:val="00EC66AB"/>
    <w:rsid w:val="00EC701A"/>
    <w:rsid w:val="00ED11DC"/>
    <w:rsid w:val="00ED3892"/>
    <w:rsid w:val="00ED6034"/>
    <w:rsid w:val="00EE55C0"/>
    <w:rsid w:val="00F13B54"/>
    <w:rsid w:val="00F15FAE"/>
    <w:rsid w:val="00F1794F"/>
    <w:rsid w:val="00F24C82"/>
    <w:rsid w:val="00F31C33"/>
    <w:rsid w:val="00F32586"/>
    <w:rsid w:val="00F40209"/>
    <w:rsid w:val="00F47DB0"/>
    <w:rsid w:val="00F52ED4"/>
    <w:rsid w:val="00F60658"/>
    <w:rsid w:val="00F73147"/>
    <w:rsid w:val="00F73AB3"/>
    <w:rsid w:val="00F803BA"/>
    <w:rsid w:val="00F850BB"/>
    <w:rsid w:val="00F850C5"/>
    <w:rsid w:val="00F86644"/>
    <w:rsid w:val="00F877C0"/>
    <w:rsid w:val="00F924C3"/>
    <w:rsid w:val="00F94459"/>
    <w:rsid w:val="00FA04B7"/>
    <w:rsid w:val="00FA1EAA"/>
    <w:rsid w:val="00FB2EE2"/>
    <w:rsid w:val="00FB667D"/>
    <w:rsid w:val="00FD1C2B"/>
    <w:rsid w:val="00FD1DA9"/>
    <w:rsid w:val="00FE4805"/>
    <w:rsid w:val="00FE493B"/>
    <w:rsid w:val="00FE59C8"/>
    <w:rsid w:val="00FF019F"/>
    <w:rsid w:val="00FF0FEA"/>
    <w:rsid w:val="00FF16AA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BBA367"/>
  <w15:docId w15:val="{3CD5B0EA-32D7-4736-B209-2A0C2D43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425"/>
    <w:pPr>
      <w:spacing w:after="120" w:line="260" w:lineRule="atLeast"/>
    </w:pPr>
    <w:rPr>
      <w:rFonts w:ascii="Book Antiqua" w:hAnsi="Book Antiqua"/>
    </w:rPr>
  </w:style>
  <w:style w:type="paragraph" w:styleId="Rubrik1">
    <w:name w:val="heading 1"/>
    <w:basedOn w:val="Normal"/>
    <w:next w:val="Normal"/>
    <w:link w:val="Rubrik1Char"/>
    <w:uiPriority w:val="9"/>
    <w:qFormat/>
    <w:rsid w:val="001E4F92"/>
    <w:pPr>
      <w:keepNext/>
      <w:keepLines/>
      <w:spacing w:before="240" w:after="4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1E4F92"/>
    <w:pPr>
      <w:keepNext/>
      <w:keepLines/>
      <w:spacing w:before="12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1E4F92"/>
    <w:pPr>
      <w:keepNext/>
      <w:keepLines/>
      <w:spacing w:before="120" w:after="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1E4F9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1E4F92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514BB"/>
    <w:rPr>
      <w:rFonts w:ascii="Palatino" w:hAnsi="Palatino"/>
      <w:sz w:val="20"/>
    </w:rPr>
  </w:style>
  <w:style w:type="paragraph" w:styleId="Sidfot">
    <w:name w:val="footer"/>
    <w:basedOn w:val="Normal"/>
    <w:link w:val="Sidfot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514BB"/>
    <w:rPr>
      <w:rFonts w:ascii="Palatino" w:hAnsi="Palatino"/>
      <w:sz w:val="20"/>
    </w:rPr>
  </w:style>
  <w:style w:type="paragraph" w:styleId="Punktlista">
    <w:name w:val="List Bullet"/>
    <w:basedOn w:val="Normal"/>
    <w:uiPriority w:val="99"/>
    <w:qFormat/>
    <w:rsid w:val="001E4F92"/>
    <w:pPr>
      <w:numPr>
        <w:numId w:val="1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E4F92"/>
    <w:rPr>
      <w:rFonts w:ascii="Arial" w:eastAsiaTheme="majorEastAsia" w:hAnsi="Arial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1E4F92"/>
    <w:pPr>
      <w:keepNext/>
      <w:keepLines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E4F9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E4F9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E4F9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qFormat/>
    <w:rsid w:val="001E4F92"/>
    <w:pPr>
      <w:spacing w:after="0"/>
    </w:pPr>
    <w:rPr>
      <w:rFonts w:ascii="Palatino" w:hAnsi="Palatino"/>
      <w:sz w:val="20"/>
    </w:rPr>
  </w:style>
  <w:style w:type="paragraph" w:styleId="Liststycke">
    <w:name w:val="List Paragraph"/>
    <w:basedOn w:val="Normal"/>
    <w:uiPriority w:val="34"/>
    <w:qFormat/>
    <w:rsid w:val="001E4F9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E4F9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qFormat/>
    <w:rsid w:val="00926894"/>
    <w:pPr>
      <w:spacing w:after="60"/>
    </w:pPr>
    <w:rPr>
      <w:rFonts w:ascii="Arial" w:hAnsi="Arial"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926894"/>
    <w:pPr>
      <w:spacing w:after="60"/>
      <w:ind w:left="221"/>
    </w:pPr>
    <w:rPr>
      <w:rFonts w:ascii="Arial" w:hAnsi="Arial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926894"/>
    <w:pPr>
      <w:spacing w:after="60"/>
      <w:ind w:left="442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Numreradlista">
    <w:name w:val="List Number"/>
    <w:basedOn w:val="Normal"/>
    <w:uiPriority w:val="99"/>
    <w:qFormat/>
    <w:rsid w:val="001E4F92"/>
    <w:pPr>
      <w:numPr>
        <w:numId w:val="12"/>
      </w:numPr>
      <w:contextualSpacing/>
    </w:pPr>
  </w:style>
  <w:style w:type="table" w:styleId="Tabellrutnt">
    <w:name w:val="Table Grid"/>
    <w:basedOn w:val="Normaltabell"/>
    <w:uiPriority w:val="5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B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14797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0D7B94"/>
    <w:rPr>
      <w:color w:val="0000FF" w:themeColor="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E4F92"/>
    <w:rPr>
      <w:rFonts w:ascii="Palatino" w:hAnsi="Palatino"/>
      <w:sz w:val="20"/>
    </w:rPr>
  </w:style>
  <w:style w:type="paragraph" w:styleId="Beskrivning">
    <w:name w:val="caption"/>
    <w:basedOn w:val="Normal"/>
    <w:next w:val="Normal"/>
    <w:uiPriority w:val="35"/>
    <w:qFormat/>
    <w:rsid w:val="001E4F92"/>
    <w:pPr>
      <w:framePr w:hSpace="187" w:wrap="around" w:hAnchor="page" w:x="2002" w:y="4066"/>
      <w:spacing w:line="300" w:lineRule="atLeast"/>
    </w:pPr>
    <w:rPr>
      <w:rFonts w:ascii="Arial" w:eastAsiaTheme="majorEastAsia" w:hAnsi="Arial" w:cs="Arial"/>
      <w:color w:val="1F497D" w:themeColor="text2"/>
      <w:sz w:val="24"/>
      <w:szCs w:val="24"/>
      <w:lang w:val="en-GB" w:eastAsia="zh-TW"/>
    </w:rPr>
  </w:style>
  <w:style w:type="character" w:styleId="Kommentarsreferens">
    <w:name w:val="annotation reference"/>
    <w:basedOn w:val="Standardstycketeckensnitt"/>
    <w:unhideWhenUsed/>
    <w:rsid w:val="00265425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4C673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C673F"/>
    <w:rPr>
      <w:rFonts w:ascii="Book Antiqua" w:hAnsi="Book Antiqu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2B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B81"/>
    <w:rPr>
      <w:rFonts w:ascii="Book Antiqua" w:hAnsi="Book Antiqu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6C90"/>
    <w:pPr>
      <w:spacing w:after="0" w:line="240" w:lineRule="auto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SC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5A417"/>
      </a:accent1>
      <a:accent2>
        <a:srgbClr val="919294"/>
      </a:accent2>
      <a:accent3>
        <a:srgbClr val="1098AF"/>
      </a:accent3>
      <a:accent4>
        <a:srgbClr val="A2B236"/>
      </a:accent4>
      <a:accent5>
        <a:srgbClr val="702679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DCA6EE10C0544837FB103A79948EE" ma:contentTypeVersion="4" ma:contentTypeDescription="Skapa ett nytt dokument." ma:contentTypeScope="" ma:versionID="82e4fec2c07c4127ee6e118b67655cab">
  <xsd:schema xmlns:xsd="http://www.w3.org/2001/XMLSchema" xmlns:xs="http://www.w3.org/2001/XMLSchema" xmlns:p="http://schemas.microsoft.com/office/2006/metadata/properties" xmlns:ns2="bedc0e1e-3385-461a-9eaa-48e770fb8710" xmlns:ns3="ff6e3ada-3560-43b1-ab9c-5d7f504f2806" targetNamespace="http://schemas.microsoft.com/office/2006/metadata/properties" ma:root="true" ma:fieldsID="b2f8de7c0e42f4b995286b3351a8ac92" ns2:_="" ns3:_="">
    <xsd:import namespace="bedc0e1e-3385-461a-9eaa-48e770fb8710"/>
    <xsd:import namespace="ff6e3ada-3560-43b1-ab9c-5d7f504f2806"/>
    <xsd:element name="properties">
      <xsd:complexType>
        <xsd:sequence>
          <xsd:element name="documentManagement">
            <xsd:complexType>
              <xsd:all>
                <xsd:element ref="ns2:Process" minOccurs="0"/>
                <xsd:element ref="ns3:Del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c0e1e-3385-461a-9eaa-48e770fb8710" elementFormDefault="qualified">
    <xsd:import namespace="http://schemas.microsoft.com/office/2006/documentManagement/types"/>
    <xsd:import namespace="http://schemas.microsoft.com/office/infopath/2007/PartnerControls"/>
    <xsd:element name="Process" ma:index="8" nillable="true" ma:displayName="Process" ma:list="7e8ef179-13db-4ca5-90db-61b4c3184bba" ma:internalName="Process" ma:showField="Title" ma:web="bedc0e1e-3385-461a-9eaa-48e770fb871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e3ada-3560-43b1-ab9c-5d7f504f2806" elementFormDefault="qualified">
    <xsd:import namespace="http://schemas.microsoft.com/office/2006/documentManagement/types"/>
    <xsd:import namespace="http://schemas.microsoft.com/office/infopath/2007/PartnerControls"/>
    <xsd:element name="Delprocess" ma:index="10" nillable="true" ma:displayName="Delprocess" ma:description="Här skirver du in processer som inte ännu finns med i Processlistan. Nivå 3 och neråt. Ex: 1.1.1" ma:internalName="Delprocess">
      <xsd:simpleType>
        <xsd:restriction base="dms:Text">
          <xsd:maxLength value="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bedc0e1e-3385-461a-9eaa-48e770fb8710">47</Process>
    <Delprocess xmlns="ff6e3ada-3560-43b1-ab9c-5d7f504f28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9924-A411-4FFF-853D-FDF934BDA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c0e1e-3385-461a-9eaa-48e770fb8710"/>
    <ds:schemaRef ds:uri="ff6e3ada-3560-43b1-ab9c-5d7f504f2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065C7-904F-45D9-B471-A346ED6268B6}">
  <ds:schemaRefs>
    <ds:schemaRef ds:uri="http://purl.org/dc/dcmitype/"/>
    <ds:schemaRef ds:uri="http://schemas.microsoft.com/office/2006/documentManagement/types"/>
    <ds:schemaRef ds:uri="bedc0e1e-3385-461a-9eaa-48e770fb8710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ff6e3ada-3560-43b1-ab9c-5d7f504f2806"/>
  </ds:schemaRefs>
</ds:datastoreItem>
</file>

<file path=customXml/itemProps3.xml><?xml version="1.0" encoding="utf-8"?>
<ds:datastoreItem xmlns:ds="http://schemas.openxmlformats.org/officeDocument/2006/customXml" ds:itemID="{A6751D48-092D-4502-ADF5-CAD3610792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E4FAE-75A9-4F87-B3D0-55109669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1901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Holsendahl Sofia PCA/MFI-Ö</dc:creator>
  <cp:lastModifiedBy>Klas Unger</cp:lastModifiedBy>
  <cp:revision>3</cp:revision>
  <cp:lastPrinted>2017-12-20T06:23:00Z</cp:lastPrinted>
  <dcterms:created xsi:type="dcterms:W3CDTF">2019-02-14T09:19:00Z</dcterms:created>
  <dcterms:modified xsi:type="dcterms:W3CDTF">2019-02-14T09:20:00Z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0x010100965DCA6EE10C0544837FB103A79948EE</vt:lpwstr>
  </property>
</Properties>
</file>