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75" w:rsidRPr="003A7E86" w:rsidRDefault="00EC675B" w:rsidP="003A7E86">
      <w:pPr>
        <w:pStyle w:val="titel"/>
      </w:pPr>
      <w:bookmarkStart w:id="0" w:name="_GoBack"/>
      <w:bookmarkEnd w:id="0"/>
      <w:r>
        <w:t>Risken för avbrott i fjärrvärme</w:t>
      </w:r>
    </w:p>
    <w:p w:rsidR="004C1B75" w:rsidRPr="003A7E86" w:rsidRDefault="00EC675B" w:rsidP="003A7E86">
      <w:pPr>
        <w:pStyle w:val="titelfrklaring"/>
      </w:pPr>
      <w:r>
        <w:t>Utredning om fjärrvärmeföretagens ekonomi</w:t>
      </w:r>
      <w:r w:rsidR="003F769D">
        <w:t>ska ställning samt deras förmåga</w:t>
      </w:r>
      <w:r>
        <w:t xml:space="preserve"> att förebygga och åtgärda avbrott</w:t>
      </w:r>
    </w:p>
    <w:p w:rsidR="004C1B75" w:rsidRDefault="00976108">
      <w:pPr>
        <w:pStyle w:val="titelfrklaring"/>
      </w:pPr>
      <w:r>
        <w:t>Dnr 2015-8060</w:t>
      </w:r>
    </w:p>
    <w:p w:rsidR="008E5D75" w:rsidRPr="00491D27" w:rsidRDefault="004C1B75" w:rsidP="00491D27">
      <w:pPr>
        <w:pStyle w:val="tryckort"/>
        <w:spacing w:before="9840"/>
      </w:pPr>
      <w:r>
        <w:br w:type="page"/>
      </w:r>
      <w:r w:rsidR="008E5D75">
        <w:lastRenderedPageBreak/>
        <w:t>Böcker och rapporter utgivna av Statens energimyndighet kan beställas via</w:t>
      </w:r>
      <w:r w:rsidR="00491D27">
        <w:br/>
      </w:r>
      <w:r w:rsidR="00491D27" w:rsidRPr="00491D27">
        <w:t>www.energimyndigheten.se</w:t>
      </w:r>
      <w:r w:rsidR="00491D27" w:rsidRPr="00491D27">
        <w:br/>
      </w:r>
      <w:r w:rsidR="008E5D75" w:rsidRPr="00491D27">
        <w:t>Orderfax: 08-505 933 99</w:t>
      </w:r>
      <w:r w:rsidR="00491D27">
        <w:br/>
      </w:r>
      <w:r w:rsidR="008E5D75" w:rsidRPr="00491D27">
        <w:t>e-post: energimyndigheten@cm.se</w:t>
      </w:r>
    </w:p>
    <w:p w:rsidR="008E5D75" w:rsidRDefault="008E5D75" w:rsidP="008E5D75">
      <w:pPr>
        <w:pStyle w:val="tryckort"/>
      </w:pPr>
      <w:r>
        <w:t>©  Statens energimyndighet</w:t>
      </w:r>
    </w:p>
    <w:p w:rsidR="008E5D75" w:rsidRDefault="008E5D75" w:rsidP="008E5D75">
      <w:pPr>
        <w:pStyle w:val="tryckort"/>
      </w:pPr>
      <w:r>
        <w:t xml:space="preserve">ER </w:t>
      </w:r>
    </w:p>
    <w:p w:rsidR="008E5D75" w:rsidRDefault="008E5D75" w:rsidP="008E5D75">
      <w:pPr>
        <w:pStyle w:val="tryckort"/>
      </w:pPr>
      <w:r>
        <w:t xml:space="preserve">ISSN </w:t>
      </w:r>
      <w:r w:rsidRPr="00A72827">
        <w:t>1403-1892</w:t>
      </w:r>
    </w:p>
    <w:p w:rsidR="004C1B75" w:rsidRDefault="004C1B75" w:rsidP="007C71FD">
      <w:pPr>
        <w:pStyle w:val="Orubrik"/>
      </w:pPr>
      <w:r>
        <w:br w:type="page"/>
      </w:r>
      <w:r>
        <w:lastRenderedPageBreak/>
        <w:t>Förord</w:t>
      </w:r>
    </w:p>
    <w:p w:rsidR="00EB1F8C" w:rsidRDefault="00EB1F8C" w:rsidP="00EB1F8C">
      <w:pPr>
        <w:pStyle w:val="Brdtext"/>
      </w:pPr>
      <w:r w:rsidRPr="00295D8F">
        <w:t>Energimyndigheten är förvaltningsmyndighet för tillförsel och användning av energi och ska verka för att på kort och lång sikt trygga tillgången på el och annan energi. I detta ansvar ligger att göra avvägningar mellan ekonomi, trygghet och miljö i enlighet med energipolitikens mål.</w:t>
      </w:r>
    </w:p>
    <w:p w:rsidR="004C1B75" w:rsidRDefault="00E64562" w:rsidP="00491D27">
      <w:pPr>
        <w:pStyle w:val="Brdtext"/>
      </w:pPr>
      <w:r>
        <w:t>Denna rapport är ett svar på uppdrag nummer 9 i regleringsbrev för</w:t>
      </w:r>
      <w:r w:rsidR="00EB1F8C">
        <w:t xml:space="preserve"> budgetåret 2015 avseende Statens energimyndighet. Den avser därmed att svara på frågor som rör landets fjärrvärmeföretag. Det rör dels deras ekonomiska ställning, och dels deras förmåga att förebygga och åtgärda avbrott.</w:t>
      </w:r>
    </w:p>
    <w:p w:rsidR="00EB1F8C" w:rsidRDefault="00EB1F8C" w:rsidP="00491D27">
      <w:pPr>
        <w:pStyle w:val="Brdtext"/>
      </w:pPr>
      <w:r>
        <w:t>Under arbetets gång har avstämningar gjorts med Energimarknadsinspektionen s</w:t>
      </w:r>
      <w:r w:rsidR="004C4F44">
        <w:t xml:space="preserve">åväl som med branschföreningen Svensk Fjärrvärme. De synpunkter som inkommit har värderats och i huvudsak tagits om hand i denna slutliga version av rapporten. Några specifika synpunkter från Svensk Fjärrvärme redovisas i kapitel </w:t>
      </w:r>
      <w:r w:rsidR="004C4F44">
        <w:fldChar w:fldCharType="begin"/>
      </w:r>
      <w:r w:rsidR="004C4F44">
        <w:instrText xml:space="preserve"> REF _Ref438129933 \r \h </w:instrText>
      </w:r>
      <w:r w:rsidR="004C4F44">
        <w:fldChar w:fldCharType="separate"/>
      </w:r>
      <w:r w:rsidR="000A5878">
        <w:t>9</w:t>
      </w:r>
      <w:r w:rsidR="004C4F44">
        <w:fldChar w:fldCharType="end"/>
      </w:r>
      <w:r w:rsidR="004C4F44">
        <w:t>.</w:t>
      </w:r>
    </w:p>
    <w:p w:rsidR="004C4F44" w:rsidRDefault="004C4F44" w:rsidP="00491D27">
      <w:pPr>
        <w:pStyle w:val="Brdtext"/>
      </w:pPr>
      <w:r>
        <w:t xml:space="preserve">Utredningen har genomförts av Daniel Lundqvist (utredningsledare), och Daniel Friberg (fjärrvärmeföretagens ekonomiska ställning). Därutöver har ytterligare medarbetare bidragit, främst Lars Nilsson och Mikaela Sahlin </w:t>
      </w:r>
      <w:r w:rsidR="009C2ED2">
        <w:t>samt Hans Spets. Ulf Arvidsson, underkonsult till Combitech AB har bidragit med visst underlag rörande</w:t>
      </w:r>
      <w:r w:rsidR="004A0222">
        <w:t xml:space="preserve"> framför allt</w:t>
      </w:r>
      <w:r w:rsidR="009C2ED2">
        <w:t xml:space="preserve"> risk- och sårbarhetsanalyser.</w:t>
      </w:r>
    </w:p>
    <w:p w:rsidR="009C2ED2" w:rsidRDefault="009C2ED2" w:rsidP="00491D27">
      <w:pPr>
        <w:pStyle w:val="Brdtext"/>
      </w:pPr>
    </w:p>
    <w:p w:rsidR="009C2ED2" w:rsidRDefault="009C2ED2" w:rsidP="00491D27">
      <w:pPr>
        <w:pStyle w:val="Brdtext"/>
      </w:pPr>
    </w:p>
    <w:p w:rsidR="009C2ED2" w:rsidRDefault="009C2ED2" w:rsidP="00491D27">
      <w:pPr>
        <w:pStyle w:val="Brdtext"/>
      </w:pPr>
      <w:r>
        <w:t>Eskilstuna, december 2015</w:t>
      </w:r>
    </w:p>
    <w:p w:rsidR="009C2ED2" w:rsidRDefault="009C2ED2" w:rsidP="00491D27">
      <w:pPr>
        <w:pStyle w:val="Brdtext"/>
      </w:pPr>
    </w:p>
    <w:p w:rsidR="009C2ED2" w:rsidRDefault="009C2ED2" w:rsidP="00491D27">
      <w:pPr>
        <w:pStyle w:val="Brdtext"/>
      </w:pPr>
    </w:p>
    <w:p w:rsidR="009C2ED2" w:rsidRDefault="009C2ED2" w:rsidP="00491D27">
      <w:pPr>
        <w:pStyle w:val="Brdtext"/>
      </w:pPr>
    </w:p>
    <w:p w:rsidR="009C2ED2" w:rsidRDefault="009C2ED2" w:rsidP="00491D27">
      <w:pPr>
        <w:pStyle w:val="Brdtext"/>
      </w:pPr>
      <w:r>
        <w:t>Zofia Lublin</w:t>
      </w:r>
    </w:p>
    <w:p w:rsidR="009C2ED2" w:rsidRDefault="009C2ED2" w:rsidP="00491D27">
      <w:pPr>
        <w:pStyle w:val="Brdtext"/>
      </w:pPr>
      <w:r>
        <w:t>Chef Analysavdelningen</w:t>
      </w:r>
      <w:r>
        <w:tab/>
      </w:r>
      <w:r>
        <w:tab/>
        <w:t>Daniel Lundqvist</w:t>
      </w:r>
    </w:p>
    <w:p w:rsidR="009C2ED2" w:rsidRDefault="009C2ED2" w:rsidP="00491D27">
      <w:pPr>
        <w:pStyle w:val="Brdtext"/>
      </w:pPr>
      <w:r>
        <w:tab/>
      </w:r>
      <w:r>
        <w:tab/>
      </w:r>
      <w:r>
        <w:tab/>
        <w:t>Enheten för trygg energiförsörjning</w:t>
      </w:r>
    </w:p>
    <w:p w:rsidR="004C1B75" w:rsidRDefault="004C1B75" w:rsidP="00491D27">
      <w:pPr>
        <w:pStyle w:val="Orubrik"/>
      </w:pPr>
      <w:r>
        <w:rPr>
          <w:bCs/>
        </w:rPr>
        <w:br w:type="page"/>
      </w:r>
      <w:r>
        <w:lastRenderedPageBreak/>
        <w:br w:type="page"/>
      </w:r>
      <w:r>
        <w:lastRenderedPageBreak/>
        <w:t>Innehåll</w:t>
      </w:r>
    </w:p>
    <w:p w:rsidR="00656BB8" w:rsidRDefault="005B7C7C">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438471412" w:history="1">
        <w:r w:rsidR="00656BB8" w:rsidRPr="00401BEB">
          <w:rPr>
            <w:rStyle w:val="Hyperlnk"/>
          </w:rPr>
          <w:t>1</w:t>
        </w:r>
        <w:r w:rsidR="00656BB8" w:rsidRPr="00401BEB">
          <w:rPr>
            <w:rStyle w:val="Hyperlnk"/>
          </w:rPr>
          <w:tab/>
          <w:t>Sammanfattning</w:t>
        </w:r>
        <w:r w:rsidR="00656BB8">
          <w:rPr>
            <w:webHidden/>
          </w:rPr>
          <w:tab/>
        </w:r>
        <w:r w:rsidR="00656BB8">
          <w:rPr>
            <w:webHidden/>
          </w:rPr>
          <w:fldChar w:fldCharType="begin"/>
        </w:r>
        <w:r w:rsidR="00656BB8">
          <w:rPr>
            <w:webHidden/>
          </w:rPr>
          <w:instrText xml:space="preserve"> PAGEREF _Toc438471412 \h </w:instrText>
        </w:r>
        <w:r w:rsidR="00656BB8">
          <w:rPr>
            <w:webHidden/>
          </w:rPr>
        </w:r>
        <w:r w:rsidR="00656BB8">
          <w:rPr>
            <w:webHidden/>
          </w:rPr>
          <w:fldChar w:fldCharType="separate"/>
        </w:r>
        <w:r w:rsidR="00656BB8">
          <w:rPr>
            <w:webHidden/>
          </w:rPr>
          <w:t>7</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3" w:history="1">
        <w:r w:rsidR="00656BB8" w:rsidRPr="00401BEB">
          <w:rPr>
            <w:rStyle w:val="Hyperlnk"/>
          </w:rPr>
          <w:t>Fjärrvärmeföretagens ekonomiska ställning</w:t>
        </w:r>
        <w:r w:rsidR="00656BB8">
          <w:rPr>
            <w:webHidden/>
          </w:rPr>
          <w:tab/>
        </w:r>
        <w:r w:rsidR="00656BB8">
          <w:rPr>
            <w:webHidden/>
          </w:rPr>
          <w:fldChar w:fldCharType="begin"/>
        </w:r>
        <w:r w:rsidR="00656BB8">
          <w:rPr>
            <w:webHidden/>
          </w:rPr>
          <w:instrText xml:space="preserve"> PAGEREF _Toc438471413 \h </w:instrText>
        </w:r>
        <w:r w:rsidR="00656BB8">
          <w:rPr>
            <w:webHidden/>
          </w:rPr>
        </w:r>
        <w:r w:rsidR="00656BB8">
          <w:rPr>
            <w:webHidden/>
          </w:rPr>
          <w:fldChar w:fldCharType="separate"/>
        </w:r>
        <w:r w:rsidR="00656BB8">
          <w:rPr>
            <w:webHidden/>
          </w:rPr>
          <w:t>7</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4" w:history="1">
        <w:r w:rsidR="00656BB8" w:rsidRPr="00401BEB">
          <w:rPr>
            <w:rStyle w:val="Hyperlnk"/>
          </w:rPr>
          <w:t>Förebygga och åtgärda avbrott</w:t>
        </w:r>
        <w:r w:rsidR="00656BB8">
          <w:rPr>
            <w:webHidden/>
          </w:rPr>
          <w:tab/>
        </w:r>
        <w:r w:rsidR="00656BB8">
          <w:rPr>
            <w:webHidden/>
          </w:rPr>
          <w:fldChar w:fldCharType="begin"/>
        </w:r>
        <w:r w:rsidR="00656BB8">
          <w:rPr>
            <w:webHidden/>
          </w:rPr>
          <w:instrText xml:space="preserve"> PAGEREF _Toc438471414 \h </w:instrText>
        </w:r>
        <w:r w:rsidR="00656BB8">
          <w:rPr>
            <w:webHidden/>
          </w:rPr>
        </w:r>
        <w:r w:rsidR="00656BB8">
          <w:rPr>
            <w:webHidden/>
          </w:rPr>
          <w:fldChar w:fldCharType="separate"/>
        </w:r>
        <w:r w:rsidR="00656BB8">
          <w:rPr>
            <w:webHidden/>
          </w:rPr>
          <w:t>8</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5" w:history="1">
        <w:r w:rsidR="00656BB8" w:rsidRPr="00401BEB">
          <w:rPr>
            <w:rStyle w:val="Hyperlnk"/>
          </w:rPr>
          <w:t>Energimyndigheten rekommenderar utredning</w:t>
        </w:r>
        <w:r w:rsidR="00656BB8">
          <w:rPr>
            <w:webHidden/>
          </w:rPr>
          <w:tab/>
        </w:r>
        <w:r w:rsidR="00656BB8">
          <w:rPr>
            <w:webHidden/>
          </w:rPr>
          <w:fldChar w:fldCharType="begin"/>
        </w:r>
        <w:r w:rsidR="00656BB8">
          <w:rPr>
            <w:webHidden/>
          </w:rPr>
          <w:instrText xml:space="preserve"> PAGEREF _Toc438471415 \h </w:instrText>
        </w:r>
        <w:r w:rsidR="00656BB8">
          <w:rPr>
            <w:webHidden/>
          </w:rPr>
        </w:r>
        <w:r w:rsidR="00656BB8">
          <w:rPr>
            <w:webHidden/>
          </w:rPr>
          <w:fldChar w:fldCharType="separate"/>
        </w:r>
        <w:r w:rsidR="00656BB8">
          <w:rPr>
            <w:webHidden/>
          </w:rPr>
          <w:t>8</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16" w:history="1">
        <w:r w:rsidR="00656BB8" w:rsidRPr="00401BEB">
          <w:rPr>
            <w:rStyle w:val="Hyperlnk"/>
          </w:rPr>
          <w:t>2</w:t>
        </w:r>
        <w:r w:rsidR="00656BB8" w:rsidRPr="00401BEB">
          <w:rPr>
            <w:rStyle w:val="Hyperlnk"/>
          </w:rPr>
          <w:tab/>
          <w:t>Bakgrund</w:t>
        </w:r>
        <w:r w:rsidR="00656BB8">
          <w:rPr>
            <w:webHidden/>
          </w:rPr>
          <w:tab/>
        </w:r>
        <w:r w:rsidR="00656BB8">
          <w:rPr>
            <w:webHidden/>
          </w:rPr>
          <w:fldChar w:fldCharType="begin"/>
        </w:r>
        <w:r w:rsidR="00656BB8">
          <w:rPr>
            <w:webHidden/>
          </w:rPr>
          <w:instrText xml:space="preserve"> PAGEREF _Toc438471416 \h </w:instrText>
        </w:r>
        <w:r w:rsidR="00656BB8">
          <w:rPr>
            <w:webHidden/>
          </w:rPr>
        </w:r>
        <w:r w:rsidR="00656BB8">
          <w:rPr>
            <w:webHidden/>
          </w:rPr>
          <w:fldChar w:fldCharType="separate"/>
        </w:r>
        <w:r w:rsidR="00656BB8">
          <w:rPr>
            <w:webHidden/>
          </w:rPr>
          <w:t>9</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7" w:history="1">
        <w:r w:rsidR="00656BB8" w:rsidRPr="00401BEB">
          <w:rPr>
            <w:rStyle w:val="Hyperlnk"/>
          </w:rPr>
          <w:t>2.1</w:t>
        </w:r>
        <w:r w:rsidR="00656BB8" w:rsidRPr="00401BEB">
          <w:rPr>
            <w:rStyle w:val="Hyperlnk"/>
          </w:rPr>
          <w:tab/>
          <w:t>Uppdraget</w:t>
        </w:r>
        <w:r w:rsidR="00656BB8">
          <w:rPr>
            <w:webHidden/>
          </w:rPr>
          <w:tab/>
        </w:r>
        <w:r w:rsidR="00656BB8">
          <w:rPr>
            <w:webHidden/>
          </w:rPr>
          <w:fldChar w:fldCharType="begin"/>
        </w:r>
        <w:r w:rsidR="00656BB8">
          <w:rPr>
            <w:webHidden/>
          </w:rPr>
          <w:instrText xml:space="preserve"> PAGEREF _Toc438471417 \h </w:instrText>
        </w:r>
        <w:r w:rsidR="00656BB8">
          <w:rPr>
            <w:webHidden/>
          </w:rPr>
        </w:r>
        <w:r w:rsidR="00656BB8">
          <w:rPr>
            <w:webHidden/>
          </w:rPr>
          <w:fldChar w:fldCharType="separate"/>
        </w:r>
        <w:r w:rsidR="00656BB8">
          <w:rPr>
            <w:webHidden/>
          </w:rPr>
          <w:t>9</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8" w:history="1">
        <w:r w:rsidR="00656BB8" w:rsidRPr="00401BEB">
          <w:rPr>
            <w:rStyle w:val="Hyperlnk"/>
          </w:rPr>
          <w:t>2.2</w:t>
        </w:r>
        <w:r w:rsidR="00656BB8" w:rsidRPr="00401BEB">
          <w:rPr>
            <w:rStyle w:val="Hyperlnk"/>
          </w:rPr>
          <w:tab/>
          <w:t>Avgränsningar och definition</w:t>
        </w:r>
        <w:r w:rsidR="00656BB8">
          <w:rPr>
            <w:webHidden/>
          </w:rPr>
          <w:tab/>
        </w:r>
        <w:r w:rsidR="00656BB8">
          <w:rPr>
            <w:webHidden/>
          </w:rPr>
          <w:fldChar w:fldCharType="begin"/>
        </w:r>
        <w:r w:rsidR="00656BB8">
          <w:rPr>
            <w:webHidden/>
          </w:rPr>
          <w:instrText xml:space="preserve"> PAGEREF _Toc438471418 \h </w:instrText>
        </w:r>
        <w:r w:rsidR="00656BB8">
          <w:rPr>
            <w:webHidden/>
          </w:rPr>
        </w:r>
        <w:r w:rsidR="00656BB8">
          <w:rPr>
            <w:webHidden/>
          </w:rPr>
          <w:fldChar w:fldCharType="separate"/>
        </w:r>
        <w:r w:rsidR="00656BB8">
          <w:rPr>
            <w:webHidden/>
          </w:rPr>
          <w:t>9</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19" w:history="1">
        <w:r w:rsidR="00656BB8" w:rsidRPr="00401BEB">
          <w:rPr>
            <w:rStyle w:val="Hyperlnk"/>
          </w:rPr>
          <w:t>2.3</w:t>
        </w:r>
        <w:r w:rsidR="00656BB8" w:rsidRPr="00401BEB">
          <w:rPr>
            <w:rStyle w:val="Hyperlnk"/>
          </w:rPr>
          <w:tab/>
          <w:t>Energimyndighetens roller och ansvar</w:t>
        </w:r>
        <w:r w:rsidR="00656BB8">
          <w:rPr>
            <w:webHidden/>
          </w:rPr>
          <w:tab/>
        </w:r>
        <w:r w:rsidR="00656BB8">
          <w:rPr>
            <w:webHidden/>
          </w:rPr>
          <w:fldChar w:fldCharType="begin"/>
        </w:r>
        <w:r w:rsidR="00656BB8">
          <w:rPr>
            <w:webHidden/>
          </w:rPr>
          <w:instrText xml:space="preserve"> PAGEREF _Toc438471419 \h </w:instrText>
        </w:r>
        <w:r w:rsidR="00656BB8">
          <w:rPr>
            <w:webHidden/>
          </w:rPr>
        </w:r>
        <w:r w:rsidR="00656BB8">
          <w:rPr>
            <w:webHidden/>
          </w:rPr>
          <w:fldChar w:fldCharType="separate"/>
        </w:r>
        <w:r w:rsidR="00656BB8">
          <w:rPr>
            <w:webHidden/>
          </w:rPr>
          <w:t>9</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0" w:history="1">
        <w:r w:rsidR="00656BB8" w:rsidRPr="00401BEB">
          <w:rPr>
            <w:rStyle w:val="Hyperlnk"/>
          </w:rPr>
          <w:t>2.4</w:t>
        </w:r>
        <w:r w:rsidR="00656BB8" w:rsidRPr="00401BEB">
          <w:rPr>
            <w:rStyle w:val="Hyperlnk"/>
          </w:rPr>
          <w:tab/>
          <w:t>Metod</w:t>
        </w:r>
        <w:r w:rsidR="00656BB8">
          <w:rPr>
            <w:webHidden/>
          </w:rPr>
          <w:tab/>
        </w:r>
        <w:r w:rsidR="00656BB8">
          <w:rPr>
            <w:webHidden/>
          </w:rPr>
          <w:fldChar w:fldCharType="begin"/>
        </w:r>
        <w:r w:rsidR="00656BB8">
          <w:rPr>
            <w:webHidden/>
          </w:rPr>
          <w:instrText xml:space="preserve"> PAGEREF _Toc438471420 \h </w:instrText>
        </w:r>
        <w:r w:rsidR="00656BB8">
          <w:rPr>
            <w:webHidden/>
          </w:rPr>
        </w:r>
        <w:r w:rsidR="00656BB8">
          <w:rPr>
            <w:webHidden/>
          </w:rPr>
          <w:fldChar w:fldCharType="separate"/>
        </w:r>
        <w:r w:rsidR="00656BB8">
          <w:rPr>
            <w:webHidden/>
          </w:rPr>
          <w:t>10</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21" w:history="1">
        <w:r w:rsidR="00656BB8" w:rsidRPr="00401BEB">
          <w:rPr>
            <w:rStyle w:val="Hyperlnk"/>
          </w:rPr>
          <w:t>3</w:t>
        </w:r>
        <w:r w:rsidR="00656BB8" w:rsidRPr="00401BEB">
          <w:rPr>
            <w:rStyle w:val="Hyperlnk"/>
          </w:rPr>
          <w:tab/>
          <w:t>Trygg fjärrvärmeförsörjning</w:t>
        </w:r>
        <w:r w:rsidR="00656BB8">
          <w:rPr>
            <w:webHidden/>
          </w:rPr>
          <w:tab/>
        </w:r>
        <w:r w:rsidR="00656BB8">
          <w:rPr>
            <w:webHidden/>
          </w:rPr>
          <w:fldChar w:fldCharType="begin"/>
        </w:r>
        <w:r w:rsidR="00656BB8">
          <w:rPr>
            <w:webHidden/>
          </w:rPr>
          <w:instrText xml:space="preserve"> PAGEREF _Toc438471421 \h </w:instrText>
        </w:r>
        <w:r w:rsidR="00656BB8">
          <w:rPr>
            <w:webHidden/>
          </w:rPr>
        </w:r>
        <w:r w:rsidR="00656BB8">
          <w:rPr>
            <w:webHidden/>
          </w:rPr>
          <w:fldChar w:fldCharType="separate"/>
        </w:r>
        <w:r w:rsidR="00656BB8">
          <w:rPr>
            <w:webHidden/>
          </w:rPr>
          <w:t>12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2" w:history="1">
        <w:r w:rsidR="00656BB8" w:rsidRPr="00401BEB">
          <w:rPr>
            <w:rStyle w:val="Hyperlnk"/>
          </w:rPr>
          <w:t>3.1</w:t>
        </w:r>
        <w:r w:rsidR="00656BB8" w:rsidRPr="00401BEB">
          <w:rPr>
            <w:rStyle w:val="Hyperlnk"/>
          </w:rPr>
          <w:tab/>
          <w:t>Fjärrvärmeförsörjningen är samhällsviktig</w:t>
        </w:r>
        <w:r w:rsidR="00656BB8">
          <w:rPr>
            <w:webHidden/>
          </w:rPr>
          <w:tab/>
        </w:r>
        <w:r w:rsidR="00656BB8">
          <w:rPr>
            <w:webHidden/>
          </w:rPr>
          <w:fldChar w:fldCharType="begin"/>
        </w:r>
        <w:r w:rsidR="00656BB8">
          <w:rPr>
            <w:webHidden/>
          </w:rPr>
          <w:instrText xml:space="preserve"> PAGEREF _Toc438471422 \h </w:instrText>
        </w:r>
        <w:r w:rsidR="00656BB8">
          <w:rPr>
            <w:webHidden/>
          </w:rPr>
        </w:r>
        <w:r w:rsidR="00656BB8">
          <w:rPr>
            <w:webHidden/>
          </w:rPr>
          <w:fldChar w:fldCharType="separate"/>
        </w:r>
        <w:r w:rsidR="00656BB8">
          <w:rPr>
            <w:webHidden/>
          </w:rPr>
          <w:t>12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3" w:history="1">
        <w:r w:rsidR="00656BB8" w:rsidRPr="00401BEB">
          <w:rPr>
            <w:rStyle w:val="Hyperlnk"/>
          </w:rPr>
          <w:t>3.2</w:t>
        </w:r>
        <w:r w:rsidR="00656BB8" w:rsidRPr="00401BEB">
          <w:rPr>
            <w:rStyle w:val="Hyperlnk"/>
          </w:rPr>
          <w:tab/>
          <w:t>Målet är en trygg energiförsörjning</w:t>
        </w:r>
        <w:r w:rsidR="00656BB8">
          <w:rPr>
            <w:webHidden/>
          </w:rPr>
          <w:tab/>
        </w:r>
        <w:r w:rsidR="00656BB8">
          <w:rPr>
            <w:webHidden/>
          </w:rPr>
          <w:fldChar w:fldCharType="begin"/>
        </w:r>
        <w:r w:rsidR="00656BB8">
          <w:rPr>
            <w:webHidden/>
          </w:rPr>
          <w:instrText xml:space="preserve"> PAGEREF _Toc438471423 \h </w:instrText>
        </w:r>
        <w:r w:rsidR="00656BB8">
          <w:rPr>
            <w:webHidden/>
          </w:rPr>
        </w:r>
        <w:r w:rsidR="00656BB8">
          <w:rPr>
            <w:webHidden/>
          </w:rPr>
          <w:fldChar w:fldCharType="separate"/>
        </w:r>
        <w:r w:rsidR="00656BB8">
          <w:rPr>
            <w:webHidden/>
          </w:rPr>
          <w:t>12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4" w:history="1">
        <w:r w:rsidR="00656BB8" w:rsidRPr="00401BEB">
          <w:rPr>
            <w:rStyle w:val="Hyperlnk"/>
            <w:lang w:eastAsia="en-US"/>
          </w:rPr>
          <w:t>3.3</w:t>
        </w:r>
        <w:r w:rsidR="00656BB8" w:rsidRPr="00401BEB">
          <w:rPr>
            <w:rStyle w:val="Hyperlnk"/>
            <w:lang w:eastAsia="en-US"/>
          </w:rPr>
          <w:tab/>
          <w:t>Kort om befintliga krav på trygg energiförsörjning</w:t>
        </w:r>
        <w:r w:rsidR="00656BB8">
          <w:rPr>
            <w:webHidden/>
          </w:rPr>
          <w:tab/>
        </w:r>
        <w:r w:rsidR="00656BB8">
          <w:rPr>
            <w:webHidden/>
          </w:rPr>
          <w:fldChar w:fldCharType="begin"/>
        </w:r>
        <w:r w:rsidR="00656BB8">
          <w:rPr>
            <w:webHidden/>
          </w:rPr>
          <w:instrText xml:space="preserve"> PAGEREF _Toc438471424 \h </w:instrText>
        </w:r>
        <w:r w:rsidR="00656BB8">
          <w:rPr>
            <w:webHidden/>
          </w:rPr>
        </w:r>
        <w:r w:rsidR="00656BB8">
          <w:rPr>
            <w:webHidden/>
          </w:rPr>
          <w:fldChar w:fldCharType="separate"/>
        </w:r>
        <w:r w:rsidR="00656BB8">
          <w:rPr>
            <w:webHidden/>
          </w:rPr>
          <w:t>15</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5" w:history="1">
        <w:r w:rsidR="00656BB8" w:rsidRPr="00401BEB">
          <w:rPr>
            <w:rStyle w:val="Hyperlnk"/>
          </w:rPr>
          <w:t>3.4</w:t>
        </w:r>
        <w:r w:rsidR="00656BB8" w:rsidRPr="00401BEB">
          <w:rPr>
            <w:rStyle w:val="Hyperlnk"/>
          </w:rPr>
          <w:tab/>
          <w:t>Kort om riskbilden och krisberedskapsförmåga i fjärrvärmeförsörjningen</w:t>
        </w:r>
        <w:r w:rsidR="00656BB8">
          <w:rPr>
            <w:webHidden/>
          </w:rPr>
          <w:tab/>
        </w:r>
        <w:r w:rsidR="00656BB8">
          <w:rPr>
            <w:webHidden/>
          </w:rPr>
          <w:fldChar w:fldCharType="begin"/>
        </w:r>
        <w:r w:rsidR="00656BB8">
          <w:rPr>
            <w:webHidden/>
          </w:rPr>
          <w:instrText xml:space="preserve"> PAGEREF _Toc438471425 \h </w:instrText>
        </w:r>
        <w:r w:rsidR="00656BB8">
          <w:rPr>
            <w:webHidden/>
          </w:rPr>
        </w:r>
        <w:r w:rsidR="00656BB8">
          <w:rPr>
            <w:webHidden/>
          </w:rPr>
          <w:fldChar w:fldCharType="separate"/>
        </w:r>
        <w:r w:rsidR="00656BB8">
          <w:rPr>
            <w:webHidden/>
          </w:rPr>
          <w:t>18</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26" w:history="1">
        <w:r w:rsidR="00656BB8" w:rsidRPr="00401BEB">
          <w:rPr>
            <w:rStyle w:val="Hyperlnk"/>
          </w:rPr>
          <w:t>4</w:t>
        </w:r>
        <w:r w:rsidR="00656BB8" w:rsidRPr="00401BEB">
          <w:rPr>
            <w:rStyle w:val="Hyperlnk"/>
          </w:rPr>
          <w:tab/>
          <w:t>Fjärrvärmeföretagens ekonomiska ställning</w:t>
        </w:r>
        <w:r w:rsidR="00656BB8">
          <w:rPr>
            <w:webHidden/>
          </w:rPr>
          <w:tab/>
        </w:r>
        <w:r w:rsidR="00656BB8">
          <w:rPr>
            <w:webHidden/>
          </w:rPr>
          <w:fldChar w:fldCharType="begin"/>
        </w:r>
        <w:r w:rsidR="00656BB8">
          <w:rPr>
            <w:webHidden/>
          </w:rPr>
          <w:instrText xml:space="preserve"> PAGEREF _Toc438471426 \h </w:instrText>
        </w:r>
        <w:r w:rsidR="00656BB8">
          <w:rPr>
            <w:webHidden/>
          </w:rPr>
        </w:r>
        <w:r w:rsidR="00656BB8">
          <w:rPr>
            <w:webHidden/>
          </w:rPr>
          <w:fldChar w:fldCharType="separate"/>
        </w:r>
        <w:r w:rsidR="00656BB8">
          <w:rPr>
            <w:webHidden/>
          </w:rPr>
          <w:t>22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7" w:history="1">
        <w:r w:rsidR="00656BB8" w:rsidRPr="00401BEB">
          <w:rPr>
            <w:rStyle w:val="Hyperlnk"/>
          </w:rPr>
          <w:t>4.1</w:t>
        </w:r>
        <w:r w:rsidR="00656BB8" w:rsidRPr="00401BEB">
          <w:rPr>
            <w:rStyle w:val="Hyperlnk"/>
          </w:rPr>
          <w:tab/>
          <w:t>Nyckeltal och ekonomiskt läge för Fjärrvärmebranschen som helhet</w:t>
        </w:r>
        <w:r w:rsidR="00656BB8">
          <w:rPr>
            <w:webHidden/>
          </w:rPr>
          <w:tab/>
        </w:r>
        <w:r w:rsidR="00656BB8">
          <w:rPr>
            <w:webHidden/>
          </w:rPr>
          <w:fldChar w:fldCharType="begin"/>
        </w:r>
        <w:r w:rsidR="00656BB8">
          <w:rPr>
            <w:webHidden/>
          </w:rPr>
          <w:instrText xml:space="preserve"> PAGEREF _Toc438471427 \h </w:instrText>
        </w:r>
        <w:r w:rsidR="00656BB8">
          <w:rPr>
            <w:webHidden/>
          </w:rPr>
        </w:r>
        <w:r w:rsidR="00656BB8">
          <w:rPr>
            <w:webHidden/>
          </w:rPr>
          <w:fldChar w:fldCharType="separate"/>
        </w:r>
        <w:r w:rsidR="00656BB8">
          <w:rPr>
            <w:webHidden/>
          </w:rPr>
          <w:t>22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8" w:history="1">
        <w:r w:rsidR="00656BB8" w:rsidRPr="00401BEB">
          <w:rPr>
            <w:rStyle w:val="Hyperlnk"/>
          </w:rPr>
          <w:t>4.2</w:t>
        </w:r>
        <w:r w:rsidR="00656BB8" w:rsidRPr="00401BEB">
          <w:rPr>
            <w:rStyle w:val="Hyperlnk"/>
          </w:rPr>
          <w:tab/>
          <w:t>Soliditet</w:t>
        </w:r>
        <w:r w:rsidR="00656BB8">
          <w:rPr>
            <w:webHidden/>
          </w:rPr>
          <w:tab/>
        </w:r>
        <w:r w:rsidR="00656BB8">
          <w:rPr>
            <w:webHidden/>
          </w:rPr>
          <w:fldChar w:fldCharType="begin"/>
        </w:r>
        <w:r w:rsidR="00656BB8">
          <w:rPr>
            <w:webHidden/>
          </w:rPr>
          <w:instrText xml:space="preserve"> PAGEREF _Toc438471428 \h </w:instrText>
        </w:r>
        <w:r w:rsidR="00656BB8">
          <w:rPr>
            <w:webHidden/>
          </w:rPr>
        </w:r>
        <w:r w:rsidR="00656BB8">
          <w:rPr>
            <w:webHidden/>
          </w:rPr>
          <w:fldChar w:fldCharType="separate"/>
        </w:r>
        <w:r w:rsidR="00656BB8">
          <w:rPr>
            <w:webHidden/>
          </w:rPr>
          <w:t>22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29" w:history="1">
        <w:r w:rsidR="00656BB8" w:rsidRPr="00401BEB">
          <w:rPr>
            <w:rStyle w:val="Hyperlnk"/>
          </w:rPr>
          <w:t>4.3</w:t>
        </w:r>
        <w:r w:rsidR="00656BB8" w:rsidRPr="00401BEB">
          <w:rPr>
            <w:rStyle w:val="Hyperlnk"/>
          </w:rPr>
          <w:tab/>
          <w:t>Kassalikviditet</w:t>
        </w:r>
        <w:r w:rsidR="00656BB8">
          <w:rPr>
            <w:webHidden/>
          </w:rPr>
          <w:tab/>
        </w:r>
        <w:r w:rsidR="00656BB8">
          <w:rPr>
            <w:webHidden/>
          </w:rPr>
          <w:fldChar w:fldCharType="begin"/>
        </w:r>
        <w:r w:rsidR="00656BB8">
          <w:rPr>
            <w:webHidden/>
          </w:rPr>
          <w:instrText xml:space="preserve"> PAGEREF _Toc438471429 \h </w:instrText>
        </w:r>
        <w:r w:rsidR="00656BB8">
          <w:rPr>
            <w:webHidden/>
          </w:rPr>
        </w:r>
        <w:r w:rsidR="00656BB8">
          <w:rPr>
            <w:webHidden/>
          </w:rPr>
          <w:fldChar w:fldCharType="separate"/>
        </w:r>
        <w:r w:rsidR="00656BB8">
          <w:rPr>
            <w:webHidden/>
          </w:rPr>
          <w:t>24</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0" w:history="1">
        <w:r w:rsidR="00656BB8" w:rsidRPr="00401BEB">
          <w:rPr>
            <w:rStyle w:val="Hyperlnk"/>
          </w:rPr>
          <w:t>4.4</w:t>
        </w:r>
        <w:r w:rsidR="00656BB8" w:rsidRPr="00401BEB">
          <w:rPr>
            <w:rStyle w:val="Hyperlnk"/>
          </w:rPr>
          <w:tab/>
          <w:t>Vinstmarginal och rörelsemarginal</w:t>
        </w:r>
        <w:r w:rsidR="00656BB8">
          <w:rPr>
            <w:webHidden/>
          </w:rPr>
          <w:tab/>
        </w:r>
        <w:r w:rsidR="00656BB8">
          <w:rPr>
            <w:webHidden/>
          </w:rPr>
          <w:fldChar w:fldCharType="begin"/>
        </w:r>
        <w:r w:rsidR="00656BB8">
          <w:rPr>
            <w:webHidden/>
          </w:rPr>
          <w:instrText xml:space="preserve"> PAGEREF _Toc438471430 \h </w:instrText>
        </w:r>
        <w:r w:rsidR="00656BB8">
          <w:rPr>
            <w:webHidden/>
          </w:rPr>
        </w:r>
        <w:r w:rsidR="00656BB8">
          <w:rPr>
            <w:webHidden/>
          </w:rPr>
          <w:fldChar w:fldCharType="separate"/>
        </w:r>
        <w:r w:rsidR="00656BB8">
          <w:rPr>
            <w:webHidden/>
          </w:rPr>
          <w:t>25</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1" w:history="1">
        <w:r w:rsidR="00656BB8" w:rsidRPr="00401BEB">
          <w:rPr>
            <w:rStyle w:val="Hyperlnk"/>
          </w:rPr>
          <w:t>4.5</w:t>
        </w:r>
        <w:r w:rsidR="00656BB8" w:rsidRPr="00401BEB">
          <w:rPr>
            <w:rStyle w:val="Hyperlnk"/>
          </w:rPr>
          <w:tab/>
          <w:t>Avkastning på eget och sysselsatt kapital</w:t>
        </w:r>
        <w:r w:rsidR="00656BB8">
          <w:rPr>
            <w:webHidden/>
          </w:rPr>
          <w:tab/>
        </w:r>
        <w:r w:rsidR="00656BB8">
          <w:rPr>
            <w:webHidden/>
          </w:rPr>
          <w:fldChar w:fldCharType="begin"/>
        </w:r>
        <w:r w:rsidR="00656BB8">
          <w:rPr>
            <w:webHidden/>
          </w:rPr>
          <w:instrText xml:space="preserve"> PAGEREF _Toc438471431 \h </w:instrText>
        </w:r>
        <w:r w:rsidR="00656BB8">
          <w:rPr>
            <w:webHidden/>
          </w:rPr>
        </w:r>
        <w:r w:rsidR="00656BB8">
          <w:rPr>
            <w:webHidden/>
          </w:rPr>
          <w:fldChar w:fldCharType="separate"/>
        </w:r>
        <w:r w:rsidR="00656BB8">
          <w:rPr>
            <w:webHidden/>
          </w:rPr>
          <w:t>26</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2" w:history="1">
        <w:r w:rsidR="00656BB8" w:rsidRPr="00401BEB">
          <w:rPr>
            <w:rStyle w:val="Hyperlnk"/>
          </w:rPr>
          <w:t>4.6</w:t>
        </w:r>
        <w:r w:rsidR="00656BB8" w:rsidRPr="00401BEB">
          <w:rPr>
            <w:rStyle w:val="Hyperlnk"/>
          </w:rPr>
          <w:tab/>
          <w:t>Långsiktig betalningsförmåga för enskilda företag</w:t>
        </w:r>
        <w:r w:rsidR="00656BB8">
          <w:rPr>
            <w:webHidden/>
          </w:rPr>
          <w:tab/>
        </w:r>
        <w:r w:rsidR="00656BB8">
          <w:rPr>
            <w:webHidden/>
          </w:rPr>
          <w:fldChar w:fldCharType="begin"/>
        </w:r>
        <w:r w:rsidR="00656BB8">
          <w:rPr>
            <w:webHidden/>
          </w:rPr>
          <w:instrText xml:space="preserve"> PAGEREF _Toc438471432 \h </w:instrText>
        </w:r>
        <w:r w:rsidR="00656BB8">
          <w:rPr>
            <w:webHidden/>
          </w:rPr>
        </w:r>
        <w:r w:rsidR="00656BB8">
          <w:rPr>
            <w:webHidden/>
          </w:rPr>
          <w:fldChar w:fldCharType="separate"/>
        </w:r>
        <w:r w:rsidR="00656BB8">
          <w:rPr>
            <w:webHidden/>
          </w:rPr>
          <w:t>27</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3" w:history="1">
        <w:r w:rsidR="00656BB8" w:rsidRPr="00401BEB">
          <w:rPr>
            <w:rStyle w:val="Hyperlnk"/>
          </w:rPr>
          <w:t>4.7</w:t>
        </w:r>
        <w:r w:rsidR="00656BB8" w:rsidRPr="00401BEB">
          <w:rPr>
            <w:rStyle w:val="Hyperlnk"/>
          </w:rPr>
          <w:tab/>
          <w:t>Fjärrvärmens ekonomiska utmaningar</w:t>
        </w:r>
        <w:r w:rsidR="00656BB8">
          <w:rPr>
            <w:webHidden/>
          </w:rPr>
          <w:tab/>
        </w:r>
        <w:r w:rsidR="00656BB8">
          <w:rPr>
            <w:webHidden/>
          </w:rPr>
          <w:fldChar w:fldCharType="begin"/>
        </w:r>
        <w:r w:rsidR="00656BB8">
          <w:rPr>
            <w:webHidden/>
          </w:rPr>
          <w:instrText xml:space="preserve"> PAGEREF _Toc438471433 \h </w:instrText>
        </w:r>
        <w:r w:rsidR="00656BB8">
          <w:rPr>
            <w:webHidden/>
          </w:rPr>
        </w:r>
        <w:r w:rsidR="00656BB8">
          <w:rPr>
            <w:webHidden/>
          </w:rPr>
          <w:fldChar w:fldCharType="separate"/>
        </w:r>
        <w:r w:rsidR="00656BB8">
          <w:rPr>
            <w:webHidden/>
          </w:rPr>
          <w:t>28</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4" w:history="1">
        <w:r w:rsidR="00656BB8" w:rsidRPr="00401BEB">
          <w:rPr>
            <w:rStyle w:val="Hyperlnk"/>
          </w:rPr>
          <w:t>4.8</w:t>
        </w:r>
        <w:r w:rsidR="00656BB8" w:rsidRPr="00401BEB">
          <w:rPr>
            <w:rStyle w:val="Hyperlnk"/>
          </w:rPr>
          <w:tab/>
          <w:t>Fjärrvärmens möjligheter</w:t>
        </w:r>
        <w:r w:rsidR="00656BB8">
          <w:rPr>
            <w:webHidden/>
          </w:rPr>
          <w:tab/>
        </w:r>
        <w:r w:rsidR="00656BB8">
          <w:rPr>
            <w:webHidden/>
          </w:rPr>
          <w:fldChar w:fldCharType="begin"/>
        </w:r>
        <w:r w:rsidR="00656BB8">
          <w:rPr>
            <w:webHidden/>
          </w:rPr>
          <w:instrText xml:space="preserve"> PAGEREF _Toc438471434 \h </w:instrText>
        </w:r>
        <w:r w:rsidR="00656BB8">
          <w:rPr>
            <w:webHidden/>
          </w:rPr>
        </w:r>
        <w:r w:rsidR="00656BB8">
          <w:rPr>
            <w:webHidden/>
          </w:rPr>
          <w:fldChar w:fldCharType="separate"/>
        </w:r>
        <w:r w:rsidR="00656BB8">
          <w:rPr>
            <w:webHidden/>
          </w:rPr>
          <w:t>33</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5" w:history="1">
        <w:r w:rsidR="00656BB8" w:rsidRPr="00401BEB">
          <w:rPr>
            <w:rStyle w:val="Hyperlnk"/>
          </w:rPr>
          <w:t>4.9</w:t>
        </w:r>
        <w:r w:rsidR="00656BB8" w:rsidRPr="00401BEB">
          <w:rPr>
            <w:rStyle w:val="Hyperlnk"/>
          </w:rPr>
          <w:tab/>
          <w:t>Diskussion</w:t>
        </w:r>
        <w:r w:rsidR="00656BB8">
          <w:rPr>
            <w:webHidden/>
          </w:rPr>
          <w:tab/>
        </w:r>
        <w:r w:rsidR="00656BB8">
          <w:rPr>
            <w:webHidden/>
          </w:rPr>
          <w:fldChar w:fldCharType="begin"/>
        </w:r>
        <w:r w:rsidR="00656BB8">
          <w:rPr>
            <w:webHidden/>
          </w:rPr>
          <w:instrText xml:space="preserve"> PAGEREF _Toc438471435 \h </w:instrText>
        </w:r>
        <w:r w:rsidR="00656BB8">
          <w:rPr>
            <w:webHidden/>
          </w:rPr>
        </w:r>
        <w:r w:rsidR="00656BB8">
          <w:rPr>
            <w:webHidden/>
          </w:rPr>
          <w:fldChar w:fldCharType="separate"/>
        </w:r>
        <w:r w:rsidR="00656BB8">
          <w:rPr>
            <w:webHidden/>
          </w:rPr>
          <w:t>37</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36" w:history="1">
        <w:r w:rsidR="00656BB8" w:rsidRPr="00401BEB">
          <w:rPr>
            <w:rStyle w:val="Hyperlnk"/>
          </w:rPr>
          <w:t>5</w:t>
        </w:r>
        <w:r w:rsidR="00656BB8" w:rsidRPr="00401BEB">
          <w:rPr>
            <w:rStyle w:val="Hyperlnk"/>
          </w:rPr>
          <w:tab/>
          <w:t>Förmågan att förebygga och hantera störningar i fjärrvärmeförsörjningen</w:t>
        </w:r>
        <w:r w:rsidR="00656BB8">
          <w:rPr>
            <w:webHidden/>
          </w:rPr>
          <w:tab/>
        </w:r>
        <w:r w:rsidR="00656BB8">
          <w:rPr>
            <w:webHidden/>
          </w:rPr>
          <w:fldChar w:fldCharType="begin"/>
        </w:r>
        <w:r w:rsidR="00656BB8">
          <w:rPr>
            <w:webHidden/>
          </w:rPr>
          <w:instrText xml:space="preserve"> PAGEREF _Toc438471436 \h </w:instrText>
        </w:r>
        <w:r w:rsidR="00656BB8">
          <w:rPr>
            <w:webHidden/>
          </w:rPr>
        </w:r>
        <w:r w:rsidR="00656BB8">
          <w:rPr>
            <w:webHidden/>
          </w:rPr>
          <w:fldChar w:fldCharType="separate"/>
        </w:r>
        <w:r w:rsidR="00656BB8">
          <w:rPr>
            <w:webHidden/>
          </w:rPr>
          <w:t>38</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7" w:history="1">
        <w:r w:rsidR="00656BB8" w:rsidRPr="00401BEB">
          <w:rPr>
            <w:rStyle w:val="Hyperlnk"/>
          </w:rPr>
          <w:t>5.1</w:t>
        </w:r>
        <w:r w:rsidR="00656BB8" w:rsidRPr="00401BEB">
          <w:rPr>
            <w:rStyle w:val="Hyperlnk"/>
          </w:rPr>
          <w:tab/>
          <w:t>Inledning</w:t>
        </w:r>
        <w:r w:rsidR="00656BB8">
          <w:rPr>
            <w:webHidden/>
          </w:rPr>
          <w:tab/>
        </w:r>
        <w:r w:rsidR="00656BB8">
          <w:rPr>
            <w:webHidden/>
          </w:rPr>
          <w:fldChar w:fldCharType="begin"/>
        </w:r>
        <w:r w:rsidR="00656BB8">
          <w:rPr>
            <w:webHidden/>
          </w:rPr>
          <w:instrText xml:space="preserve"> PAGEREF _Toc438471437 \h </w:instrText>
        </w:r>
        <w:r w:rsidR="00656BB8">
          <w:rPr>
            <w:webHidden/>
          </w:rPr>
        </w:r>
        <w:r w:rsidR="00656BB8">
          <w:rPr>
            <w:webHidden/>
          </w:rPr>
          <w:fldChar w:fldCharType="separate"/>
        </w:r>
        <w:r w:rsidR="00656BB8">
          <w:rPr>
            <w:webHidden/>
          </w:rPr>
          <w:t>38</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8" w:history="1">
        <w:r w:rsidR="00656BB8" w:rsidRPr="00401BEB">
          <w:rPr>
            <w:rStyle w:val="Hyperlnk"/>
          </w:rPr>
          <w:t>5.2</w:t>
        </w:r>
        <w:r w:rsidR="00656BB8" w:rsidRPr="00401BEB">
          <w:rPr>
            <w:rStyle w:val="Hyperlnk"/>
          </w:rPr>
          <w:tab/>
          <w:t>Branschens pågående arbete</w:t>
        </w:r>
        <w:r w:rsidR="00656BB8">
          <w:rPr>
            <w:webHidden/>
          </w:rPr>
          <w:tab/>
        </w:r>
        <w:r w:rsidR="00656BB8">
          <w:rPr>
            <w:webHidden/>
          </w:rPr>
          <w:fldChar w:fldCharType="begin"/>
        </w:r>
        <w:r w:rsidR="00656BB8">
          <w:rPr>
            <w:webHidden/>
          </w:rPr>
          <w:instrText xml:space="preserve"> PAGEREF _Toc438471438 \h </w:instrText>
        </w:r>
        <w:r w:rsidR="00656BB8">
          <w:rPr>
            <w:webHidden/>
          </w:rPr>
        </w:r>
        <w:r w:rsidR="00656BB8">
          <w:rPr>
            <w:webHidden/>
          </w:rPr>
          <w:fldChar w:fldCharType="separate"/>
        </w:r>
        <w:r w:rsidR="00656BB8">
          <w:rPr>
            <w:webHidden/>
          </w:rPr>
          <w:t>39</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39" w:history="1">
        <w:r w:rsidR="00656BB8" w:rsidRPr="00401BEB">
          <w:rPr>
            <w:rStyle w:val="Hyperlnk"/>
          </w:rPr>
          <w:t>5.3</w:t>
        </w:r>
        <w:r w:rsidR="00656BB8" w:rsidRPr="00401BEB">
          <w:rPr>
            <w:rStyle w:val="Hyperlnk"/>
          </w:rPr>
          <w:tab/>
          <w:t>Särskilda svagheter och sårbarheter</w:t>
        </w:r>
        <w:r w:rsidR="00656BB8">
          <w:rPr>
            <w:webHidden/>
          </w:rPr>
          <w:tab/>
        </w:r>
        <w:r w:rsidR="00656BB8">
          <w:rPr>
            <w:webHidden/>
          </w:rPr>
          <w:fldChar w:fldCharType="begin"/>
        </w:r>
        <w:r w:rsidR="00656BB8">
          <w:rPr>
            <w:webHidden/>
          </w:rPr>
          <w:instrText xml:space="preserve"> PAGEREF _Toc438471439 \h </w:instrText>
        </w:r>
        <w:r w:rsidR="00656BB8">
          <w:rPr>
            <w:webHidden/>
          </w:rPr>
        </w:r>
        <w:r w:rsidR="00656BB8">
          <w:rPr>
            <w:webHidden/>
          </w:rPr>
          <w:fldChar w:fldCharType="separate"/>
        </w:r>
        <w:r w:rsidR="00656BB8">
          <w:rPr>
            <w:webHidden/>
          </w:rPr>
          <w:t>42</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40" w:history="1">
        <w:r w:rsidR="00656BB8" w:rsidRPr="00401BEB">
          <w:rPr>
            <w:rStyle w:val="Hyperlnk"/>
          </w:rPr>
          <w:t>6</w:t>
        </w:r>
        <w:r w:rsidR="00656BB8" w:rsidRPr="00401BEB">
          <w:rPr>
            <w:rStyle w:val="Hyperlnk"/>
          </w:rPr>
          <w:tab/>
          <w:t>Analys och reflektioner</w:t>
        </w:r>
        <w:r w:rsidR="00656BB8">
          <w:rPr>
            <w:webHidden/>
          </w:rPr>
          <w:tab/>
        </w:r>
        <w:r w:rsidR="00656BB8">
          <w:rPr>
            <w:webHidden/>
          </w:rPr>
          <w:fldChar w:fldCharType="begin"/>
        </w:r>
        <w:r w:rsidR="00656BB8">
          <w:rPr>
            <w:webHidden/>
          </w:rPr>
          <w:instrText xml:space="preserve"> PAGEREF _Toc438471440 \h </w:instrText>
        </w:r>
        <w:r w:rsidR="00656BB8">
          <w:rPr>
            <w:webHidden/>
          </w:rPr>
        </w:r>
        <w:r w:rsidR="00656BB8">
          <w:rPr>
            <w:webHidden/>
          </w:rPr>
          <w:fldChar w:fldCharType="separate"/>
        </w:r>
        <w:r w:rsidR="00656BB8">
          <w:rPr>
            <w:webHidden/>
          </w:rPr>
          <w:t>47</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1" w:history="1">
        <w:r w:rsidR="00656BB8" w:rsidRPr="00401BEB">
          <w:rPr>
            <w:rStyle w:val="Hyperlnk"/>
          </w:rPr>
          <w:t>6.1</w:t>
        </w:r>
        <w:r w:rsidR="00656BB8" w:rsidRPr="00401BEB">
          <w:rPr>
            <w:rStyle w:val="Hyperlnk"/>
          </w:rPr>
          <w:tab/>
          <w:t>Risk- och sårbarhetsanalyser utgör ett fundament</w:t>
        </w:r>
        <w:r w:rsidR="00656BB8">
          <w:rPr>
            <w:webHidden/>
          </w:rPr>
          <w:tab/>
        </w:r>
        <w:r w:rsidR="00656BB8">
          <w:rPr>
            <w:webHidden/>
          </w:rPr>
          <w:fldChar w:fldCharType="begin"/>
        </w:r>
        <w:r w:rsidR="00656BB8">
          <w:rPr>
            <w:webHidden/>
          </w:rPr>
          <w:instrText xml:space="preserve"> PAGEREF _Toc438471441 \h </w:instrText>
        </w:r>
        <w:r w:rsidR="00656BB8">
          <w:rPr>
            <w:webHidden/>
          </w:rPr>
        </w:r>
        <w:r w:rsidR="00656BB8">
          <w:rPr>
            <w:webHidden/>
          </w:rPr>
          <w:fldChar w:fldCharType="separate"/>
        </w:r>
        <w:r w:rsidR="00656BB8">
          <w:rPr>
            <w:webHidden/>
          </w:rPr>
          <w:t>47</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2" w:history="1">
        <w:r w:rsidR="00656BB8" w:rsidRPr="00401BEB">
          <w:rPr>
            <w:rStyle w:val="Hyperlnk"/>
          </w:rPr>
          <w:t>6.2</w:t>
        </w:r>
        <w:r w:rsidR="00656BB8" w:rsidRPr="00401BEB">
          <w:rPr>
            <w:rStyle w:val="Hyperlnk"/>
          </w:rPr>
          <w:tab/>
          <w:t>Säkerhetsskydd</w:t>
        </w:r>
        <w:r w:rsidR="00656BB8">
          <w:rPr>
            <w:webHidden/>
          </w:rPr>
          <w:tab/>
        </w:r>
        <w:r w:rsidR="00656BB8">
          <w:rPr>
            <w:webHidden/>
          </w:rPr>
          <w:fldChar w:fldCharType="begin"/>
        </w:r>
        <w:r w:rsidR="00656BB8">
          <w:rPr>
            <w:webHidden/>
          </w:rPr>
          <w:instrText xml:space="preserve"> PAGEREF _Toc438471442 \h </w:instrText>
        </w:r>
        <w:r w:rsidR="00656BB8">
          <w:rPr>
            <w:webHidden/>
          </w:rPr>
        </w:r>
        <w:r w:rsidR="00656BB8">
          <w:rPr>
            <w:webHidden/>
          </w:rPr>
          <w:fldChar w:fldCharType="separate"/>
        </w:r>
        <w:r w:rsidR="00656BB8">
          <w:rPr>
            <w:webHidden/>
          </w:rPr>
          <w:t>48</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3" w:history="1">
        <w:r w:rsidR="00656BB8" w:rsidRPr="00401BEB">
          <w:rPr>
            <w:rStyle w:val="Hyperlnk"/>
          </w:rPr>
          <w:t>6.3</w:t>
        </w:r>
        <w:r w:rsidR="00656BB8" w:rsidRPr="00401BEB">
          <w:rPr>
            <w:rStyle w:val="Hyperlnk"/>
          </w:rPr>
          <w:tab/>
          <w:t>Mått på distributionsnätets robusthet</w:t>
        </w:r>
        <w:r w:rsidR="00656BB8">
          <w:rPr>
            <w:webHidden/>
          </w:rPr>
          <w:tab/>
        </w:r>
        <w:r w:rsidR="00656BB8">
          <w:rPr>
            <w:webHidden/>
          </w:rPr>
          <w:fldChar w:fldCharType="begin"/>
        </w:r>
        <w:r w:rsidR="00656BB8">
          <w:rPr>
            <w:webHidden/>
          </w:rPr>
          <w:instrText xml:space="preserve"> PAGEREF _Toc438471443 \h </w:instrText>
        </w:r>
        <w:r w:rsidR="00656BB8">
          <w:rPr>
            <w:webHidden/>
          </w:rPr>
        </w:r>
        <w:r w:rsidR="00656BB8">
          <w:rPr>
            <w:webHidden/>
          </w:rPr>
          <w:fldChar w:fldCharType="separate"/>
        </w:r>
        <w:r w:rsidR="00656BB8">
          <w:rPr>
            <w:webHidden/>
          </w:rPr>
          <w:t>50</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4" w:history="1">
        <w:r w:rsidR="00656BB8" w:rsidRPr="00401BEB">
          <w:rPr>
            <w:rStyle w:val="Hyperlnk"/>
          </w:rPr>
          <w:t>6.4</w:t>
        </w:r>
        <w:r w:rsidR="00656BB8" w:rsidRPr="00401BEB">
          <w:rPr>
            <w:rStyle w:val="Hyperlnk"/>
          </w:rPr>
          <w:tab/>
          <w:t>Definition av ett avbrott och nyckeltal</w:t>
        </w:r>
        <w:r w:rsidR="00656BB8">
          <w:rPr>
            <w:webHidden/>
          </w:rPr>
          <w:tab/>
        </w:r>
        <w:r w:rsidR="00656BB8">
          <w:rPr>
            <w:webHidden/>
          </w:rPr>
          <w:fldChar w:fldCharType="begin"/>
        </w:r>
        <w:r w:rsidR="00656BB8">
          <w:rPr>
            <w:webHidden/>
          </w:rPr>
          <w:instrText xml:space="preserve"> PAGEREF _Toc438471444 \h </w:instrText>
        </w:r>
        <w:r w:rsidR="00656BB8">
          <w:rPr>
            <w:webHidden/>
          </w:rPr>
        </w:r>
        <w:r w:rsidR="00656BB8">
          <w:rPr>
            <w:webHidden/>
          </w:rPr>
          <w:fldChar w:fldCharType="separate"/>
        </w:r>
        <w:r w:rsidR="00656BB8">
          <w:rPr>
            <w:webHidden/>
          </w:rPr>
          <w:t>51</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5" w:history="1">
        <w:r w:rsidR="00656BB8" w:rsidRPr="00401BEB">
          <w:rPr>
            <w:rStyle w:val="Hyperlnk"/>
          </w:rPr>
          <w:t>6.5</w:t>
        </w:r>
        <w:r w:rsidR="00656BB8" w:rsidRPr="00401BEB">
          <w:rPr>
            <w:rStyle w:val="Hyperlnk"/>
          </w:rPr>
          <w:tab/>
          <w:t>Definition av en kund</w:t>
        </w:r>
        <w:r w:rsidR="00656BB8">
          <w:rPr>
            <w:webHidden/>
          </w:rPr>
          <w:tab/>
        </w:r>
        <w:r w:rsidR="00656BB8">
          <w:rPr>
            <w:webHidden/>
          </w:rPr>
          <w:fldChar w:fldCharType="begin"/>
        </w:r>
        <w:r w:rsidR="00656BB8">
          <w:rPr>
            <w:webHidden/>
          </w:rPr>
          <w:instrText xml:space="preserve"> PAGEREF _Toc438471445 \h </w:instrText>
        </w:r>
        <w:r w:rsidR="00656BB8">
          <w:rPr>
            <w:webHidden/>
          </w:rPr>
        </w:r>
        <w:r w:rsidR="00656BB8">
          <w:rPr>
            <w:webHidden/>
          </w:rPr>
          <w:fldChar w:fldCharType="separate"/>
        </w:r>
        <w:r w:rsidR="00656BB8">
          <w:rPr>
            <w:webHidden/>
          </w:rPr>
          <w:t>51</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6" w:history="1">
        <w:r w:rsidR="00656BB8" w:rsidRPr="00401BEB">
          <w:rPr>
            <w:rStyle w:val="Hyperlnk"/>
          </w:rPr>
          <w:t>6.6</w:t>
        </w:r>
        <w:r w:rsidR="00656BB8" w:rsidRPr="00401BEB">
          <w:rPr>
            <w:rStyle w:val="Hyperlnk"/>
          </w:rPr>
          <w:tab/>
          <w:t>”Decibelunderhåll” och reservdelar</w:t>
        </w:r>
        <w:r w:rsidR="00656BB8">
          <w:rPr>
            <w:webHidden/>
          </w:rPr>
          <w:tab/>
        </w:r>
        <w:r w:rsidR="00656BB8">
          <w:rPr>
            <w:webHidden/>
          </w:rPr>
          <w:fldChar w:fldCharType="begin"/>
        </w:r>
        <w:r w:rsidR="00656BB8">
          <w:rPr>
            <w:webHidden/>
          </w:rPr>
          <w:instrText xml:space="preserve"> PAGEREF _Toc438471446 \h </w:instrText>
        </w:r>
        <w:r w:rsidR="00656BB8">
          <w:rPr>
            <w:webHidden/>
          </w:rPr>
        </w:r>
        <w:r w:rsidR="00656BB8">
          <w:rPr>
            <w:webHidden/>
          </w:rPr>
          <w:fldChar w:fldCharType="separate"/>
        </w:r>
        <w:r w:rsidR="00656BB8">
          <w:rPr>
            <w:webHidden/>
          </w:rPr>
          <w:t>51</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7" w:history="1">
        <w:r w:rsidR="00656BB8" w:rsidRPr="00401BEB">
          <w:rPr>
            <w:rStyle w:val="Hyperlnk"/>
          </w:rPr>
          <w:t>6.7</w:t>
        </w:r>
        <w:r w:rsidR="00656BB8" w:rsidRPr="00401BEB">
          <w:rPr>
            <w:rStyle w:val="Hyperlnk"/>
          </w:rPr>
          <w:tab/>
          <w:t>Ägarförhållanden och styrning</w:t>
        </w:r>
        <w:r w:rsidR="00656BB8">
          <w:rPr>
            <w:webHidden/>
          </w:rPr>
          <w:tab/>
        </w:r>
        <w:r w:rsidR="00656BB8">
          <w:rPr>
            <w:webHidden/>
          </w:rPr>
          <w:fldChar w:fldCharType="begin"/>
        </w:r>
        <w:r w:rsidR="00656BB8">
          <w:rPr>
            <w:webHidden/>
          </w:rPr>
          <w:instrText xml:space="preserve"> PAGEREF _Toc438471447 \h </w:instrText>
        </w:r>
        <w:r w:rsidR="00656BB8">
          <w:rPr>
            <w:webHidden/>
          </w:rPr>
        </w:r>
        <w:r w:rsidR="00656BB8">
          <w:rPr>
            <w:webHidden/>
          </w:rPr>
          <w:fldChar w:fldCharType="separate"/>
        </w:r>
        <w:r w:rsidR="00656BB8">
          <w:rPr>
            <w:webHidden/>
          </w:rPr>
          <w:t>52</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48" w:history="1">
        <w:r w:rsidR="00656BB8" w:rsidRPr="00401BEB">
          <w:rPr>
            <w:rStyle w:val="Hyperlnk"/>
          </w:rPr>
          <w:t>6.8</w:t>
        </w:r>
        <w:r w:rsidR="00656BB8" w:rsidRPr="00401BEB">
          <w:rPr>
            <w:rStyle w:val="Hyperlnk"/>
          </w:rPr>
          <w:tab/>
          <w:t>Mål för fjärrvärmens försörjningstrygghet</w:t>
        </w:r>
        <w:r w:rsidR="00656BB8">
          <w:rPr>
            <w:webHidden/>
          </w:rPr>
          <w:tab/>
        </w:r>
        <w:r w:rsidR="00656BB8">
          <w:rPr>
            <w:webHidden/>
          </w:rPr>
          <w:fldChar w:fldCharType="begin"/>
        </w:r>
        <w:r w:rsidR="00656BB8">
          <w:rPr>
            <w:webHidden/>
          </w:rPr>
          <w:instrText xml:space="preserve"> PAGEREF _Toc438471448 \h </w:instrText>
        </w:r>
        <w:r w:rsidR="00656BB8">
          <w:rPr>
            <w:webHidden/>
          </w:rPr>
        </w:r>
        <w:r w:rsidR="00656BB8">
          <w:rPr>
            <w:webHidden/>
          </w:rPr>
          <w:fldChar w:fldCharType="separate"/>
        </w:r>
        <w:r w:rsidR="00656BB8">
          <w:rPr>
            <w:webHidden/>
          </w:rPr>
          <w:t>53</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49" w:history="1">
        <w:r w:rsidR="00656BB8" w:rsidRPr="00401BEB">
          <w:rPr>
            <w:rStyle w:val="Hyperlnk"/>
          </w:rPr>
          <w:t>7</w:t>
        </w:r>
        <w:r w:rsidR="00656BB8" w:rsidRPr="00401BEB">
          <w:rPr>
            <w:rStyle w:val="Hyperlnk"/>
          </w:rPr>
          <w:tab/>
          <w:t>Slutsatser</w:t>
        </w:r>
        <w:r w:rsidR="00656BB8">
          <w:rPr>
            <w:webHidden/>
          </w:rPr>
          <w:tab/>
        </w:r>
        <w:r w:rsidR="00656BB8">
          <w:rPr>
            <w:webHidden/>
          </w:rPr>
          <w:fldChar w:fldCharType="begin"/>
        </w:r>
        <w:r w:rsidR="00656BB8">
          <w:rPr>
            <w:webHidden/>
          </w:rPr>
          <w:instrText xml:space="preserve"> PAGEREF _Toc438471449 \h </w:instrText>
        </w:r>
        <w:r w:rsidR="00656BB8">
          <w:rPr>
            <w:webHidden/>
          </w:rPr>
        </w:r>
        <w:r w:rsidR="00656BB8">
          <w:rPr>
            <w:webHidden/>
          </w:rPr>
          <w:fldChar w:fldCharType="separate"/>
        </w:r>
        <w:r w:rsidR="00656BB8">
          <w:rPr>
            <w:webHidden/>
          </w:rPr>
          <w:t>54</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50" w:history="1">
        <w:r w:rsidR="00656BB8" w:rsidRPr="00401BEB">
          <w:rPr>
            <w:rStyle w:val="Hyperlnk"/>
          </w:rPr>
          <w:t>7.1</w:t>
        </w:r>
        <w:r w:rsidR="00656BB8" w:rsidRPr="00401BEB">
          <w:rPr>
            <w:rStyle w:val="Hyperlnk"/>
          </w:rPr>
          <w:tab/>
          <w:t>Fjärrvärmeföretagens ekonomiska ställning</w:t>
        </w:r>
        <w:r w:rsidR="00656BB8">
          <w:rPr>
            <w:webHidden/>
          </w:rPr>
          <w:tab/>
        </w:r>
        <w:r w:rsidR="00656BB8">
          <w:rPr>
            <w:webHidden/>
          </w:rPr>
          <w:fldChar w:fldCharType="begin"/>
        </w:r>
        <w:r w:rsidR="00656BB8">
          <w:rPr>
            <w:webHidden/>
          </w:rPr>
          <w:instrText xml:space="preserve"> PAGEREF _Toc438471450 \h </w:instrText>
        </w:r>
        <w:r w:rsidR="00656BB8">
          <w:rPr>
            <w:webHidden/>
          </w:rPr>
        </w:r>
        <w:r w:rsidR="00656BB8">
          <w:rPr>
            <w:webHidden/>
          </w:rPr>
          <w:fldChar w:fldCharType="separate"/>
        </w:r>
        <w:r w:rsidR="00656BB8">
          <w:rPr>
            <w:webHidden/>
          </w:rPr>
          <w:t>54</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51" w:history="1">
        <w:r w:rsidR="00656BB8" w:rsidRPr="00401BEB">
          <w:rPr>
            <w:rStyle w:val="Hyperlnk"/>
          </w:rPr>
          <w:t>7.2</w:t>
        </w:r>
        <w:r w:rsidR="00656BB8" w:rsidRPr="00401BEB">
          <w:rPr>
            <w:rStyle w:val="Hyperlnk"/>
          </w:rPr>
          <w:tab/>
          <w:t>Förmågan att förebygga och hantera avbrott</w:t>
        </w:r>
        <w:r w:rsidR="00656BB8">
          <w:rPr>
            <w:webHidden/>
          </w:rPr>
          <w:tab/>
        </w:r>
        <w:r w:rsidR="00656BB8">
          <w:rPr>
            <w:webHidden/>
          </w:rPr>
          <w:fldChar w:fldCharType="begin"/>
        </w:r>
        <w:r w:rsidR="00656BB8">
          <w:rPr>
            <w:webHidden/>
          </w:rPr>
          <w:instrText xml:space="preserve"> PAGEREF _Toc438471451 \h </w:instrText>
        </w:r>
        <w:r w:rsidR="00656BB8">
          <w:rPr>
            <w:webHidden/>
          </w:rPr>
        </w:r>
        <w:r w:rsidR="00656BB8">
          <w:rPr>
            <w:webHidden/>
          </w:rPr>
          <w:fldChar w:fldCharType="separate"/>
        </w:r>
        <w:r w:rsidR="00656BB8">
          <w:rPr>
            <w:webHidden/>
          </w:rPr>
          <w:t>55</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52" w:history="1">
        <w:r w:rsidR="00656BB8" w:rsidRPr="00401BEB">
          <w:rPr>
            <w:rStyle w:val="Hyperlnk"/>
          </w:rPr>
          <w:t>8</w:t>
        </w:r>
        <w:r w:rsidR="00656BB8" w:rsidRPr="00401BEB">
          <w:rPr>
            <w:rStyle w:val="Hyperlnk"/>
          </w:rPr>
          <w:tab/>
          <w:t>Referenser</w:t>
        </w:r>
        <w:r w:rsidR="00656BB8">
          <w:rPr>
            <w:webHidden/>
          </w:rPr>
          <w:tab/>
        </w:r>
        <w:r w:rsidR="00656BB8">
          <w:rPr>
            <w:webHidden/>
          </w:rPr>
          <w:fldChar w:fldCharType="begin"/>
        </w:r>
        <w:r w:rsidR="00656BB8">
          <w:rPr>
            <w:webHidden/>
          </w:rPr>
          <w:instrText xml:space="preserve"> PAGEREF _Toc438471452 \h </w:instrText>
        </w:r>
        <w:r w:rsidR="00656BB8">
          <w:rPr>
            <w:webHidden/>
          </w:rPr>
        </w:r>
        <w:r w:rsidR="00656BB8">
          <w:rPr>
            <w:webHidden/>
          </w:rPr>
          <w:fldChar w:fldCharType="separate"/>
        </w:r>
        <w:r w:rsidR="00656BB8">
          <w:rPr>
            <w:webHidden/>
          </w:rPr>
          <w:t>59</w:t>
        </w:r>
        <w:r w:rsidR="00656BB8">
          <w:rPr>
            <w:webHidden/>
          </w:rPr>
          <w:fldChar w:fldCharType="end"/>
        </w:r>
      </w:hyperlink>
    </w:p>
    <w:p w:rsidR="00656BB8" w:rsidRDefault="008E24DA">
      <w:pPr>
        <w:pStyle w:val="Innehll1"/>
        <w:rPr>
          <w:rFonts w:asciiTheme="minorHAnsi" w:eastAsiaTheme="minorEastAsia" w:hAnsiTheme="minorHAnsi" w:cstheme="minorBidi"/>
          <w:b w:val="0"/>
          <w:sz w:val="22"/>
          <w:szCs w:val="22"/>
        </w:rPr>
      </w:pPr>
      <w:hyperlink w:anchor="_Toc438471453" w:history="1">
        <w:r w:rsidR="00656BB8" w:rsidRPr="00401BEB">
          <w:rPr>
            <w:rStyle w:val="Hyperlnk"/>
          </w:rPr>
          <w:t>9</w:t>
        </w:r>
        <w:r w:rsidR="00656BB8" w:rsidRPr="00401BEB">
          <w:rPr>
            <w:rStyle w:val="Hyperlnk"/>
          </w:rPr>
          <w:tab/>
          <w:t>Kommentarer från Svensk Fjärrvärme</w:t>
        </w:r>
        <w:r w:rsidR="00656BB8">
          <w:rPr>
            <w:webHidden/>
          </w:rPr>
          <w:tab/>
        </w:r>
        <w:r w:rsidR="00656BB8">
          <w:rPr>
            <w:webHidden/>
          </w:rPr>
          <w:fldChar w:fldCharType="begin"/>
        </w:r>
        <w:r w:rsidR="00656BB8">
          <w:rPr>
            <w:webHidden/>
          </w:rPr>
          <w:instrText xml:space="preserve"> PAGEREF _Toc438471453 \h </w:instrText>
        </w:r>
        <w:r w:rsidR="00656BB8">
          <w:rPr>
            <w:webHidden/>
          </w:rPr>
        </w:r>
        <w:r w:rsidR="00656BB8">
          <w:rPr>
            <w:webHidden/>
          </w:rPr>
          <w:fldChar w:fldCharType="separate"/>
        </w:r>
        <w:r w:rsidR="00656BB8">
          <w:rPr>
            <w:webHidden/>
          </w:rPr>
          <w:t>60</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54" w:history="1">
        <w:r w:rsidR="00656BB8" w:rsidRPr="00401BEB">
          <w:rPr>
            <w:rStyle w:val="Hyperlnk"/>
          </w:rPr>
          <w:t>9.1</w:t>
        </w:r>
        <w:r w:rsidR="00656BB8" w:rsidRPr="00401BEB">
          <w:rPr>
            <w:rStyle w:val="Hyperlnk"/>
          </w:rPr>
          <w:tab/>
          <w:t>Förändrade förutsättningar i framtiden</w:t>
        </w:r>
        <w:r w:rsidR="00656BB8">
          <w:rPr>
            <w:webHidden/>
          </w:rPr>
          <w:tab/>
        </w:r>
        <w:r w:rsidR="00656BB8">
          <w:rPr>
            <w:webHidden/>
          </w:rPr>
          <w:fldChar w:fldCharType="begin"/>
        </w:r>
        <w:r w:rsidR="00656BB8">
          <w:rPr>
            <w:webHidden/>
          </w:rPr>
          <w:instrText xml:space="preserve"> PAGEREF _Toc438471454 \h </w:instrText>
        </w:r>
        <w:r w:rsidR="00656BB8">
          <w:rPr>
            <w:webHidden/>
          </w:rPr>
        </w:r>
        <w:r w:rsidR="00656BB8">
          <w:rPr>
            <w:webHidden/>
          </w:rPr>
          <w:fldChar w:fldCharType="separate"/>
        </w:r>
        <w:r w:rsidR="00656BB8">
          <w:rPr>
            <w:webHidden/>
          </w:rPr>
          <w:t>60</w:t>
        </w:r>
        <w:r w:rsidR="00656BB8">
          <w:rPr>
            <w:webHidden/>
          </w:rPr>
          <w:fldChar w:fldCharType="end"/>
        </w:r>
      </w:hyperlink>
    </w:p>
    <w:p w:rsidR="00656BB8" w:rsidRDefault="008E24DA">
      <w:pPr>
        <w:pStyle w:val="Innehll2"/>
        <w:rPr>
          <w:rFonts w:asciiTheme="minorHAnsi" w:eastAsiaTheme="minorEastAsia" w:hAnsiTheme="minorHAnsi" w:cstheme="minorBidi"/>
          <w:sz w:val="22"/>
          <w:szCs w:val="22"/>
        </w:rPr>
      </w:pPr>
      <w:hyperlink w:anchor="_Toc438471455" w:history="1">
        <w:r w:rsidR="00656BB8" w:rsidRPr="00401BEB">
          <w:rPr>
            <w:rStyle w:val="Hyperlnk"/>
          </w:rPr>
          <w:t>9.2</w:t>
        </w:r>
        <w:r w:rsidR="00656BB8" w:rsidRPr="00401BEB">
          <w:rPr>
            <w:rStyle w:val="Hyperlnk"/>
          </w:rPr>
          <w:tab/>
          <w:t>För tidigt dragen slutsats om reglering</w:t>
        </w:r>
        <w:r w:rsidR="00656BB8">
          <w:rPr>
            <w:webHidden/>
          </w:rPr>
          <w:tab/>
        </w:r>
        <w:r w:rsidR="00656BB8">
          <w:rPr>
            <w:webHidden/>
          </w:rPr>
          <w:fldChar w:fldCharType="begin"/>
        </w:r>
        <w:r w:rsidR="00656BB8">
          <w:rPr>
            <w:webHidden/>
          </w:rPr>
          <w:instrText xml:space="preserve"> PAGEREF _Toc438471455 \h </w:instrText>
        </w:r>
        <w:r w:rsidR="00656BB8">
          <w:rPr>
            <w:webHidden/>
          </w:rPr>
        </w:r>
        <w:r w:rsidR="00656BB8">
          <w:rPr>
            <w:webHidden/>
          </w:rPr>
          <w:fldChar w:fldCharType="separate"/>
        </w:r>
        <w:r w:rsidR="00656BB8">
          <w:rPr>
            <w:webHidden/>
          </w:rPr>
          <w:t>61</w:t>
        </w:r>
        <w:r w:rsidR="00656BB8">
          <w:rPr>
            <w:webHidden/>
          </w:rPr>
          <w:fldChar w:fldCharType="end"/>
        </w:r>
      </w:hyperlink>
    </w:p>
    <w:p w:rsidR="004C1B75" w:rsidRDefault="005B7C7C">
      <w:r>
        <w:rPr>
          <w:b/>
          <w:bCs/>
          <w:noProof/>
        </w:rPr>
        <w:fldChar w:fldCharType="end"/>
      </w:r>
    </w:p>
    <w:p w:rsidR="004C1B75" w:rsidRDefault="004C1B75">
      <w:pPr>
        <w:pStyle w:val="Rubrik1"/>
        <w:sectPr w:rsidR="004C1B75">
          <w:type w:val="oddPage"/>
          <w:pgSz w:w="11906" w:h="16838" w:code="9"/>
          <w:pgMar w:top="1701" w:right="1985" w:bottom="1985" w:left="1985" w:header="454" w:footer="567" w:gutter="0"/>
          <w:cols w:space="708"/>
          <w:docGrid w:linePitch="360"/>
        </w:sectPr>
      </w:pPr>
    </w:p>
    <w:p w:rsidR="00A961C6" w:rsidRDefault="00EC675B" w:rsidP="00EC675B">
      <w:pPr>
        <w:pStyle w:val="Rubrik1"/>
      </w:pPr>
      <w:bookmarkStart w:id="1" w:name="_Toc438471412"/>
      <w:r>
        <w:lastRenderedPageBreak/>
        <w:t>Sammanfattning</w:t>
      </w:r>
      <w:bookmarkEnd w:id="1"/>
    </w:p>
    <w:p w:rsidR="00061AD7" w:rsidRDefault="00061AD7" w:rsidP="00061AD7">
      <w:pPr>
        <w:pStyle w:val="Brdtext"/>
      </w:pPr>
      <w:r w:rsidRPr="004C76AC">
        <w:t>Fjärrvärme har en särställning på värmemarknaden i och med sin storskalighet och dominans i huvuddelen av alla landets tätorter.</w:t>
      </w:r>
      <w:r>
        <w:t xml:space="preserve"> För att värna samhällets funktionalitet är det därmed väsentligt att granska fjärrvärmeföretagens förmåga att motstå och hantera såväl betydande ekonomiska påfrestningar som avbrott.</w:t>
      </w:r>
    </w:p>
    <w:p w:rsidR="008026F1" w:rsidRDefault="008026F1" w:rsidP="008026F1">
      <w:pPr>
        <w:pStyle w:val="Rubrik2"/>
        <w:numPr>
          <w:ilvl w:val="0"/>
          <w:numId w:val="0"/>
        </w:numPr>
      </w:pPr>
      <w:bookmarkStart w:id="2" w:name="_Toc438471413"/>
      <w:r>
        <w:t>Fjärrvärmeföretagens ekonomiska ställning</w:t>
      </w:r>
      <w:bookmarkEnd w:id="2"/>
    </w:p>
    <w:p w:rsidR="00061AD7" w:rsidRDefault="00061AD7" w:rsidP="00061AD7">
      <w:pPr>
        <w:pStyle w:val="Brdtext"/>
      </w:pPr>
      <w:r>
        <w:t xml:space="preserve">För att utvärdera fjärrvärmeföretagens ekonomiska ställning har rapporten utgått från fjärrvärmeföretagens årliga finansiella redovisningar till Energimarknadsinspektionen. Från dessa redovisningar har olika finansiella nyckeltal sammanställts och analyserats för branschen som helhet och för individuella företag. </w:t>
      </w:r>
    </w:p>
    <w:p w:rsidR="00061AD7" w:rsidRDefault="00061AD7" w:rsidP="00061AD7">
      <w:pPr>
        <w:pStyle w:val="Brdtext"/>
      </w:pPr>
      <w:r>
        <w:t>Sett till hela branschen så täcker verksamheternas intäkter kostnaderna, men lönsamheten beror till stor del på aktiviteter som finns utöver fjärrvärmeförsäljningen. De senaste tre åren täcks emellertid kostnaderna med enbart intäkter från värmeförsäljning vilket visar på en bättre relativ lönsamhet i värmeförsäljningen. Den långsiktiga betalningsförmågan (soliditeten) är stabil för hela branschen som sådan och ligger strax under 40 procent 2008-2014. Även den kortsiktiga betalningsförmågan (kassalikviditeten) är stabil över tiden på över 100 procent. Andra nyckeltal såsom vinst- och rörelsemarginal och avkastning på eget och sysselsatt kapital visar på små variationer 2008-2014.</w:t>
      </w:r>
    </w:p>
    <w:p w:rsidR="00061AD7" w:rsidRDefault="00061AD7" w:rsidP="00061AD7">
      <w:pPr>
        <w:pStyle w:val="Brdtext"/>
      </w:pPr>
      <w:r>
        <w:t>En analys av enskilda företag visar att det finns ett relativt stort antal företag med en lägre soliditet. Möjligheten för företag med låg soliditet att kunna höja sina priser är avgörande för att förbättra sin långsiktiga betalningsförmåga.</w:t>
      </w:r>
    </w:p>
    <w:p w:rsidR="00061AD7" w:rsidRDefault="00061AD7" w:rsidP="00061AD7">
      <w:pPr>
        <w:pStyle w:val="Brdtext"/>
      </w:pPr>
      <w:r>
        <w:t xml:space="preserve">En genomgång av konkurrenssituationen för företagen med en soliditet under 30 procent visar att det finns 7 företag med fjärrvärmepriser som är så pass höga att de inte kan konkurrera med bergvärmepumpar i sin kommun. Alla utom ett av dessa företag verkar dessutom i kommuner med en minskande befolkning vilket påverkar värmeunderlaget negativt. Totala värmeleveranser från dessa bolag är relativt små (totalt 88 GWh 2014). </w:t>
      </w:r>
    </w:p>
    <w:p w:rsidR="00061AD7" w:rsidRDefault="00061AD7" w:rsidP="00061AD7">
      <w:pPr>
        <w:pStyle w:val="Brdtext"/>
      </w:pPr>
      <w:r>
        <w:t>Analysen av fjärrvärmebolagens ekonomiska ställning bedöms inte föranleda en djupare och mer långtgående utredning i nuläget.</w:t>
      </w:r>
      <w:r w:rsidRPr="000311FF">
        <w:t xml:space="preserve"> </w:t>
      </w:r>
      <w:r>
        <w:t xml:space="preserve">Fjärrvärmebranschen verkar väl rustad att stå emot eventuella ekonomiska chocker även om det finns ett fåtal mindre bolag som ser ut att ha särskilda utmaningar. Denna bedömning kan dock komma att ändras om nya fakta framkommer, som idag inte </w:t>
      </w:r>
      <w:r w:rsidR="00EC5433">
        <w:t xml:space="preserve">återspeglas </w:t>
      </w:r>
      <w:r>
        <w:t>i företagens finansiella redovisning. Risken för konkurser och en potentiellt mycket besvärlig situation i de aktuella tätorterna kan därför inte uteslutas.</w:t>
      </w:r>
    </w:p>
    <w:p w:rsidR="008026F1" w:rsidRDefault="008026F1" w:rsidP="008026F1">
      <w:pPr>
        <w:pStyle w:val="Rubrik2"/>
        <w:numPr>
          <w:ilvl w:val="0"/>
          <w:numId w:val="0"/>
        </w:numPr>
      </w:pPr>
      <w:bookmarkStart w:id="3" w:name="_Toc438471414"/>
      <w:r>
        <w:lastRenderedPageBreak/>
        <w:t>Förebygga och åtgärda avbrott</w:t>
      </w:r>
      <w:bookmarkEnd w:id="3"/>
    </w:p>
    <w:p w:rsidR="00061AD7" w:rsidRDefault="00061AD7" w:rsidP="00061AD7">
      <w:pPr>
        <w:pStyle w:val="Brdtext"/>
      </w:pPr>
      <w:r>
        <w:t>Fjärrvärmeleveranserna är över lag av god kvalitet.</w:t>
      </w:r>
      <w:r w:rsidRPr="004C76AC">
        <w:t xml:space="preserve"> </w:t>
      </w:r>
      <w:r>
        <w:t>Oplanerade a</w:t>
      </w:r>
      <w:r w:rsidRPr="004C76AC">
        <w:t>vbrott inträffar</w:t>
      </w:r>
      <w:r>
        <w:t>, men de blir sällan långvariga</w:t>
      </w:r>
      <w:r w:rsidRPr="004C76AC">
        <w:t>.</w:t>
      </w:r>
      <w:r>
        <w:t xml:space="preserve"> R</w:t>
      </w:r>
      <w:r w:rsidRPr="004C76AC">
        <w:t>isken</w:t>
      </w:r>
      <w:r>
        <w:t xml:space="preserve"> för riktigt långa avbrott som medför en samhällskris</w:t>
      </w:r>
      <w:r w:rsidRPr="004C76AC">
        <w:t xml:space="preserve"> ska </w:t>
      </w:r>
      <w:r>
        <w:t xml:space="preserve">dock </w:t>
      </w:r>
      <w:r w:rsidRPr="004C76AC">
        <w:t>inte negligeras.</w:t>
      </w:r>
      <w:r>
        <w:t xml:space="preserve"> Det finns idag ingen reglering av försörjningstryggheten för fjärrvärme.</w:t>
      </w:r>
    </w:p>
    <w:p w:rsidR="00061AD7" w:rsidRDefault="00061AD7" w:rsidP="00061AD7">
      <w:pPr>
        <w:pStyle w:val="Brdtext"/>
      </w:pPr>
      <w:r>
        <w:t>Energimyndigheten har identifierat några brister i fjärrvärmeföretagens förmåga att förebygga och åtgärda avbrott.</w:t>
      </w:r>
    </w:p>
    <w:p w:rsidR="00061AD7" w:rsidRDefault="00061AD7" w:rsidP="00061AD7">
      <w:pPr>
        <w:pStyle w:val="Brdtext"/>
      </w:pPr>
      <w:r>
        <w:t>För att kunna göra rätt avvägningar inför en mängd beslut med stark påverkan på försörjningstryggheten behöver företagen ha en god bild av både risker och sårbarheter. Energimyndighetens uppfattning är att de riskanalyser avseende leveransavbrott som fjärrvärmeföretag genomför</w:t>
      </w:r>
      <w:r w:rsidR="00AE677B">
        <w:t xml:space="preserve"> huvudsakligen</w:t>
      </w:r>
      <w:r>
        <w:t xml:space="preserve"> utgår från tekniska, fysiska parametrar. En mängd betydande riskaspekter riskerar därmed att förbises. Inte minst risker för incidenter relaterade till informationssäkerhet. </w:t>
      </w:r>
    </w:p>
    <w:p w:rsidR="00061AD7" w:rsidRDefault="00061AD7" w:rsidP="00061AD7">
      <w:pPr>
        <w:pStyle w:val="Brdtext"/>
      </w:pPr>
      <w:r>
        <w:t>Alla fjärrvärmeföretag arbetar med avhjälpande och förebyggande underhåll. Fjärrvärmesystem med åldrande ledningsnät kräver ofta mer. Detta understryker behovet av att bedöma ledningarnas status och att ha en lång planeringshorisont, där riskbedömningar utgör en central utgångspunkt. Det finns företag som i någon mån har ett eftersatt underhåll med påföljande avbrottsrisker, och där reinvesteringsbehoven är stora under kommande år.</w:t>
      </w:r>
    </w:p>
    <w:p w:rsidR="00AE677B" w:rsidRDefault="00AE677B" w:rsidP="00AE677B">
      <w:pPr>
        <w:pStyle w:val="Brdtext"/>
      </w:pPr>
      <w:r>
        <w:t>Reservdelstillgången, framför allt avseende de lokala nätens grövsta dimensioner, har identifierats som en potentiell svaghet. Detta medför en ökad risk för långvariga och omfattande avbrott.</w:t>
      </w:r>
    </w:p>
    <w:p w:rsidR="008026F1" w:rsidRDefault="008026F1" w:rsidP="008026F1">
      <w:pPr>
        <w:pStyle w:val="Rubrik2"/>
        <w:numPr>
          <w:ilvl w:val="0"/>
          <w:numId w:val="0"/>
        </w:numPr>
      </w:pPr>
      <w:bookmarkStart w:id="4" w:name="_Toc438471415"/>
      <w:r>
        <w:t>Energimyndigheten rekommenderar utredning</w:t>
      </w:r>
      <w:bookmarkEnd w:id="4"/>
    </w:p>
    <w:p w:rsidR="00061AD7" w:rsidRDefault="00061AD7" w:rsidP="00061AD7">
      <w:pPr>
        <w:pStyle w:val="Brdtext"/>
      </w:pPr>
      <w:r>
        <w:t xml:space="preserve">Mot bakgrund av de svagheter som identifierats anser Energimyndigheten att någon form av reglering av försörjningstryggheten avseende fjärrvärme bör övervägas. Detta behöver föregås av en fördjupad utredning, i dialog med branschen och berörda myndigheter. Två bärande element i en sådan reglering bör vara </w:t>
      </w:r>
      <w:r w:rsidRPr="00F12FEB">
        <w:rPr>
          <w:i/>
        </w:rPr>
        <w:t>funktionskrav på fjärrvärme</w:t>
      </w:r>
      <w:r>
        <w:t xml:space="preserve"> samt </w:t>
      </w:r>
      <w:r w:rsidRPr="00F12FEB">
        <w:rPr>
          <w:i/>
        </w:rPr>
        <w:t>krav på systematiska åtgärder hos företagen</w:t>
      </w:r>
      <w:r>
        <w:t>, såsom risk- och sårbarhetsanalyser. Dessutom behöver samhällsviktiga verksamheter, kommunal värmeberedskap med mera belysas i det fortsatta arbetet.</w:t>
      </w:r>
    </w:p>
    <w:p w:rsidR="00061AD7" w:rsidRDefault="00061AD7" w:rsidP="00061AD7">
      <w:pPr>
        <w:pStyle w:val="Brdtext"/>
      </w:pPr>
      <w:r>
        <w:t>Utöver detta identifierar Energimyndigheten behov av utvecklingsarbete på flera områden, såsom att skapa en definition av ett fjärrvärmeavbrott, sammanställning av indikatorer på nätens robusthet och utbildning av personal.</w:t>
      </w:r>
    </w:p>
    <w:p w:rsidR="00061AD7" w:rsidRPr="00061AD7" w:rsidRDefault="00061AD7" w:rsidP="00061AD7">
      <w:pPr>
        <w:pStyle w:val="Brdtext"/>
      </w:pPr>
      <w:r>
        <w:t>Med anledning av den säkerhetspolitiska utvecklingen kan det redan idag finnas ett behov av att utnyttja befintliga regelverk kring exempelvis säkerhetsskydd och totalförsvar. Fjärrvärmeföretagen saknar nödvändigt stöd från en utpekad myndighet med branschkunskap och sektorsansvar.</w:t>
      </w:r>
    </w:p>
    <w:p w:rsidR="00EC675B" w:rsidRDefault="00EC675B" w:rsidP="00EC675B">
      <w:pPr>
        <w:pStyle w:val="Rubrik1"/>
      </w:pPr>
      <w:bookmarkStart w:id="5" w:name="_Toc438471416"/>
      <w:r>
        <w:lastRenderedPageBreak/>
        <w:t>Bakgrund</w:t>
      </w:r>
      <w:bookmarkEnd w:id="5"/>
    </w:p>
    <w:p w:rsidR="00047F68" w:rsidRDefault="00047F68" w:rsidP="00047F68">
      <w:pPr>
        <w:pStyle w:val="Rubrik2"/>
      </w:pPr>
      <w:bookmarkStart w:id="6" w:name="_Toc438471417"/>
      <w:r>
        <w:t>Uppdraget</w:t>
      </w:r>
      <w:bookmarkEnd w:id="6"/>
    </w:p>
    <w:p w:rsidR="00C21FBA" w:rsidRDefault="00C21FBA" w:rsidP="00C21FBA">
      <w:pPr>
        <w:pStyle w:val="Brdtext"/>
      </w:pPr>
      <w:r>
        <w:t xml:space="preserve">Utredningen svarar på uppdrag 9 i årets regleringsbrev för Energimyndigheten: </w:t>
      </w:r>
    </w:p>
    <w:p w:rsidR="00C21FBA" w:rsidRDefault="00C21FBA" w:rsidP="00C21FBA">
      <w:pPr>
        <w:pStyle w:val="Brdtext"/>
      </w:pPr>
      <w:r>
        <w:t>”Statens energimyndighet ska utvärdera fjärrvärmeföretagens ekonomiska ställning och förmåga att hantera betydande förändringar i omgivningen som påverkar företagens ekonomiska ställning.</w:t>
      </w:r>
    </w:p>
    <w:p w:rsidR="00C21FBA" w:rsidRDefault="00C21FBA" w:rsidP="00C21FBA">
      <w:pPr>
        <w:pStyle w:val="Brdtext"/>
      </w:pPr>
      <w:r>
        <w:t>Myndigheten ska också analysera fjärrvärmeföretagens förmåga att förebygga och åtgärda avbrott i fjärrvärmeleveransen. Analyserna inkluderar även en bedömning av om eventuellt identifierade problem föranleder en fördjupad utredning i syfte att införa ny lagstiftning. Uppdraget ska efter dialog med Energimarknadsinspektionen redovisas till Regeringskansliet (Miljö- och energidepartementet) senast den 31 december 2015.”</w:t>
      </w:r>
    </w:p>
    <w:p w:rsidR="00047F68" w:rsidRDefault="00047F68" w:rsidP="00047F68">
      <w:pPr>
        <w:pStyle w:val="Rubrik2"/>
      </w:pPr>
      <w:bookmarkStart w:id="7" w:name="_Toc438471418"/>
      <w:r>
        <w:t>Avgränsningar</w:t>
      </w:r>
      <w:r w:rsidR="00B15F83">
        <w:t xml:space="preserve"> och definition</w:t>
      </w:r>
      <w:bookmarkEnd w:id="7"/>
    </w:p>
    <w:p w:rsidR="00C21FBA" w:rsidRDefault="00C21FBA" w:rsidP="00B15F83">
      <w:pPr>
        <w:pStyle w:val="Brdtext"/>
      </w:pPr>
      <w:r>
        <w:t xml:space="preserve">Fjärrvärmeföretagens förmågor att förebygga och åtgärda avbrott måste ses i ett sammanhang där hela försörjningskedjan finns med, liksom alla slutanvändare och samhällets krisberedskap. Dessa sammanhang beskrivs översiktligt i avsnitt </w:t>
      </w:r>
      <w:r w:rsidR="00967D4A">
        <w:fldChar w:fldCharType="begin"/>
      </w:r>
      <w:r w:rsidR="00967D4A">
        <w:instrText xml:space="preserve"> REF _Ref436990140 \r \h </w:instrText>
      </w:r>
      <w:r w:rsidR="00967D4A">
        <w:fldChar w:fldCharType="separate"/>
      </w:r>
      <w:r w:rsidR="000A5878">
        <w:t>3.2.3</w:t>
      </w:r>
      <w:r w:rsidR="00967D4A">
        <w:fldChar w:fldCharType="end"/>
      </w:r>
      <w:r>
        <w:t>. Fokus i rapporten ligger dock på fjärrvärmeföretagens</w:t>
      </w:r>
      <w:r w:rsidR="002D1406">
        <w:t xml:space="preserve"> förhållanden,</w:t>
      </w:r>
      <w:r>
        <w:t xml:space="preserve"> ansvar och roller.</w:t>
      </w:r>
    </w:p>
    <w:p w:rsidR="00470D8F" w:rsidRDefault="00B15F83" w:rsidP="00470D8F">
      <w:pPr>
        <w:pStyle w:val="Brdtext"/>
      </w:pPr>
      <w:r>
        <w:t>Fjärrvärmeverksamhet</w:t>
      </w:r>
      <w:r w:rsidRPr="00B15F83">
        <w:t xml:space="preserve"> kan</w:t>
      </w:r>
      <w:r>
        <w:t xml:space="preserve"> </w:t>
      </w:r>
      <w:r w:rsidRPr="00B15F83">
        <w:t xml:space="preserve">bedrivas </w:t>
      </w:r>
      <w:r>
        <w:t>av olika typer av organisationer. Som regel drivs verksamheten av aktiebolag</w:t>
      </w:r>
      <w:r w:rsidR="002D1406">
        <w:t xml:space="preserve"> med olika typer av ägare</w:t>
      </w:r>
      <w:r>
        <w:t xml:space="preserve">, men i några fall bedrivs den som </w:t>
      </w:r>
      <w:r w:rsidRPr="00B15F83">
        <w:t>kommunal förvaltning</w:t>
      </w:r>
      <w:r>
        <w:t xml:space="preserve">. I rapporten används för enkelhets skull </w:t>
      </w:r>
      <w:r w:rsidRPr="00B15F83">
        <w:t>begreppet ”</w:t>
      </w:r>
      <w:r w:rsidR="00BE011D">
        <w:t>fjärrvärme</w:t>
      </w:r>
      <w:r w:rsidRPr="00B15F83">
        <w:t xml:space="preserve">företag” som benämning på den organisation som bedriver </w:t>
      </w:r>
      <w:r>
        <w:t>verksamhet.</w:t>
      </w:r>
      <w:r w:rsidRPr="00B15F83">
        <w:t xml:space="preserve"> </w:t>
      </w:r>
    </w:p>
    <w:p w:rsidR="00470D8F" w:rsidRDefault="00470D8F" w:rsidP="00470D8F">
      <w:pPr>
        <w:pStyle w:val="Brdtext"/>
      </w:pPr>
      <w:r>
        <w:t xml:space="preserve">Fjärrkyla är betydelsefull bland annat för delar av samhällsviktig verksamhet. Denna utredning belyser inte fjärrkyla, vare sig ur ekonomiskt perspektiv eller ur ett leveranssäkerhetsperspektiv. </w:t>
      </w:r>
    </w:p>
    <w:p w:rsidR="00282EB3" w:rsidRDefault="00282EB3" w:rsidP="00470D8F">
      <w:pPr>
        <w:pStyle w:val="Brdtext"/>
      </w:pPr>
      <w:r>
        <w:t xml:space="preserve">Utvärderingen av fjärrvärmeföretagens ekonomiska ställning är avgränsad till framförallt en kvantitativ analys av finansiella nyckeltal. Utvärderingen kompletteras med kvalitativa resonemang om demografiska förändringar samt fjärrvärmeföretagens utmaningar och möjligheter.  </w:t>
      </w:r>
    </w:p>
    <w:p w:rsidR="00202B4B" w:rsidRDefault="00202B4B" w:rsidP="00202B4B">
      <w:pPr>
        <w:pStyle w:val="Rubrik2"/>
      </w:pPr>
      <w:bookmarkStart w:id="8" w:name="_Toc438471419"/>
      <w:r>
        <w:t>Energimyndighetens roller och ansvar</w:t>
      </w:r>
      <w:bookmarkEnd w:id="8"/>
    </w:p>
    <w:p w:rsidR="005A36D3" w:rsidRDefault="00DD210B" w:rsidP="00DD210B">
      <w:pPr>
        <w:pStyle w:val="Brdtext"/>
      </w:pPr>
      <w:r w:rsidRPr="001E6F22">
        <w:t xml:space="preserve">Statens energimyndighet är förvaltningsmyndighet för frågor om tillförsel och användning av energi i samhället. </w:t>
      </w:r>
      <w:r w:rsidR="006E1BCF">
        <w:t>I detta avsnitt</w:t>
      </w:r>
      <w:r w:rsidR="005A36D3">
        <w:t xml:space="preserve"> beskrivs främst ansvar och roller med avseende på försörjningstryggheten.</w:t>
      </w:r>
    </w:p>
    <w:p w:rsidR="00DD210B" w:rsidRDefault="006E1BCF" w:rsidP="00DD210B">
      <w:pPr>
        <w:pStyle w:val="Brdtext"/>
      </w:pPr>
      <w:r>
        <w:lastRenderedPageBreak/>
        <w:t>Energim</w:t>
      </w:r>
      <w:r w:rsidR="00DD210B" w:rsidRPr="001E6F22">
        <w:t xml:space="preserve">yndigheten ska verka för försörjningstrygghet och </w:t>
      </w:r>
      <w:r w:rsidR="00DD210B">
        <w:t>e</w:t>
      </w:r>
      <w:r w:rsidR="00DD210B" w:rsidRPr="001E6F22">
        <w:t>nergisystem som är hållbar</w:t>
      </w:r>
      <w:r w:rsidR="00DD210B">
        <w:t>a</w:t>
      </w:r>
      <w:r w:rsidR="00DD210B" w:rsidRPr="001E6F22">
        <w:t xml:space="preserve"> och kostnadseffektiv</w:t>
      </w:r>
      <w:r w:rsidR="00DD210B">
        <w:t>a</w:t>
      </w:r>
      <w:r w:rsidR="00DD210B" w:rsidRPr="001E6F22">
        <w:t xml:space="preserve"> med en låg negativ inverkan på hälsa, miljö och klimat. </w:t>
      </w:r>
      <w:r w:rsidR="00DD210B" w:rsidRPr="00897C70">
        <w:t>Myndighet</w:t>
      </w:r>
      <w:r w:rsidR="00DD210B">
        <w:t>en</w:t>
      </w:r>
      <w:r w:rsidR="00DD210B" w:rsidRPr="00897C70">
        <w:t xml:space="preserve"> ska vidare utveckla och samordna samhällets krisberedskap inom energiberedskapsområdet och bedriva omvärldsbevakning och analys samt </w:t>
      </w:r>
      <w:r w:rsidR="00DD210B">
        <w:t>stödja andra aktörer med expertkunskap inom området. Myndigheten ska också planera, samordna och, i den utsträckning som regeringen föreskriver, genomföra ransoneringar och andra regleringar</w:t>
      </w:r>
      <w:r w:rsidR="00DD210B" w:rsidRPr="00897C70">
        <w:t xml:space="preserve"> </w:t>
      </w:r>
      <w:r w:rsidR="00DD210B">
        <w:t>s</w:t>
      </w:r>
      <w:r w:rsidR="00DD210B" w:rsidRPr="00897C70">
        <w:t>om gäller användning av energi.</w:t>
      </w:r>
    </w:p>
    <w:p w:rsidR="00DD210B" w:rsidRDefault="00DD210B" w:rsidP="00DD210B">
      <w:pPr>
        <w:pStyle w:val="Brdtext"/>
      </w:pPr>
      <w:r>
        <w:t>Energimyndigheten har ett strategiskt ansvar för trygg energiförsörjning, utan att för den delen vara överordnad annan myndighet eller marknadsaktörer som har ansvar för sina delar av energiförsörjningen. Energimyndigheten har i sitt arbete med trygg energiförsörjning ett tydligt användarperspektiv. Övriga myndigheter inom energiområdet har ansvar som är mer avgränsade till typ av energislag eller typ av ansvar (t.ex. systemansvar för elnät eller tillsynsansvar inom ett visst energiområde)</w:t>
      </w:r>
      <w:r w:rsidR="005A36D3">
        <w:rPr>
          <w:rStyle w:val="Fotnotsreferens"/>
        </w:rPr>
        <w:footnoteReference w:id="2"/>
      </w:r>
      <w:r>
        <w:t xml:space="preserve">. </w:t>
      </w:r>
    </w:p>
    <w:p w:rsidR="00DD210B" w:rsidRDefault="00DD210B" w:rsidP="00DD210B">
      <w:pPr>
        <w:pStyle w:val="Brdtext"/>
      </w:pPr>
      <w:r>
        <w:t>En viktig del i Energimyndighetens arbete med trygg energiförsörjning är att vara kunskapsförmedlare och att i alla situationer före, under och efter en energikris ge kunskapsstöd till samtliga aktörer inom energiförsörjningen inklusive användarna. Myndigheten bedriver därför kunskapsinhämtning, omvärldsbevakning, sammanställning och analys av erfarenheter från inträffade händelser m.m.</w:t>
      </w:r>
    </w:p>
    <w:p w:rsidR="00DD210B" w:rsidRDefault="00DD210B" w:rsidP="00DD210B">
      <w:pPr>
        <w:pStyle w:val="Brdtext"/>
      </w:pPr>
      <w:r>
        <w:t>Som förberedelser för energikriser bedriver myndigheten även tillsyn, sammanställer och rapporterar statistik, utvecklar verktyg och arbetssätt för att förbättra samhällets förmåga att förebygga och hantera störningar i energiförsörjningen m.m.</w:t>
      </w:r>
    </w:p>
    <w:p w:rsidR="00DD210B" w:rsidRDefault="00DD210B" w:rsidP="00DD210B">
      <w:pPr>
        <w:pStyle w:val="Brdtext"/>
      </w:pPr>
      <w:r>
        <w:t xml:space="preserve">Vid behov sammanställer och distribuerar myndigheten lägesbilder vid inträffade eller befarade störning i energiförsörjningen och samordnar och sprider information i syfte att lindra störningens konsekvenser. </w:t>
      </w:r>
      <w:r w:rsidRPr="003F64A6">
        <w:t>Myndigheten kan i extrema fall, utifrån stående mandat eller efter regeringens särskilda beslut (beroende på energimarknad och åtgärdens karaktär), fatta beslut om och/eller genomföra åtgärder för att förstärka eller delvis/helt ersätta energimarknadernas ordinarie funktion.</w:t>
      </w:r>
    </w:p>
    <w:p w:rsidR="00DD210B" w:rsidRDefault="00EC5433" w:rsidP="008026F1">
      <w:pPr>
        <w:pStyle w:val="Rubrik2"/>
      </w:pPr>
      <w:bookmarkStart w:id="9" w:name="_Toc438471420"/>
      <w:r>
        <w:t>Metod</w:t>
      </w:r>
      <w:bookmarkEnd w:id="9"/>
    </w:p>
    <w:p w:rsidR="00EC5433" w:rsidRDefault="00EC5433" w:rsidP="008026F1">
      <w:pPr>
        <w:pStyle w:val="Rubrik3"/>
      </w:pPr>
      <w:r>
        <w:t>Fjärrvärmeföretagens ekonomiska ställning</w:t>
      </w:r>
    </w:p>
    <w:p w:rsidR="00EC5433" w:rsidRDefault="00EC5433" w:rsidP="00EC5433">
      <w:pPr>
        <w:pStyle w:val="Brdtext"/>
      </w:pPr>
      <w:r>
        <w:t xml:space="preserve">För att utvärdera fjärrvärmeföretagens ekonomiska ställning har rapporten utgått ifrån fjärrvärmeföretagens årliga finansiella redovisningar till Energimarknadsinspektionen. Från dessa redovisningar har olika finansiella nyckeltal plockats ut för att analysera branschen som helhet liksom individuella företag. Särskild vikt har lagts vid den långsiktiga betalningsförmågan </w:t>
      </w:r>
      <w:r>
        <w:lastRenderedPageBreak/>
        <w:t xml:space="preserve">(soliditeten) och hur många bolag som har en soliditet under 30 procent. Detta bör emellertid inte vara ett problem ifall de kan höja sina priser och bättra på sin andel eget kapital. Möjligheten att höja sina priser har därför analyserats genom att jämföra fjärrvärmeföretagens priser mot den främsta konkurrenten för uppvärmning vilken är bergvärme. En kommunvis genomgång har gjorts där vissa bolag identifierats som inte kan höja sina priser på grund av konkurrenssituationen. Dessutom har en genomgång av avbefolkningen i olika kommuner gjorts för att visa på vilka kommuner som kommer att möta ett minskat värmeunderlag.  </w:t>
      </w:r>
    </w:p>
    <w:p w:rsidR="00EC5433" w:rsidRDefault="00EC5433" w:rsidP="008026F1">
      <w:pPr>
        <w:pStyle w:val="Rubrik3"/>
      </w:pPr>
      <w:r>
        <w:t>Förmågan att förebygga och hantera avbrott</w:t>
      </w:r>
    </w:p>
    <w:p w:rsidR="00EC5433" w:rsidRDefault="00EC5433" w:rsidP="00EC5433">
      <w:pPr>
        <w:pStyle w:val="Brdtext"/>
      </w:pPr>
      <w:r>
        <w:t>Utredningsarbetet har utgått från en mängd tidigare genomförda studier och utredningar. Exempelvis en studie av hur fort olika typer av byggnader kyls ut, ett flertal studier över fjärrvärmens sårbarhet för elstörningar, en kartläggning över kommunernas förmåga att ta hand om köldkänsliga personer och en uppföljning av en stor mängd incidenter i fjärrvärmen under tre eldningssäsonger. Även annan litteratur har studerats.</w:t>
      </w:r>
      <w:r w:rsidRPr="00CE36A8">
        <w:t xml:space="preserve"> </w:t>
      </w:r>
      <w:r>
        <w:t xml:space="preserve">(Se referenser i avsnitt </w:t>
      </w:r>
      <w:r>
        <w:fldChar w:fldCharType="begin"/>
      </w:r>
      <w:r>
        <w:instrText xml:space="preserve"> REF _Ref437521213 \r \h </w:instrText>
      </w:r>
      <w:r>
        <w:fldChar w:fldCharType="separate"/>
      </w:r>
      <w:r w:rsidR="000A5878">
        <w:t>8</w:t>
      </w:r>
      <w:r>
        <w:fldChar w:fldCharType="end"/>
      </w:r>
      <w:r>
        <w:t>).</w:t>
      </w:r>
    </w:p>
    <w:p w:rsidR="00EC5433" w:rsidRDefault="00EC5433" w:rsidP="00EC5433">
      <w:pPr>
        <w:pStyle w:val="Brdtext"/>
      </w:pPr>
      <w:r>
        <w:t>Därutöver har intervjuer genomförts med nyckelpersoner i branschen samt med beredskapsansvariga i ett fåtal utvalda fjärrvärmeföretag av olika storlek och med olika typer av ägare. Underlag och slutsatser har även diskuterats med företrädare för Energimarknadsinspektionen och Svensk Fjärrvärme.</w:t>
      </w:r>
    </w:p>
    <w:p w:rsidR="00EC5433" w:rsidRPr="00EC5433" w:rsidRDefault="00EC5433" w:rsidP="00EC5433">
      <w:pPr>
        <w:pStyle w:val="Brdtext"/>
      </w:pPr>
    </w:p>
    <w:p w:rsidR="00920B75" w:rsidRDefault="00920B75" w:rsidP="00920B75">
      <w:pPr>
        <w:pStyle w:val="Rubrik1"/>
      </w:pPr>
      <w:bookmarkStart w:id="10" w:name="_Toc436905000"/>
      <w:bookmarkStart w:id="11" w:name="_Toc438471421"/>
      <w:r>
        <w:lastRenderedPageBreak/>
        <w:t>Trygg fjärrvärmeförsörjning</w:t>
      </w:r>
      <w:bookmarkEnd w:id="10"/>
      <w:bookmarkEnd w:id="11"/>
    </w:p>
    <w:p w:rsidR="00920B75" w:rsidRDefault="00920B75" w:rsidP="00920B75">
      <w:pPr>
        <w:pStyle w:val="Rubrik2"/>
      </w:pPr>
      <w:bookmarkStart w:id="12" w:name="_Toc436905001"/>
      <w:bookmarkStart w:id="13" w:name="_Toc438471422"/>
      <w:r>
        <w:t>Fjärrvärmeförsörjningen är samhällsviktig</w:t>
      </w:r>
      <w:bookmarkEnd w:id="12"/>
      <w:bookmarkEnd w:id="13"/>
    </w:p>
    <w:p w:rsidR="00920B75" w:rsidRDefault="00920B75" w:rsidP="00920B75">
      <w:pPr>
        <w:pStyle w:val="Brdtext"/>
        <w:widowControl w:val="0"/>
      </w:pPr>
      <w:r w:rsidRPr="00D077DF">
        <w:t xml:space="preserve">Fjärrvärme har funnits i Sverige sedan 1950-talet och producerades tidigare </w:t>
      </w:r>
      <w:r>
        <w:t>framförallt</w:t>
      </w:r>
      <w:r w:rsidRPr="00D077DF">
        <w:t xml:space="preserve"> i värmeverk</w:t>
      </w:r>
      <w:r>
        <w:t>.</w:t>
      </w:r>
      <w:r w:rsidR="000E62F9">
        <w:t xml:space="preserve"> Idag produceras i storleksordningen 40 % av svensk fjärrvärme i kraftvärmeverk. Värmen distribueras i form av hetvatten under tryck i isolerade rör.</w:t>
      </w:r>
      <w:r w:rsidRPr="00B24C8F">
        <w:t xml:space="preserve"> </w:t>
      </w:r>
      <w:r>
        <w:t xml:space="preserve">Fjärrvärme används i princip i hela landet och används då i stor utsträckning för uppvärmning, speciellt vad gäller flerbostadshus och kontors-, affärs- samt offentliga lokaler. Fjärrvärme är den dominerande uppvärmningsformen på centralorten i cirka 250 av landets 290 kommuner och finns i ytterligare drygt 20-tal kommuner. </w:t>
      </w:r>
      <w:r w:rsidRPr="00D077DF">
        <w:t>Under 2013 svarade fjärrvärme</w:t>
      </w:r>
      <w:r>
        <w:t>n</w:t>
      </w:r>
      <w:r w:rsidRPr="00D077DF">
        <w:t xml:space="preserve"> för 58 procent av den totala energianvändningen i bostäder och lokaler. Hälften av fjärrvärmen användes i flerbostadshus, medan lokaler stod för 38 procent och småhus för</w:t>
      </w:r>
      <w:r>
        <w:t xml:space="preserve"> 12 </w:t>
      </w:r>
      <w:r w:rsidRPr="00D077DF">
        <w:t>procent</w:t>
      </w:r>
      <w:r w:rsidR="004D2E36">
        <w:rPr>
          <w:rStyle w:val="Fotnotsreferens"/>
        </w:rPr>
        <w:footnoteReference w:id="3"/>
      </w:r>
      <w:r w:rsidRPr="00D077DF">
        <w:t>.</w:t>
      </w:r>
    </w:p>
    <w:p w:rsidR="00920B75" w:rsidRDefault="00920B75" w:rsidP="00920B75">
      <w:pPr>
        <w:pStyle w:val="Brdtext"/>
      </w:pPr>
      <w:r>
        <w:t xml:space="preserve">De enskilda fjärrvärmesystemen är ofta lokala, dvs. finns i en ort eller inom en kommun, men i några fall finns system som sträcker sig över kommungränser. Det finns en viss trend </w:t>
      </w:r>
      <w:r w:rsidRPr="00B90105">
        <w:t xml:space="preserve">att </w:t>
      </w:r>
      <w:r>
        <w:t xml:space="preserve">enskilda </w:t>
      </w:r>
      <w:r w:rsidRPr="00B90105">
        <w:t>fjärrvärme</w:t>
      </w:r>
      <w:r>
        <w:t>system</w:t>
      </w:r>
      <w:r w:rsidRPr="00B90105">
        <w:t xml:space="preserve"> kopplas ihop</w:t>
      </w:r>
      <w:r>
        <w:t xml:space="preserve"> till större system</w:t>
      </w:r>
      <w:r w:rsidRPr="00B90105">
        <w:t>.</w:t>
      </w:r>
      <w:r>
        <w:t xml:space="preserve"> Samtidigt kan det inom en kommun finnas flera olika fjärrvärmesystem, eventuellt med olika ägare (offentliga eller privata). Denna situation gör att robustheten mot värmeleveranserna och krisberedskapsförmågan varierar mellan olika leverantörer och mellan olika delar av landet.</w:t>
      </w:r>
    </w:p>
    <w:p w:rsidR="00920B75" w:rsidRDefault="00920B75" w:rsidP="00920B75">
      <w:pPr>
        <w:pStyle w:val="Brdtext"/>
      </w:pPr>
      <w:r>
        <w:t xml:space="preserve">Det som i detta sammanhang ger fjärrvärmen en särställning på värmemarknaden </w:t>
      </w:r>
      <w:r w:rsidR="00334DCB">
        <w:t xml:space="preserve">är </w:t>
      </w:r>
      <w:r>
        <w:t xml:space="preserve">just dess storskalighet. </w:t>
      </w:r>
      <w:r w:rsidR="00487BED">
        <w:t>För</w:t>
      </w:r>
      <w:r>
        <w:t xml:space="preserve"> en enskild fastighet eller mindre grupp av fastigheter</w:t>
      </w:r>
      <w:r w:rsidR="00487BED">
        <w:t xml:space="preserve"> som</w:t>
      </w:r>
      <w:r>
        <w:t xml:space="preserve"> försörjs med en egen värmepump eller pelletspanna innebär ett haveri i värmekällan främst stora problem och olägenheter för boende och verksamheter i just den fastigheten eller gruppen av fastigheter. I regel medför detta inte någon påfrestning på samhället, oavsett hur långvarig störningen är.</w:t>
      </w:r>
      <w:r w:rsidR="00487BED" w:rsidRPr="00487BED">
        <w:t xml:space="preserve"> </w:t>
      </w:r>
      <w:r w:rsidR="00487BED">
        <w:t xml:space="preserve">En långvarig störning i fjärrvärmeleveranserna i en tätort riskerar däremot att drabba huvuddelen av flerbostadshusen och verksamhetslokaler, </w:t>
      </w:r>
      <w:r w:rsidR="004D2E36">
        <w:t>där</w:t>
      </w:r>
      <w:r w:rsidR="00487BED">
        <w:t xml:space="preserve"> </w:t>
      </w:r>
      <w:r w:rsidR="004D2E36">
        <w:t xml:space="preserve">även </w:t>
      </w:r>
      <w:r w:rsidR="00487BED">
        <w:t>samhällsviktiga</w:t>
      </w:r>
      <w:r w:rsidR="004D2E36">
        <w:t xml:space="preserve"> verksamheter ofta är lokaliserad</w:t>
      </w:r>
      <w:r w:rsidR="00487BED">
        <w:t xml:space="preserve">. </w:t>
      </w:r>
    </w:p>
    <w:p w:rsidR="00920B75" w:rsidRDefault="00920B75" w:rsidP="00920B75">
      <w:pPr>
        <w:pStyle w:val="Rubrik2"/>
      </w:pPr>
      <w:bookmarkStart w:id="14" w:name="_Toc436905002"/>
      <w:bookmarkStart w:id="15" w:name="_Toc438471423"/>
      <w:r>
        <w:t>Målet är en trygg energiförsörjning</w:t>
      </w:r>
      <w:bookmarkEnd w:id="14"/>
      <w:bookmarkEnd w:id="15"/>
    </w:p>
    <w:p w:rsidR="00920B75" w:rsidRPr="00DE2FAF" w:rsidRDefault="00920B75" w:rsidP="00920B75">
      <w:pPr>
        <w:pStyle w:val="Rubrik3"/>
      </w:pPr>
      <w:r>
        <w:t>Utgångspunkt</w:t>
      </w:r>
    </w:p>
    <w:p w:rsidR="00920B75" w:rsidRDefault="00920B75" w:rsidP="00920B75">
      <w:pPr>
        <w:pStyle w:val="Brdtext"/>
        <w:rPr>
          <w:lang w:eastAsia="en-US"/>
        </w:rPr>
      </w:pPr>
      <w:r w:rsidRPr="00797241">
        <w:rPr>
          <w:lang w:eastAsia="en-US"/>
        </w:rPr>
        <w:t xml:space="preserve">Det moderna samhället är starkt beroende av en fungerande energiförsörjning. </w:t>
      </w:r>
      <w:r w:rsidR="006E1BCF">
        <w:rPr>
          <w:lang w:eastAsia="en-US"/>
        </w:rPr>
        <w:t xml:space="preserve">Den svenska energipolitiken bygger på samma tre grundpelare som energisamarbetet inom EU, nämligen ekologisk hållbarhet, konkurrenskraft och försörjningstrygghet. </w:t>
      </w:r>
      <w:r>
        <w:rPr>
          <w:lang w:eastAsia="en-US"/>
        </w:rPr>
        <w:t>Det övergripande målet</w:t>
      </w:r>
      <w:r>
        <w:t xml:space="preserve"> för Sveriges energipolitik är </w:t>
      </w:r>
      <w:r w:rsidRPr="009D1250">
        <w:rPr>
          <w:lang w:eastAsia="en-US"/>
        </w:rPr>
        <w:t>att på kort och lång sikt trygga tillgången på el och annan energi med</w:t>
      </w:r>
      <w:r>
        <w:rPr>
          <w:lang w:eastAsia="en-US"/>
        </w:rPr>
        <w:t xml:space="preserve"> för omvärlden</w:t>
      </w:r>
      <w:r w:rsidRPr="009D1250">
        <w:rPr>
          <w:lang w:eastAsia="en-US"/>
        </w:rPr>
        <w:t xml:space="preserve"> </w:t>
      </w:r>
      <w:r w:rsidRPr="009D1250">
        <w:rPr>
          <w:lang w:eastAsia="en-US"/>
        </w:rPr>
        <w:lastRenderedPageBreak/>
        <w:t>konkurrenskraftiga villkor</w:t>
      </w:r>
      <w:r>
        <w:rPr>
          <w:lang w:eastAsia="en-US"/>
        </w:rPr>
        <w:t xml:space="preserve">. </w:t>
      </w:r>
      <w:r w:rsidR="006E1BCF">
        <w:rPr>
          <w:lang w:eastAsia="en-US"/>
        </w:rPr>
        <w:t xml:space="preserve"> </w:t>
      </w:r>
      <w:r>
        <w:rPr>
          <w:lang w:eastAsia="en-US"/>
        </w:rPr>
        <w:t>Det finns även inom andra områden politiska mål med tydliga kopplingar till försörjningstrygghet. Det gäller exempelvis målen för samhällets krisberedskap och</w:t>
      </w:r>
      <w:r w:rsidR="00C1146C">
        <w:rPr>
          <w:lang w:eastAsia="en-US"/>
        </w:rPr>
        <w:t xml:space="preserve"> civilt försvar</w:t>
      </w:r>
      <w:r>
        <w:rPr>
          <w:lang w:eastAsia="en-US"/>
        </w:rPr>
        <w:t>, olika miljömål och mål kopplat till människors hälsa och sociala trygghet.</w:t>
      </w:r>
    </w:p>
    <w:p w:rsidR="00920B75" w:rsidRDefault="00920B75" w:rsidP="00920B75">
      <w:pPr>
        <w:pStyle w:val="Brdtext"/>
      </w:pPr>
      <w:r w:rsidRPr="00797241">
        <w:rPr>
          <w:lang w:eastAsia="en-US"/>
        </w:rPr>
        <w:t xml:space="preserve">Störningar och avbrott i försörjningen av el, </w:t>
      </w:r>
      <w:r>
        <w:rPr>
          <w:lang w:eastAsia="en-US"/>
        </w:rPr>
        <w:t>drivmedel</w:t>
      </w:r>
      <w:r w:rsidRPr="00797241">
        <w:rPr>
          <w:lang w:eastAsia="en-US"/>
        </w:rPr>
        <w:t>, gas eller värme kan leda till allvarliga konsekvenser såväl för den enskilde som för viktiga funktioner i samhället. Det gör att det ställs höga krav på till</w:t>
      </w:r>
      <w:r>
        <w:rPr>
          <w:lang w:eastAsia="en-US"/>
        </w:rPr>
        <w:t>förlitligheten i energisystemen, det vill säga</w:t>
      </w:r>
      <w:r w:rsidRPr="00E01DE3">
        <w:rPr>
          <w:lang w:eastAsia="en-US"/>
        </w:rPr>
        <w:t xml:space="preserve"> </w:t>
      </w:r>
      <w:r>
        <w:rPr>
          <w:lang w:eastAsia="en-US"/>
        </w:rPr>
        <w:t xml:space="preserve">att det finns en trygg </w:t>
      </w:r>
      <w:r w:rsidRPr="00E01DE3">
        <w:rPr>
          <w:lang w:eastAsia="en-US"/>
        </w:rPr>
        <w:t>energiförsörjning</w:t>
      </w:r>
      <w:r>
        <w:rPr>
          <w:lang w:eastAsia="en-US"/>
        </w:rPr>
        <w:t xml:space="preserve">. </w:t>
      </w:r>
      <w:r w:rsidRPr="005E3BD1">
        <w:t>Vad som är en trygg energiförsörjning varierar utifrån olika energianvändares specifika behov och förutsättningar. Det som är tillfredställande för en energianvändare vid en tidpunkt kan vid en annan tidpunkt, eller för en annan energianvändare, vara helt oacceptabelt</w:t>
      </w:r>
      <w:r w:rsidRPr="00000628">
        <w:t>.</w:t>
      </w:r>
    </w:p>
    <w:p w:rsidR="00920B75" w:rsidRDefault="00920B75" w:rsidP="00920B75">
      <w:pPr>
        <w:pStyle w:val="Brdtext"/>
      </w:pPr>
      <w:r>
        <w:t>B</w:t>
      </w:r>
      <w:r w:rsidRPr="00A978AE">
        <w:t xml:space="preserve">ehovet av energi i samhället förändras kontinuerligt, </w:t>
      </w:r>
      <w:r>
        <w:t>vilket kräver</w:t>
      </w:r>
      <w:r w:rsidRPr="00A978AE">
        <w:t xml:space="preserve"> ständiga analyser och anpassningar av både energisystemen och samhället</w:t>
      </w:r>
      <w:r>
        <w:t>s krisberedskap</w:t>
      </w:r>
      <w:r w:rsidRPr="00A978AE">
        <w:t xml:space="preserve"> för att säkerställa </w:t>
      </w:r>
      <w:r>
        <w:t>att behovet</w:t>
      </w:r>
      <w:r w:rsidRPr="00A978AE">
        <w:t xml:space="preserve"> av försörjningstrygghet</w:t>
      </w:r>
      <w:r>
        <w:t xml:space="preserve"> uppnås</w:t>
      </w:r>
      <w:r w:rsidRPr="00A978AE">
        <w:t>.</w:t>
      </w:r>
      <w:r>
        <w:t xml:space="preserve"> </w:t>
      </w:r>
    </w:p>
    <w:p w:rsidR="008D678B" w:rsidRDefault="008D678B" w:rsidP="004806BB">
      <w:pPr>
        <w:autoSpaceDE w:val="0"/>
        <w:autoSpaceDN w:val="0"/>
        <w:adjustRightInd w:val="0"/>
        <w:spacing w:after="140" w:line="241" w:lineRule="atLeast"/>
      </w:pPr>
      <w:r w:rsidRPr="00BD5389">
        <w:rPr>
          <w:rStyle w:val="BrdtextChar"/>
        </w:rPr>
        <w:t>Eftersom marknaderna för olika energislag har olika geografiska utbredningar, behöver krishanteringsarbetet bygga på gemensamma mekanismer och samarbeten inom dessa geografiska områden. Inom olje- och drivmedelsområdet sker samarbetet på global nivå</w:t>
      </w:r>
      <w:r>
        <w:rPr>
          <w:rStyle w:val="BrdtextChar"/>
        </w:rPr>
        <w:t>, exempelvis inom IEA</w:t>
      </w:r>
      <w:r w:rsidRPr="00BD5389">
        <w:rPr>
          <w:rStyle w:val="BrdtextChar"/>
        </w:rPr>
        <w:t>. För naturgasförsörjningen sker samarbetet på europeisk nivå och i viss mån global nivå. Samarbetet inom elförsörjning har främst ett nordiskt perspektiv medan krisberedskapssamarbetet för värme</w:t>
      </w:r>
      <w:r w:rsidR="001507CD">
        <w:rPr>
          <w:rStyle w:val="BrdtextChar"/>
        </w:rPr>
        <w:t>- och kyla</w:t>
      </w:r>
      <w:r w:rsidRPr="00BD5389">
        <w:rPr>
          <w:rStyle w:val="BrdtextChar"/>
        </w:rPr>
        <w:t>försörjningen sker lokalt och nationellt.</w:t>
      </w:r>
      <w:r>
        <w:rPr>
          <w:rStyle w:val="BrdtextChar"/>
        </w:rPr>
        <w:t xml:space="preserve"> </w:t>
      </w:r>
    </w:p>
    <w:p w:rsidR="00920B75" w:rsidRDefault="00920B75" w:rsidP="00920B75">
      <w:pPr>
        <w:pStyle w:val="Rubrik3"/>
      </w:pPr>
      <w:bookmarkStart w:id="16" w:name="_Ref436901893"/>
      <w:r>
        <w:t>Begreppet trygg energiförsörjning</w:t>
      </w:r>
      <w:bookmarkEnd w:id="16"/>
    </w:p>
    <w:p w:rsidR="00920B75" w:rsidRPr="00000628" w:rsidRDefault="00C1146C" w:rsidP="004806BB">
      <w:pPr>
        <w:pStyle w:val="Brdtext"/>
      </w:pPr>
      <w:r>
        <w:t>D</w:t>
      </w:r>
      <w:r w:rsidRPr="00000628">
        <w:t xml:space="preserve">et går inte att fastställa </w:t>
      </w:r>
      <w:r>
        <w:t xml:space="preserve">ett </w:t>
      </w:r>
      <w:r w:rsidRPr="00000628">
        <w:t>övergripande kvantitativ</w:t>
      </w:r>
      <w:r>
        <w:t>t</w:t>
      </w:r>
      <w:r w:rsidRPr="00000628">
        <w:t xml:space="preserve"> mål för försörjningstryggheten</w:t>
      </w:r>
      <w:r w:rsidR="001507CD">
        <w:t xml:space="preserve"> i samhället.</w:t>
      </w:r>
      <w:r w:rsidR="00920B75">
        <w:t xml:space="preserve"> </w:t>
      </w:r>
      <w:r w:rsidR="00920B75" w:rsidRPr="00000628">
        <w:t xml:space="preserve">Energimyndigheten </w:t>
      </w:r>
      <w:r w:rsidR="00920B75">
        <w:t>har emellertid definierat</w:t>
      </w:r>
      <w:r w:rsidR="00920B75" w:rsidRPr="00000628">
        <w:t xml:space="preserve"> begreppet </w:t>
      </w:r>
      <w:r w:rsidR="00920B75">
        <w:t>trygg energiförsörjning enligt följande</w:t>
      </w:r>
      <w:r w:rsidR="00920B75" w:rsidRPr="00000628">
        <w:t>:</w:t>
      </w:r>
    </w:p>
    <w:p w:rsidR="00920B75" w:rsidRDefault="00920B75" w:rsidP="00920B75">
      <w:pPr>
        <w:pStyle w:val="Citat"/>
        <w:rPr>
          <w:color w:val="FF0000"/>
        </w:rPr>
      </w:pPr>
      <w:r>
        <w:t xml:space="preserve">Energisystemens förmåga att leverera </w:t>
      </w:r>
      <w:r w:rsidRPr="00117A0B">
        <w:t xml:space="preserve">energi enligt användarnas behov och efterfrågan, till en accepterad kostnad, samt marknadens, offentlig sektors och användarnas samlade </w:t>
      </w:r>
      <w:r w:rsidR="004806BB" w:rsidRPr="00117A0B">
        <w:t>kris</w:t>
      </w:r>
      <w:r w:rsidR="004806BB">
        <w:t>hanterings</w:t>
      </w:r>
      <w:r w:rsidR="004806BB" w:rsidRPr="00117A0B">
        <w:t>förmåga</w:t>
      </w:r>
      <w:r w:rsidRPr="00117A0B">
        <w:t>.</w:t>
      </w:r>
    </w:p>
    <w:p w:rsidR="00920B75" w:rsidRPr="007A5007" w:rsidRDefault="00920B75" w:rsidP="00920B75">
      <w:pPr>
        <w:pStyle w:val="Default"/>
        <w:rPr>
          <w:rFonts w:ascii="Times New Roman" w:hAnsi="Times New Roman" w:cs="Times New Roman"/>
          <w:color w:val="FF0000"/>
        </w:rPr>
      </w:pPr>
    </w:p>
    <w:p w:rsidR="00920B75" w:rsidRDefault="00920B75" w:rsidP="00920B75">
      <w:pPr>
        <w:pStyle w:val="Brdtext"/>
      </w:pPr>
      <w:r w:rsidRPr="006614DC">
        <w:t xml:space="preserve">En grundläggande utgångspunkt är att tryggheten utgår från </w:t>
      </w:r>
      <w:r>
        <w:t xml:space="preserve">olika </w:t>
      </w:r>
      <w:r w:rsidRPr="006614DC">
        <w:t xml:space="preserve">användares individuella och kollektiva behov. Trygghet ska i första hand säkerställas genom väl fungerande energimarknader. </w:t>
      </w:r>
      <w:r>
        <w:t>D</w:t>
      </w:r>
      <w:r w:rsidRPr="006614DC">
        <w:t>et offentliga</w:t>
      </w:r>
      <w:r>
        <w:t xml:space="preserve"> har</w:t>
      </w:r>
      <w:r w:rsidRPr="006614DC">
        <w:t xml:space="preserve"> en viktig roll i utformning och kontroll av energimarknader</w:t>
      </w:r>
      <w:r>
        <w:t>na</w:t>
      </w:r>
      <w:r w:rsidRPr="006614DC">
        <w:t xml:space="preserve">. De </w:t>
      </w:r>
      <w:r>
        <w:t xml:space="preserve">aktörer </w:t>
      </w:r>
      <w:r w:rsidRPr="006614DC">
        <w:t xml:space="preserve">som tillhandahåller energi har ett långtgående ansvar för att förebygga och lindra de störningar som kan uppstå. Energianvändare </w:t>
      </w:r>
      <w:r>
        <w:t>å sin sida har</w:t>
      </w:r>
      <w:r w:rsidRPr="006614DC">
        <w:t xml:space="preserve"> </w:t>
      </w:r>
      <w:r>
        <w:t xml:space="preserve">ett </w:t>
      </w:r>
      <w:r w:rsidRPr="006614DC">
        <w:t xml:space="preserve">ansvar för att kunna hantera konsekvenser av störningar och avbrott i energileveranser som </w:t>
      </w:r>
      <w:r>
        <w:t xml:space="preserve">kan </w:t>
      </w:r>
      <w:r w:rsidRPr="006614DC">
        <w:t xml:space="preserve">uppstå. </w:t>
      </w:r>
    </w:p>
    <w:p w:rsidR="00920B75" w:rsidRDefault="008D678B" w:rsidP="00920B75">
      <w:pPr>
        <w:pStyle w:val="Brdtext"/>
        <w:rPr>
          <w:lang w:eastAsia="en-US"/>
        </w:rPr>
      </w:pPr>
      <w:r>
        <w:rPr>
          <w:lang w:eastAsia="en-US"/>
        </w:rPr>
        <w:t>När</w:t>
      </w:r>
      <w:r w:rsidR="00920B75">
        <w:rPr>
          <w:lang w:eastAsia="en-US"/>
        </w:rPr>
        <w:t xml:space="preserve"> energimarknaderna inte på ett tillfredställande sätt kan förebygga och </w:t>
      </w:r>
      <w:r w:rsidR="001507CD">
        <w:rPr>
          <w:lang w:eastAsia="en-US"/>
        </w:rPr>
        <w:t xml:space="preserve">hantera </w:t>
      </w:r>
      <w:r w:rsidR="00920B75">
        <w:rPr>
          <w:lang w:eastAsia="en-US"/>
        </w:rPr>
        <w:t>störningar ska det finnas förberedda och väl kända krishanteringsåtgärder. Dessa ska i första hand bygga på och förstärka befintliga marknadsfunktioner. I sista hand, om en marknad inte fungerar eller om marknadsfunktionen vid en störning eller bristsituation leder till helt oacceptabla konsekvens</w:t>
      </w:r>
      <w:r w:rsidR="007B5110">
        <w:rPr>
          <w:lang w:eastAsia="en-US"/>
        </w:rPr>
        <w:t xml:space="preserve">er för samhället, kan </w:t>
      </w:r>
      <w:r w:rsidR="007B5110">
        <w:rPr>
          <w:lang w:eastAsia="en-US"/>
        </w:rPr>
        <w:lastRenderedPageBreak/>
        <w:t>åtgärder eller mekanismer</w:t>
      </w:r>
      <w:r w:rsidR="00920B75">
        <w:rPr>
          <w:lang w:eastAsia="en-US"/>
        </w:rPr>
        <w:t xml:space="preserve"> som sätter marknadens funktion ur spel användas. Dessa mekanismer är en del av det svenska krishanteringssystemet, som främst </w:t>
      </w:r>
      <w:r w:rsidR="00920B75" w:rsidRPr="00A13DE9">
        <w:rPr>
          <w:lang w:eastAsia="en-US"/>
        </w:rPr>
        <w:t>syftar till att skydda befolkningens liv och hälsa, samhällets funktionalitet samt förmåga att upprätthålla grundläggande värden såsom demokrati, rättssäkerhet och mänskliga rättigheter.</w:t>
      </w:r>
    </w:p>
    <w:p w:rsidR="00920B75" w:rsidRDefault="00920B75" w:rsidP="00920B75">
      <w:pPr>
        <w:pStyle w:val="Brdtext"/>
        <w:rPr>
          <w:lang w:eastAsia="en-US"/>
        </w:rPr>
      </w:pPr>
      <w:r>
        <w:rPr>
          <w:lang w:eastAsia="en-US"/>
        </w:rPr>
        <w:t>För att krishanteringen ska fungera behöver arbetet ske på både nationell, regional och lokal nivå utifrån de grundläggande principerna</w:t>
      </w:r>
      <w:r>
        <w:rPr>
          <w:rStyle w:val="Fotnotsreferens"/>
          <w:lang w:eastAsia="en-US"/>
        </w:rPr>
        <w:footnoteReference w:id="4"/>
      </w:r>
      <w:r>
        <w:rPr>
          <w:lang w:eastAsia="en-US"/>
        </w:rPr>
        <w:t xml:space="preserve"> för samhällets krishanteringssystem.</w:t>
      </w:r>
    </w:p>
    <w:p w:rsidR="00C1146C" w:rsidRDefault="00F268E0" w:rsidP="00F268E0">
      <w:pPr>
        <w:pStyle w:val="Brdtext"/>
        <w:rPr>
          <w:lang w:eastAsia="en-US"/>
        </w:rPr>
      </w:pPr>
      <w:r>
        <w:rPr>
          <w:lang w:eastAsia="en-US"/>
        </w:rPr>
        <w:t>Målet för civilt försvar är att värna civilbefolkningen, säkerställa de viktigaste samhällsfunktionerna och bidra till Försvarsmaktens förmåga vid ett väpnat angrepp eller krig i vår omvärld. Planering för det civila försvaret är nyligen återupptagen och kommer att omfatta energiförsörjningen.</w:t>
      </w:r>
    </w:p>
    <w:p w:rsidR="00920B75" w:rsidRPr="0041631F" w:rsidRDefault="00920B75" w:rsidP="00920B75">
      <w:pPr>
        <w:pStyle w:val="Rubrik3"/>
      </w:pPr>
      <w:bookmarkStart w:id="17" w:name="_Ref436990140"/>
      <w:r>
        <w:t xml:space="preserve">Trygg energiförsörjning tillämpat på </w:t>
      </w:r>
      <w:r w:rsidR="007B5110">
        <w:t>fjärr</w:t>
      </w:r>
      <w:r>
        <w:t>värmeförsörjningen</w:t>
      </w:r>
      <w:bookmarkEnd w:id="17"/>
    </w:p>
    <w:p w:rsidR="00920B75" w:rsidRDefault="00920B75" w:rsidP="00920B75">
      <w:pPr>
        <w:pStyle w:val="Brdtext"/>
      </w:pPr>
      <w:r>
        <w:t xml:space="preserve">Energimyndighetens definition av </w:t>
      </w:r>
      <w:r w:rsidRPr="00C22B71">
        <w:t>trygg energiförsörjning</w:t>
      </w:r>
      <w:r>
        <w:t xml:space="preserve">, se avsnitt </w:t>
      </w:r>
      <w:r>
        <w:fldChar w:fldCharType="begin"/>
      </w:r>
      <w:r>
        <w:instrText xml:space="preserve"> REF _Ref436901893 \r \h </w:instrText>
      </w:r>
      <w:r>
        <w:fldChar w:fldCharType="separate"/>
      </w:r>
      <w:r w:rsidR="000A5878">
        <w:t>3.2.2</w:t>
      </w:r>
      <w:r>
        <w:fldChar w:fldCharType="end"/>
      </w:r>
      <w:r>
        <w:t>,</w:t>
      </w:r>
      <w:r w:rsidRPr="00C22B71">
        <w:t xml:space="preserve"> innebär att det är flera olika aktörer som tillsammans bidrar till att skapa en trygg energiförsörjning</w:t>
      </w:r>
      <w:r>
        <w:t>:</w:t>
      </w:r>
    </w:p>
    <w:p w:rsidR="00920B75" w:rsidRDefault="00920B75" w:rsidP="00FD79A3">
      <w:pPr>
        <w:pStyle w:val="Punktlista"/>
        <w:numPr>
          <w:ilvl w:val="0"/>
          <w:numId w:val="1"/>
        </w:numPr>
      </w:pPr>
      <w:r>
        <w:t xml:space="preserve">Att upprätthålla </w:t>
      </w:r>
      <w:r w:rsidR="00CC590F">
        <w:rPr>
          <w:i/>
        </w:rPr>
        <w:t>förmåga att leverera fjärr</w:t>
      </w:r>
      <w:r w:rsidRPr="0041631F">
        <w:rPr>
          <w:i/>
        </w:rPr>
        <w:t>värme enligt användarnas behov och efterfrågan</w:t>
      </w:r>
      <w:r>
        <w:t xml:space="preserve"> är främst en uppgift för fjärrvärmeföretagen, men villkoren för företagens verksamhet definieras av riksdag, rege</w:t>
      </w:r>
      <w:r w:rsidR="00CC590F">
        <w:t xml:space="preserve">ring och centrala myndigheter. </w:t>
      </w:r>
      <w:r w:rsidR="001507CD">
        <w:t xml:space="preserve">Fjärrvärmeförsörjningen påverkas av såväl marknadsspecifika författningar som av krav i mer generella författningar såsom </w:t>
      </w:r>
      <w:r>
        <w:t>miljöbalken, plan- och bygglag m.fl. författningar samt kommuners och länsstyrelsers tillämpning av dessa författningar.</w:t>
      </w:r>
      <w:r w:rsidR="007B5110">
        <w:t xml:space="preserve"> Vidare påverkas </w:t>
      </w:r>
      <w:r w:rsidR="001507CD">
        <w:t>försörjningstryggheten</w:t>
      </w:r>
      <w:r w:rsidR="007B5110">
        <w:t xml:space="preserve"> av det lokala fjärrvärmeföretagets beroende av bränsleslag, huruvida deras produktionsanläggningar är lokaliserade på en eller flera platser med mera.</w:t>
      </w:r>
    </w:p>
    <w:p w:rsidR="00920B75" w:rsidRDefault="00920B75" w:rsidP="00A24540">
      <w:pPr>
        <w:pStyle w:val="Punktlista"/>
        <w:numPr>
          <w:ilvl w:val="0"/>
          <w:numId w:val="1"/>
        </w:numPr>
      </w:pPr>
      <w:r>
        <w:t xml:space="preserve">Att </w:t>
      </w:r>
      <w:r w:rsidR="00CC590F">
        <w:t>fjärr</w:t>
      </w:r>
      <w:r>
        <w:t xml:space="preserve">värmeleveranserna sker </w:t>
      </w:r>
      <w:r w:rsidRPr="0041631F">
        <w:rPr>
          <w:i/>
        </w:rPr>
        <w:t>till en accepterad kostnad</w:t>
      </w:r>
      <w:r>
        <w:t xml:space="preserve"> ”regleras” främst av marknadskrafterna, dvs. fjärrvärmens konkurrenskraft i förhållande till andra uppvärmningsalternativ. Energimarknadsinspektionen </w:t>
      </w:r>
      <w:r w:rsidRPr="00DB2E41">
        <w:t>ser till att fjärrvärmeföretagen följer fjärrvärmelagen</w:t>
      </w:r>
      <w:r>
        <w:t xml:space="preserve">, men utövar ingen tillsyn över det pris som fjärrvärmeföretaget tar ut av sina kunder. Vid Energimyndigheten finns Fjärrvärmenämnden med uppgift att medla vid </w:t>
      </w:r>
      <w:r w:rsidRPr="003D13A1">
        <w:t>förhandlingar mellan fjärrvärmeföretag och fjärrvärmekunder om priser och övriga villkor för fjärrvärme</w:t>
      </w:r>
      <w:r>
        <w:t>. En ökad robusthet i värmeförsörjningen riskerar, i varje fall initialt, att medföra kostnader som i slutänden betalas av användaren.</w:t>
      </w:r>
    </w:p>
    <w:p w:rsidR="00920B75" w:rsidRPr="00313B65" w:rsidRDefault="00920B75" w:rsidP="00FD79A3">
      <w:pPr>
        <w:pStyle w:val="Punktlista"/>
        <w:numPr>
          <w:ilvl w:val="0"/>
          <w:numId w:val="1"/>
        </w:numPr>
      </w:pPr>
      <w:r w:rsidRPr="0041631F">
        <w:rPr>
          <w:iCs/>
        </w:rPr>
        <w:t xml:space="preserve">Att </w:t>
      </w:r>
      <w:r>
        <w:rPr>
          <w:iCs/>
        </w:rPr>
        <w:t xml:space="preserve">tryggheten i </w:t>
      </w:r>
      <w:r w:rsidR="00CC590F">
        <w:rPr>
          <w:iCs/>
        </w:rPr>
        <w:t>fjärr</w:t>
      </w:r>
      <w:r>
        <w:rPr>
          <w:iCs/>
        </w:rPr>
        <w:t xml:space="preserve">värmeförsörjningen även bygger på </w:t>
      </w:r>
      <w:r w:rsidRPr="00117A0B">
        <w:rPr>
          <w:i/>
          <w:iCs/>
        </w:rPr>
        <w:t>marknadens, offentlig sektors och användarnas samlade krisberedskapsförmåga</w:t>
      </w:r>
      <w:r w:rsidRPr="0041631F">
        <w:rPr>
          <w:iCs/>
        </w:rPr>
        <w:t xml:space="preserve"> </w:t>
      </w:r>
      <w:r>
        <w:rPr>
          <w:iCs/>
        </w:rPr>
        <w:t xml:space="preserve">medför att såväl fjärrvärmeföretag, myndigheter på central, regional och lokal nivå samt användarna själva (utifrån sina behov) är delaktiga i skapandet av en trygg värmeförsörjning utifrån samhällets generella och enskildas individuella behov. </w:t>
      </w:r>
      <w:r>
        <w:rPr>
          <w:iCs/>
        </w:rPr>
        <w:lastRenderedPageBreak/>
        <w:t xml:space="preserve">Energimyndigheten har avseende </w:t>
      </w:r>
      <w:r w:rsidR="00A24540">
        <w:rPr>
          <w:iCs/>
        </w:rPr>
        <w:t xml:space="preserve">krisberedskapen hos </w:t>
      </w:r>
      <w:r>
        <w:rPr>
          <w:iCs/>
        </w:rPr>
        <w:t>användarna</w:t>
      </w:r>
      <w:r w:rsidR="00A24540" w:rsidRPr="00A24540">
        <w:t xml:space="preserve"> </w:t>
      </w:r>
      <w:r w:rsidR="00A24540">
        <w:t>och geografiskt områdesansvariga på regional och lokal nivå</w:t>
      </w:r>
      <w:r w:rsidR="00A24540" w:rsidRPr="00A24540">
        <w:rPr>
          <w:iCs/>
        </w:rPr>
        <w:t xml:space="preserve"> </w:t>
      </w:r>
      <w:r>
        <w:rPr>
          <w:iCs/>
        </w:rPr>
        <w:t>huvudsakligen en informations- och kunskapsförmedlande roll.</w:t>
      </w:r>
    </w:p>
    <w:p w:rsidR="00920B75" w:rsidRDefault="002B4FD6" w:rsidP="00920B75">
      <w:pPr>
        <w:pStyle w:val="Rubrik3"/>
      </w:pPr>
      <w:bookmarkStart w:id="18" w:name="_Ref438214141"/>
      <w:r>
        <w:t>Mål för samhällets värmekrisberedskap</w:t>
      </w:r>
      <w:bookmarkEnd w:id="18"/>
    </w:p>
    <w:p w:rsidR="00920B75" w:rsidRDefault="00920B75" w:rsidP="00920B75">
      <w:pPr>
        <w:pStyle w:val="Brdtext"/>
        <w:rPr>
          <w:lang w:eastAsia="en-US"/>
        </w:rPr>
      </w:pPr>
      <w:r w:rsidRPr="001E051C">
        <w:rPr>
          <w:lang w:eastAsia="en-US"/>
        </w:rPr>
        <w:t xml:space="preserve">I </w:t>
      </w:r>
      <w:r w:rsidR="001507CD">
        <w:rPr>
          <w:lang w:eastAsia="en-US"/>
        </w:rPr>
        <w:t xml:space="preserve">redovisningen av </w:t>
      </w:r>
      <w:r w:rsidRPr="001E051C">
        <w:rPr>
          <w:lang w:eastAsia="en-US"/>
        </w:rPr>
        <w:t>ett regeringsuppdrag 2010</w:t>
      </w:r>
      <w:r>
        <w:rPr>
          <w:rStyle w:val="Fotnotsreferens"/>
          <w:lang w:eastAsia="en-US"/>
        </w:rPr>
        <w:footnoteReference w:id="5"/>
      </w:r>
      <w:r w:rsidRPr="001E051C">
        <w:rPr>
          <w:lang w:eastAsia="en-US"/>
        </w:rPr>
        <w:t xml:space="preserve"> </w:t>
      </w:r>
      <w:r>
        <w:rPr>
          <w:lang w:eastAsia="en-US"/>
        </w:rPr>
        <w:t>föreslog Myndigheten för samhällsskydd och beredskap (MSB)</w:t>
      </w:r>
      <w:r w:rsidR="00A55C3E">
        <w:rPr>
          <w:lang w:eastAsia="en-US"/>
        </w:rPr>
        <w:t xml:space="preserve"> i samverkan med Energimyndigheten</w:t>
      </w:r>
      <w:r>
        <w:rPr>
          <w:lang w:eastAsia="en-US"/>
        </w:rPr>
        <w:t xml:space="preserve"> bland annat tre </w:t>
      </w:r>
      <w:r w:rsidRPr="001E051C">
        <w:rPr>
          <w:lang w:eastAsia="en-US"/>
        </w:rPr>
        <w:t xml:space="preserve">resultatmål för samhällets krisberedskap </w:t>
      </w:r>
      <w:r>
        <w:rPr>
          <w:lang w:eastAsia="en-US"/>
        </w:rPr>
        <w:t xml:space="preserve">gällande </w:t>
      </w:r>
      <w:r w:rsidRPr="001E051C">
        <w:rPr>
          <w:lang w:eastAsia="en-US"/>
        </w:rPr>
        <w:t>värmeförsörjning</w:t>
      </w:r>
      <w:r w:rsidR="00A55C3E">
        <w:rPr>
          <w:lang w:eastAsia="en-US"/>
        </w:rPr>
        <w:t>:</w:t>
      </w:r>
      <w:r>
        <w:rPr>
          <w:lang w:eastAsia="en-US"/>
        </w:rPr>
        <w:t xml:space="preserve"> </w:t>
      </w:r>
    </w:p>
    <w:p w:rsidR="00920B75" w:rsidRPr="0041631F" w:rsidRDefault="001507CD" w:rsidP="00FD79A3">
      <w:pPr>
        <w:pStyle w:val="Nummerlista"/>
      </w:pPr>
      <w:r>
        <w:t>a</w:t>
      </w:r>
      <w:r w:rsidRPr="0041631F">
        <w:t xml:space="preserve">tt </w:t>
      </w:r>
      <w:r w:rsidR="00920B75" w:rsidRPr="0041631F">
        <w:t>berörda aktörer med utgångspunkt i risk- och sårbarhetsanalyser, förmågebedömningar och annan beredskapsplanering vidtar åtgärder som minskar risken för allvarliga störningar i värmeförsörjningen,</w:t>
      </w:r>
    </w:p>
    <w:p w:rsidR="00920B75" w:rsidRPr="0041631F" w:rsidRDefault="001507CD" w:rsidP="00FD79A3">
      <w:pPr>
        <w:pStyle w:val="Nummerlista"/>
      </w:pPr>
      <w:r>
        <w:t>a</w:t>
      </w:r>
      <w:r w:rsidRPr="0041631F">
        <w:t xml:space="preserve">tt </w:t>
      </w:r>
      <w:r w:rsidR="00920B75" w:rsidRPr="0041631F">
        <w:t>samhällsviktiga system för värmeförsörjningen efter en störning kan återställas inom en sådan tid och på en sådan nivå att byggnader och infrastruktur skyddas mot frysskador samt</w:t>
      </w:r>
    </w:p>
    <w:p w:rsidR="00920B75" w:rsidRPr="0041631F" w:rsidRDefault="001507CD" w:rsidP="00FD79A3">
      <w:pPr>
        <w:pStyle w:val="Nummerlista"/>
      </w:pPr>
      <w:r>
        <w:t>a</w:t>
      </w:r>
      <w:r w:rsidRPr="0041631F">
        <w:t xml:space="preserve">tt </w:t>
      </w:r>
      <w:r w:rsidR="00920B75" w:rsidRPr="0041631F">
        <w:t>det finns en planering som har en sådan omfattning och inriktning att varje individ vid en allvarlig störning i värmeförsörjningen i ett krisläge har tillgång till ett uppvärmt utrymme inom en sådan tid att det inte uppstår hälsorisker.</w:t>
      </w:r>
    </w:p>
    <w:p w:rsidR="00A55C3E" w:rsidRDefault="00920B75" w:rsidP="00920B75">
      <w:pPr>
        <w:pStyle w:val="Nummerlista"/>
        <w:numPr>
          <w:ilvl w:val="0"/>
          <w:numId w:val="0"/>
        </w:numPr>
      </w:pPr>
      <w:r>
        <w:t>Under år 2014 fick MSB ett nytt regeringsuppdrag att ”</w:t>
      </w:r>
      <w:r w:rsidRPr="00446D0D">
        <w:rPr>
          <w:i/>
        </w:rPr>
        <w:t>i samverkan med berörda aktörer fortsätta arbetet med att använda befintliga och identifiera fler resultatmål för krisberedskapen i samhället</w:t>
      </w:r>
      <w:r>
        <w:t xml:space="preserve">”, trots att de tidigare förslagen ännu inte fastställts i någon författning. MSB valde då att </w:t>
      </w:r>
      <w:r w:rsidR="001507CD">
        <w:t xml:space="preserve">på egen hand </w:t>
      </w:r>
      <w:r>
        <w:t xml:space="preserve">försöka vidareutveckla resultatmålen för värme utöver vad som stod i uppdraget. </w:t>
      </w:r>
      <w:r w:rsidR="00A55C3E">
        <w:t>Energimyndigheten</w:t>
      </w:r>
      <w:r w:rsidR="00597B2C">
        <w:t xml:space="preserve"> framförde synpunkter på processen genom vilken förslagen utarbetades, och</w:t>
      </w:r>
      <w:r w:rsidR="00A55C3E">
        <w:t xml:space="preserve"> </w:t>
      </w:r>
      <w:r w:rsidR="00EA3E29">
        <w:t>såg avgörande brister</w:t>
      </w:r>
      <w:r w:rsidR="00597B2C">
        <w:t xml:space="preserve"> i de slutliga förslagen</w:t>
      </w:r>
      <w:r w:rsidR="00597B2C">
        <w:rPr>
          <w:rStyle w:val="Fotnotsreferens"/>
        </w:rPr>
        <w:footnoteReference w:id="6"/>
      </w:r>
      <w:r w:rsidR="00EA3E29">
        <w:t>.</w:t>
      </w:r>
      <w:r w:rsidR="00597B2C">
        <w:t xml:space="preserve"> Myndigheten</w:t>
      </w:r>
      <w:r w:rsidR="00EA3E29">
        <w:t xml:space="preserve"> </w:t>
      </w:r>
      <w:r w:rsidR="00A55C3E">
        <w:t>vald</w:t>
      </w:r>
      <w:r w:rsidR="00A300D1">
        <w:t xml:space="preserve">e </w:t>
      </w:r>
      <w:r w:rsidR="00597B2C">
        <w:t xml:space="preserve">därför </w:t>
      </w:r>
      <w:r w:rsidR="00A300D1">
        <w:t xml:space="preserve">att inte ställa </w:t>
      </w:r>
      <w:r w:rsidR="00A300D1" w:rsidRPr="00CD6F48">
        <w:t xml:space="preserve">sig </w:t>
      </w:r>
      <w:r w:rsidR="00CD6F48" w:rsidRPr="00CD6F48">
        <w:t xml:space="preserve">bakom </w:t>
      </w:r>
      <w:r w:rsidR="00665E4F">
        <w:t>de mål och indikatorer som MSB slutligen föreslog</w:t>
      </w:r>
      <w:r w:rsidR="00CD6F48">
        <w:t>.</w:t>
      </w:r>
      <w:r w:rsidR="00DA1E8B">
        <w:t xml:space="preserve"> </w:t>
      </w:r>
    </w:p>
    <w:p w:rsidR="005A36D3" w:rsidRPr="0085477B" w:rsidRDefault="00920B75" w:rsidP="004806BB">
      <w:pPr>
        <w:pStyle w:val="Brdtext"/>
      </w:pPr>
      <w:r>
        <w:t xml:space="preserve">Förslagen från år 2010 ger dock en god grund, och skulle kunna vidareutvecklas i författningar. </w:t>
      </w:r>
      <w:r w:rsidR="007F32BE">
        <w:t xml:space="preserve"> Se vidare avsnitt</w:t>
      </w:r>
      <w:r w:rsidR="005A36D3">
        <w:t xml:space="preserve"> </w:t>
      </w:r>
      <w:r w:rsidR="005A36D3">
        <w:fldChar w:fldCharType="begin"/>
      </w:r>
      <w:r w:rsidR="005A36D3">
        <w:instrText xml:space="preserve"> REF _Ref438044774 \r \h </w:instrText>
      </w:r>
      <w:r w:rsidR="005A36D3">
        <w:fldChar w:fldCharType="separate"/>
      </w:r>
      <w:r w:rsidR="000A5878">
        <w:t>6.8</w:t>
      </w:r>
      <w:r w:rsidR="005A36D3">
        <w:fldChar w:fldCharType="end"/>
      </w:r>
      <w:r w:rsidR="007F32BE">
        <w:t>.</w:t>
      </w:r>
    </w:p>
    <w:p w:rsidR="00920B75" w:rsidRDefault="00920B75" w:rsidP="00920B75">
      <w:pPr>
        <w:pStyle w:val="Rubrik2"/>
        <w:rPr>
          <w:lang w:eastAsia="en-US"/>
        </w:rPr>
      </w:pPr>
      <w:bookmarkStart w:id="19" w:name="_Toc436905003"/>
      <w:bookmarkStart w:id="20" w:name="_Toc438471424"/>
      <w:r>
        <w:rPr>
          <w:lang w:eastAsia="en-US"/>
        </w:rPr>
        <w:t>Kort om befintliga krav på trygg energiförsörjning</w:t>
      </w:r>
      <w:bookmarkEnd w:id="19"/>
      <w:bookmarkEnd w:id="20"/>
    </w:p>
    <w:p w:rsidR="00920B75" w:rsidRDefault="00920B75" w:rsidP="00920B75">
      <w:pPr>
        <w:pStyle w:val="Rubrik3"/>
      </w:pPr>
      <w:r>
        <w:t>Fjärrvärmeförsörjning</w:t>
      </w:r>
    </w:p>
    <w:p w:rsidR="00920B75" w:rsidRDefault="00920B75" w:rsidP="00920B75">
      <w:pPr>
        <w:pStyle w:val="Brdtext"/>
      </w:pPr>
      <w:r>
        <w:t>Det finns i dag inte några författningsmässiga krav på fjärrvärmeföretagen rörande leveranssäkerhet i fjärrvärmesystemen eller krisberedskapsförmåga. D</w:t>
      </w:r>
      <w:r w:rsidRPr="0005077A">
        <w:t>et</w:t>
      </w:r>
      <w:r>
        <w:t>ta</w:t>
      </w:r>
      <w:r w:rsidRPr="0005077A">
        <w:t xml:space="preserve"> regleras i förekommande fall i avtal </w:t>
      </w:r>
      <w:r>
        <w:t>mellan leverantör och användare</w:t>
      </w:r>
      <w:r w:rsidRPr="0005077A">
        <w:t>.</w:t>
      </w:r>
      <w:r w:rsidRPr="00313B65">
        <w:t xml:space="preserve"> </w:t>
      </w:r>
      <w:r>
        <w:t xml:space="preserve">Fjärrvärmelagen (2008:263) innehåller dock bestämmelser om skydd för konsumenter mot avbrott i </w:t>
      </w:r>
      <w:r>
        <w:lastRenderedPageBreak/>
        <w:t xml:space="preserve">leveransen men det finns inga bestämmelser som anger någon maximal avbrottstid eller definierade avbrottsersättningar och tidsgränser för avbrottsersättningar. Det som finns angivet är att fjärrvärmeföretaget, med vissa undantag, är skadeståndskyldigt gentemot </w:t>
      </w:r>
      <w:r w:rsidRPr="000061C0">
        <w:rPr>
          <w:i/>
        </w:rPr>
        <w:t>konsument</w:t>
      </w:r>
      <w:r>
        <w:rPr>
          <w:i/>
        </w:rPr>
        <w:t>er</w:t>
      </w:r>
      <w:r>
        <w:t>. Det finns i dag inte heller författningsbaserade k</w:t>
      </w:r>
      <w:r w:rsidR="00CC590F">
        <w:t>rav på fjärrvärmeföretag att de i en viss omfattning eller för vissa ändamål (</w:t>
      </w:r>
      <w:r w:rsidR="007F32BE">
        <w:t xml:space="preserve">för </w:t>
      </w:r>
      <w:r w:rsidR="00CC590F">
        <w:t xml:space="preserve">vilka kunder) </w:t>
      </w:r>
      <w:r w:rsidR="007F32BE">
        <w:t xml:space="preserve">de </w:t>
      </w:r>
      <w:r>
        <w:t xml:space="preserve">ska producera eller leverera värme (eller el), varken i vardag eller under en kris. </w:t>
      </w:r>
    </w:p>
    <w:p w:rsidR="00920B75" w:rsidRDefault="00920B75" w:rsidP="00920B75">
      <w:pPr>
        <w:pStyle w:val="Brdtext"/>
      </w:pPr>
      <w:r>
        <w:t>Fjärrvärmelagen (2008:263) ställer krav på att ett avtal om fjärrvärme ska innehålla uppgifter om fjärrvärmeföretagets åtagande</w:t>
      </w:r>
      <w:r w:rsidR="00B25E14">
        <w:t xml:space="preserve"> gentemot fjärrvärmekunden (§6.</w:t>
      </w:r>
      <w:r>
        <w:t xml:space="preserve">1), men </w:t>
      </w:r>
      <w:r w:rsidR="00B25E14">
        <w:t>vilka aspekter som ska eller bör definieras i avtalet</w:t>
      </w:r>
      <w:r>
        <w:t xml:space="preserve"> regleras inte närmare i lagen eller fjärrvärmeförordningen (2008:526). Fjärrvärmebranschen har utarbetat allmänna avtalsvillkor för leverans av fjärrvärme som används i näringsverksamhet respektive av konsument för enskilt bruk.</w:t>
      </w:r>
      <w:r>
        <w:rPr>
          <w:rStyle w:val="Fotnotsreferens"/>
        </w:rPr>
        <w:footnoteReference w:id="7"/>
      </w:r>
      <w:r>
        <w:t xml:space="preserve"> I båda fallen finns ett par bestämmelser som rör oplanerade leveransavbrott.</w:t>
      </w:r>
    </w:p>
    <w:p w:rsidR="00920B75" w:rsidRDefault="00920B75" w:rsidP="00920B75">
      <w:pPr>
        <w:pStyle w:val="Brdtext"/>
      </w:pPr>
      <w:r>
        <w:t>De fjärrvärmeföretag som producerar hetvatten</w:t>
      </w:r>
      <w:r w:rsidR="00B25E14">
        <w:t xml:space="preserve"> och/eller ånga</w:t>
      </w:r>
      <w:r>
        <w:t xml:space="preserve"> i kraftvärmeanläggning </w:t>
      </w:r>
      <w:r w:rsidR="007F32BE">
        <w:t xml:space="preserve">omfattas </w:t>
      </w:r>
      <w:r w:rsidRPr="000061C0">
        <w:rPr>
          <w:i/>
        </w:rPr>
        <w:t>avseende elproduktionen</w:t>
      </w:r>
      <w:r>
        <w:t xml:space="preserve"> av Svenska Kraftnäts föreskrifter om elberedskap, </w:t>
      </w:r>
      <w:r w:rsidR="007F32BE">
        <w:t xml:space="preserve">SvKFS </w:t>
      </w:r>
      <w:r>
        <w:t xml:space="preserve">2013:2. I föreskrifterna ställs krav på att den som bedriver produktion av el, handel med el eller överför el bland annat ska: </w:t>
      </w:r>
    </w:p>
    <w:p w:rsidR="00920B75" w:rsidRDefault="00920B75" w:rsidP="00FD79A3">
      <w:pPr>
        <w:pStyle w:val="Punktlista"/>
        <w:numPr>
          <w:ilvl w:val="0"/>
          <w:numId w:val="1"/>
        </w:numPr>
      </w:pPr>
      <w:r>
        <w:t>Upprätta plan för att hantera störningar i den egna verksamheten. Denna plan ska revideras årligen samt vid behov.</w:t>
      </w:r>
    </w:p>
    <w:p w:rsidR="00920B75" w:rsidRDefault="00920B75" w:rsidP="00FD79A3">
      <w:pPr>
        <w:pStyle w:val="Punktlista"/>
        <w:numPr>
          <w:ilvl w:val="0"/>
          <w:numId w:val="1"/>
        </w:numPr>
      </w:pPr>
      <w:r>
        <w:t>På begäran av Svenska Kraftnät upprätta särskilda beredskapsplaner. Dessa ska innehålla uppgifter om hur verksamheten i stort ska bedrivas under höjd beredskap och krig.</w:t>
      </w:r>
    </w:p>
    <w:p w:rsidR="00920B75" w:rsidRDefault="00920B75" w:rsidP="00FD79A3">
      <w:pPr>
        <w:pStyle w:val="Punktlista"/>
        <w:numPr>
          <w:ilvl w:val="0"/>
          <w:numId w:val="1"/>
        </w:numPr>
      </w:pPr>
      <w:r>
        <w:t>Årligen genomföra risk- och sårbarhetsanalyser där även riskkällor av mycket ovanlig karaktär ska beaktas.</w:t>
      </w:r>
    </w:p>
    <w:p w:rsidR="00920B75" w:rsidRDefault="00920B75" w:rsidP="00920B75">
      <w:pPr>
        <w:pStyle w:val="Brdtext"/>
      </w:pPr>
      <w:r>
        <w:t>Folkhälsomyndigheten har inom värmeområdet, med stöd av miljöbalken (1998:808), gett ut allmänna råd om temperatur inomhus (FoHMFS 2014:17)</w:t>
      </w:r>
      <w:r w:rsidR="007F32BE">
        <w:t>.</w:t>
      </w:r>
      <w:r>
        <w:t xml:space="preserve"> </w:t>
      </w:r>
      <w:r w:rsidR="007F32BE">
        <w:t>I</w:t>
      </w:r>
      <w:r>
        <w:t xml:space="preserve"> handbok</w:t>
      </w:r>
      <w:r w:rsidR="007F32BE">
        <w:t>en</w:t>
      </w:r>
      <w:r>
        <w:t xml:space="preserve"> </w:t>
      </w:r>
      <w:r w:rsidR="007F32BE" w:rsidRPr="004806BB">
        <w:rPr>
          <w:i/>
        </w:rPr>
        <w:t xml:space="preserve">Temperatur </w:t>
      </w:r>
      <w:r w:rsidRPr="004806BB">
        <w:rPr>
          <w:i/>
        </w:rPr>
        <w:t>inomhus</w:t>
      </w:r>
      <w:r w:rsidR="007F32BE">
        <w:rPr>
          <w:rStyle w:val="Fotnotsreferens"/>
          <w:i/>
        </w:rPr>
        <w:footnoteReference w:id="8"/>
      </w:r>
      <w:r>
        <w:t xml:space="preserve"> </w:t>
      </w:r>
      <w:r w:rsidR="007F32BE">
        <w:t xml:space="preserve">ges </w:t>
      </w:r>
      <w:r>
        <w:t xml:space="preserve">rekommendationer för tillämpning av de allmänna råden. Av de allmänna råden framgår att en verksamhetsutövare ska planera och kontrollera verksamheten för att motverka eller förebygga att olägenheter för människors hälsa uppstår. Detta medför att verksamhetsutövaren måste ta hänsyn till risken för och konsekvenserna av avbrott i värmeförsörjningen. Verksamhetsutövare är fastighetsägare som hyr ut bostäder </w:t>
      </w:r>
      <w:r>
        <w:lastRenderedPageBreak/>
        <w:t>och lokaler, styrelserna i bostadsrättsföreningar samt de som bedriver en verksamhet i hyrda lokaler.</w:t>
      </w:r>
      <w:r>
        <w:rPr>
          <w:rStyle w:val="Fotnotsreferens"/>
        </w:rPr>
        <w:footnoteReference w:id="9"/>
      </w:r>
      <w:r>
        <w:t xml:space="preserve"> </w:t>
      </w:r>
    </w:p>
    <w:p w:rsidR="00CC590F" w:rsidRDefault="00CC590F" w:rsidP="00CC590F">
      <w:pPr>
        <w:pStyle w:val="Brdtext"/>
      </w:pPr>
      <w:r>
        <w:t>I säkerhetsskyddsförordningen (1996:633) framgår krav på att myndigheter, och andra som förordningen gäller för</w:t>
      </w:r>
      <w:r>
        <w:rPr>
          <w:rStyle w:val="Fotnotsreferens"/>
        </w:rPr>
        <w:footnoteReference w:id="10"/>
      </w:r>
      <w:r>
        <w:t>, ska undersöka vilka uppgifter i deras verksamhet som ska hållas hemliga med hänsyn till rikets säkerhet och vilka anläggningar som kräver ett säkerhetsskydd med hänsyn till rikets säkerhet eller skyddet mot terrorism. Resultatet av denna undersökning (säkerhetsanalys) ska dokumenteras.</w:t>
      </w:r>
    </w:p>
    <w:p w:rsidR="00CC590F" w:rsidRDefault="00CC590F" w:rsidP="00920B75">
      <w:pPr>
        <w:pStyle w:val="Brdtext"/>
      </w:pPr>
      <w:r>
        <w:t>Svenska Kraftnät är utpekad säkerhetsskyddsmyndighet inom elförsörjningen med tillhörande tillsynsansvar. När det gäller olje-, naturgas- eller fjärrvärme- och fjärrkylaförsörjning finns det ingen särskilt utpekad myndighet för kontroll av säkerhetsskyddet hos berörda bolag, föreningar, stiftelser och enskilda. Detta förhållande redovisar och utvecklar Energimyndigheten i sitt yttrande</w:t>
      </w:r>
      <w:r>
        <w:rPr>
          <w:rStyle w:val="Fotnotsreferens"/>
        </w:rPr>
        <w:footnoteReference w:id="11"/>
      </w:r>
      <w:r>
        <w:t xml:space="preserve"> angående SOU 2015:25, En ny säkerhetsskyddslag.</w:t>
      </w:r>
    </w:p>
    <w:p w:rsidR="00002570" w:rsidRDefault="00002570" w:rsidP="00920B75">
      <w:pPr>
        <w:pStyle w:val="Brdtext"/>
      </w:pPr>
      <w:r>
        <w:t>Det finns även annan lagstiftning som</w:t>
      </w:r>
      <w:r w:rsidR="00FA1445">
        <w:t xml:space="preserve"> möjligen</w:t>
      </w:r>
      <w:r>
        <w:t xml:space="preserve"> skulle kunna tillämpas på fjärrvärmeföretag i syfte att tydliggöra statens förväntningar avseende företagens kontinuitetsplanering, risk- och sårbarhetsbedömningar med mera</w:t>
      </w:r>
      <w:r>
        <w:rPr>
          <w:rStyle w:val="Fotnotsreferens"/>
        </w:rPr>
        <w:footnoteReference w:id="12"/>
      </w:r>
      <w:r>
        <w:t xml:space="preserve">. </w:t>
      </w:r>
    </w:p>
    <w:p w:rsidR="00920B75" w:rsidRDefault="00920B75" w:rsidP="00920B75">
      <w:pPr>
        <w:pStyle w:val="Rubrik3"/>
        <w:rPr>
          <w:lang w:eastAsia="en-US"/>
        </w:rPr>
      </w:pPr>
      <w:r>
        <w:rPr>
          <w:lang w:eastAsia="en-US"/>
        </w:rPr>
        <w:t>Elförsörjning</w:t>
      </w:r>
    </w:p>
    <w:p w:rsidR="00920B75" w:rsidRDefault="00920B75" w:rsidP="00920B75">
      <w:pPr>
        <w:pStyle w:val="Brdtext"/>
        <w:rPr>
          <w:lang w:eastAsia="en-US"/>
        </w:rPr>
      </w:pPr>
      <w:r>
        <w:rPr>
          <w:lang w:eastAsia="en-US"/>
        </w:rPr>
        <w:t xml:space="preserve">När det gäller eldistribution finns t.ex. funktionskrav som säger att planering och drift av stamnätet ska ske så att en bortkoppling av en enskild komponent ska kunna ske när som helst utan att det leder till avbrott i elleveranserna (N-1-kriteriet). Vidare finns det reglerat i </w:t>
      </w:r>
      <w:r w:rsidRPr="00F774BD">
        <w:rPr>
          <w:lang w:eastAsia="en-US"/>
        </w:rPr>
        <w:t xml:space="preserve">3 kap. </w:t>
      </w:r>
      <w:r>
        <w:rPr>
          <w:lang w:eastAsia="en-US"/>
        </w:rPr>
        <w:t xml:space="preserve">9 och </w:t>
      </w:r>
      <w:r w:rsidRPr="00F774BD">
        <w:rPr>
          <w:lang w:eastAsia="en-US"/>
        </w:rPr>
        <w:t xml:space="preserve">9a </w:t>
      </w:r>
      <w:r>
        <w:rPr>
          <w:lang w:eastAsia="en-US"/>
        </w:rPr>
        <w:t>§</w:t>
      </w:r>
      <w:r w:rsidRPr="00F774BD">
        <w:rPr>
          <w:lang w:eastAsia="en-US"/>
        </w:rPr>
        <w:t>§</w:t>
      </w:r>
      <w:r>
        <w:rPr>
          <w:lang w:eastAsia="en-US"/>
        </w:rPr>
        <w:t xml:space="preserve"> ellagen </w:t>
      </w:r>
      <w:r w:rsidRPr="00F774BD">
        <w:rPr>
          <w:lang w:eastAsia="en-US"/>
        </w:rPr>
        <w:t>(1997:857)</w:t>
      </w:r>
      <w:r>
        <w:rPr>
          <w:lang w:eastAsia="en-US"/>
        </w:rPr>
        <w:t xml:space="preserve"> att överföringen av el ska vara av god kvalitet och inga elavbrott får vara längre än 24 timmar såvida det inte beror på orsaker som är utom elnätsföretagens kontroll.</w:t>
      </w:r>
    </w:p>
    <w:p w:rsidR="00920B75" w:rsidRDefault="00920B75" w:rsidP="00920B75">
      <w:pPr>
        <w:pStyle w:val="Brdtext"/>
        <w:rPr>
          <w:lang w:eastAsia="en-US"/>
        </w:rPr>
      </w:pPr>
      <w:r w:rsidRPr="00C67C1A">
        <w:rPr>
          <w:lang w:eastAsia="en-US"/>
        </w:rPr>
        <w:t xml:space="preserve">Svenska Kraftnät ställer i SvKFS 2013:2 krav på att samtliga företag som producerar el, bedriver handel med el eller överför el med stöd av nätkoncession årligen ska genomföra risk- och sårbarhetsanalyser där även riskkällor av mycket ovanlig karaktär ska beaktas. Energimarknadsinspektionen ställer i EIFS 2013:3 krav på att innehavare av nätkoncession årligen ska upprätta och till myndigheten </w:t>
      </w:r>
      <w:r w:rsidR="002E0CE7">
        <w:rPr>
          <w:lang w:eastAsia="en-US"/>
        </w:rPr>
        <w:t>rapportera om</w:t>
      </w:r>
      <w:r w:rsidR="002E0CE7" w:rsidRPr="00C67C1A">
        <w:rPr>
          <w:lang w:eastAsia="en-US"/>
        </w:rPr>
        <w:t xml:space="preserve"> </w:t>
      </w:r>
      <w:r w:rsidRPr="00C67C1A">
        <w:rPr>
          <w:lang w:eastAsia="en-US"/>
        </w:rPr>
        <w:t xml:space="preserve">risk- och sårbarhetsanalys och åtgärdsplan. </w:t>
      </w:r>
      <w:r w:rsidR="002E0CE7">
        <w:rPr>
          <w:lang w:eastAsia="en-US"/>
        </w:rPr>
        <w:t>F</w:t>
      </w:r>
      <w:r w:rsidRPr="00C67C1A">
        <w:rPr>
          <w:lang w:eastAsia="en-US"/>
        </w:rPr>
        <w:t>öreskrifterna</w:t>
      </w:r>
      <w:r w:rsidR="002E0CE7">
        <w:rPr>
          <w:lang w:eastAsia="en-US"/>
        </w:rPr>
        <w:t xml:space="preserve"> anger</w:t>
      </w:r>
      <w:r w:rsidRPr="00C67C1A">
        <w:rPr>
          <w:lang w:eastAsia="en-US"/>
        </w:rPr>
        <w:t xml:space="preserve"> detaljerade krav på bland annat genomförande, dokumentation och årlig inrapportering av uppgifter till Energimarkandsinspektionen. </w:t>
      </w:r>
    </w:p>
    <w:p w:rsidR="00920B75" w:rsidRDefault="00920B75" w:rsidP="00920B75">
      <w:pPr>
        <w:pStyle w:val="Rubrik3"/>
        <w:rPr>
          <w:lang w:eastAsia="en-US"/>
        </w:rPr>
      </w:pPr>
      <w:r>
        <w:rPr>
          <w:lang w:eastAsia="en-US"/>
        </w:rPr>
        <w:lastRenderedPageBreak/>
        <w:t>Naturgasförsörjning</w:t>
      </w:r>
    </w:p>
    <w:p w:rsidR="00920B75" w:rsidRDefault="00920B75" w:rsidP="00920B75">
      <w:pPr>
        <w:pStyle w:val="Brdtext"/>
        <w:rPr>
          <w:lang w:eastAsia="en-US"/>
        </w:rPr>
      </w:pPr>
      <w:r>
        <w:rPr>
          <w:lang w:eastAsia="en-US"/>
        </w:rPr>
        <w:t xml:space="preserve">För </w:t>
      </w:r>
      <w:r w:rsidR="00470D8F">
        <w:rPr>
          <w:lang w:eastAsia="en-US"/>
        </w:rPr>
        <w:t>naturgasföretag</w:t>
      </w:r>
      <w:r>
        <w:rPr>
          <w:lang w:eastAsia="en-US"/>
        </w:rPr>
        <w:t xml:space="preserve"> inom det västsvenska naturgassystemet</w:t>
      </w:r>
      <w:r w:rsidR="00FE3413">
        <w:rPr>
          <w:lang w:eastAsia="en-US"/>
        </w:rPr>
        <w:t xml:space="preserve">, såsom </w:t>
      </w:r>
      <w:r w:rsidR="00470D8F">
        <w:rPr>
          <w:lang w:eastAsia="en-US"/>
        </w:rPr>
        <w:t>ledningsinnehavare och naturgasleverantörer</w:t>
      </w:r>
      <w:r w:rsidR="00FE3413">
        <w:rPr>
          <w:lang w:eastAsia="en-US"/>
        </w:rPr>
        <w:t>,</w:t>
      </w:r>
      <w:r>
        <w:rPr>
          <w:lang w:eastAsia="en-US"/>
        </w:rPr>
        <w:t xml:space="preserve"> finns funktionskrav genom EU:s gasförsörjningsförordning. Funktionskravet innebär bland annat att s.k. skyddade kunder</w:t>
      </w:r>
      <w:r>
        <w:rPr>
          <w:rStyle w:val="Fotnotsreferens"/>
          <w:lang w:eastAsia="en-US"/>
        </w:rPr>
        <w:footnoteReference w:id="13"/>
      </w:r>
      <w:r>
        <w:rPr>
          <w:lang w:eastAsia="en-US"/>
        </w:rPr>
        <w:t xml:space="preserve"> ska kunna f</w:t>
      </w:r>
      <w:r w:rsidR="007F32BE">
        <w:rPr>
          <w:lang w:eastAsia="en-US"/>
        </w:rPr>
        <w:t>örsörjas med</w:t>
      </w:r>
      <w:r>
        <w:rPr>
          <w:lang w:eastAsia="en-US"/>
        </w:rPr>
        <w:t xml:space="preserve"> gas i</w:t>
      </w:r>
      <w:r w:rsidR="007F32BE">
        <w:rPr>
          <w:lang w:eastAsia="en-US"/>
        </w:rPr>
        <w:t xml:space="preserve"> minst</w:t>
      </w:r>
      <w:r>
        <w:rPr>
          <w:lang w:eastAsia="en-US"/>
        </w:rPr>
        <w:t xml:space="preserve"> 30 dagar</w:t>
      </w:r>
      <w:r w:rsidR="00470D8F" w:rsidRPr="00470D8F">
        <w:rPr>
          <w:lang w:eastAsia="en-US"/>
        </w:rPr>
        <w:t xml:space="preserve"> </w:t>
      </w:r>
      <w:r w:rsidR="00470D8F">
        <w:rPr>
          <w:lang w:eastAsia="en-US"/>
        </w:rPr>
        <w:t>vid normala vinterförhållanden</w:t>
      </w:r>
      <w:r>
        <w:rPr>
          <w:lang w:eastAsia="en-US"/>
        </w:rPr>
        <w:t xml:space="preserve"> även om tillförseln av gas från Danmark avbryts.</w:t>
      </w:r>
    </w:p>
    <w:p w:rsidR="00470D8F" w:rsidRDefault="00920B75" w:rsidP="00920B75">
      <w:pPr>
        <w:pStyle w:val="Brdtext"/>
      </w:pPr>
      <w:r>
        <w:rPr>
          <w:lang w:eastAsia="en-US"/>
        </w:rPr>
        <w:t xml:space="preserve">Energimyndigheten ställer i </w:t>
      </w:r>
      <w:r w:rsidRPr="00C67C1A">
        <w:rPr>
          <w:lang w:eastAsia="en-US"/>
        </w:rPr>
        <w:t>STEMFS 2012:4</w:t>
      </w:r>
      <w:r>
        <w:rPr>
          <w:lang w:eastAsia="en-US"/>
        </w:rPr>
        <w:t xml:space="preserve"> krav på aktörer inom det västsvenska naturgassystemet</w:t>
      </w:r>
      <w:r w:rsidR="00470D8F">
        <w:rPr>
          <w:lang w:eastAsia="en-US"/>
        </w:rPr>
        <w:t xml:space="preserve"> bland annat</w:t>
      </w:r>
      <w:r>
        <w:rPr>
          <w:lang w:eastAsia="en-US"/>
        </w:rPr>
        <w:t xml:space="preserve"> vad gäller att upprätta krisplaner, vilket även gäller stora gasanvändare.  I föreskrifterna ställs krav på att innehavare av transmissionsledning ska genomföra risk- och sårbarhetsanalys</w:t>
      </w:r>
      <w:r w:rsidR="007F32BE">
        <w:rPr>
          <w:lang w:eastAsia="en-US"/>
        </w:rPr>
        <w:t>er</w:t>
      </w:r>
      <w:r>
        <w:rPr>
          <w:lang w:eastAsia="en-US"/>
        </w:rPr>
        <w:t>.</w:t>
      </w:r>
      <w:r w:rsidR="002E0CE7" w:rsidRPr="002E0CE7">
        <w:t xml:space="preserve"> </w:t>
      </w:r>
    </w:p>
    <w:p w:rsidR="00920B75" w:rsidRDefault="00322EA1" w:rsidP="00920B75">
      <w:pPr>
        <w:pStyle w:val="Brdtext"/>
        <w:rPr>
          <w:lang w:eastAsia="en-US"/>
        </w:rPr>
      </w:pPr>
      <w:r>
        <w:t xml:space="preserve">Kraven i </w:t>
      </w:r>
      <w:r w:rsidR="002E0CE7">
        <w:t xml:space="preserve">förordningen </w:t>
      </w:r>
      <w:r>
        <w:t>och</w:t>
      </w:r>
      <w:r w:rsidR="002E0CE7">
        <w:t xml:space="preserve"> </w:t>
      </w:r>
      <w:r>
        <w:t>i de</w:t>
      </w:r>
      <w:r w:rsidR="002E0CE7">
        <w:t xml:space="preserve"> politiskt beslutade definitioner</w:t>
      </w:r>
      <w:r>
        <w:t>na</w:t>
      </w:r>
      <w:r w:rsidR="002E0CE7">
        <w:t xml:space="preserve"> av skyddade kunder</w:t>
      </w:r>
      <w:r>
        <w:t xml:space="preserve"> i Sverige</w:t>
      </w:r>
      <w:r w:rsidR="002E0CE7">
        <w:t xml:space="preserve"> </w:t>
      </w:r>
      <w:r>
        <w:t>medför i praktiken</w:t>
      </w:r>
      <w:r w:rsidR="002E0CE7">
        <w:t xml:space="preserve"> att </w:t>
      </w:r>
      <w:r w:rsidR="00470D8F">
        <w:t xml:space="preserve">gasförsörjda kraftvärmeverk i Malmö och Göteborg </w:t>
      </w:r>
      <w:r>
        <w:t xml:space="preserve">tvingas kopplas bort först vid </w:t>
      </w:r>
      <w:r w:rsidR="00470D8F">
        <w:t>störningar i gasförsörjningen</w:t>
      </w:r>
      <w:r w:rsidR="002E0CE7">
        <w:t>.</w:t>
      </w:r>
    </w:p>
    <w:p w:rsidR="00920B75" w:rsidRDefault="00920B75" w:rsidP="00920B75">
      <w:pPr>
        <w:pStyle w:val="Rubrik3"/>
        <w:rPr>
          <w:lang w:eastAsia="en-US"/>
        </w:rPr>
      </w:pPr>
      <w:r>
        <w:rPr>
          <w:lang w:eastAsia="en-US"/>
        </w:rPr>
        <w:t>Olje- och drivmedelsförsörjningen</w:t>
      </w:r>
    </w:p>
    <w:p w:rsidR="005A36D3" w:rsidRDefault="00920B75" w:rsidP="00920B75">
      <w:pPr>
        <w:pStyle w:val="Brdtext"/>
      </w:pPr>
      <w:r>
        <w:rPr>
          <w:lang w:eastAsia="en-US"/>
        </w:rPr>
        <w:t>För försörjningen av olja och oljeprodukter finns krav genom IEA-överenskommelser och EU-direktiv om att medlemsländer ska hålla beredskapslager av olja och oljeprodukter motsvarande 90 dagars förbrukning.</w:t>
      </w:r>
      <w:r w:rsidRPr="00DE2FAF">
        <w:t xml:space="preserve"> </w:t>
      </w:r>
      <w:r>
        <w:t>De fjärrvärmeföretag som förbrukar oljebaserade bränslen omfattas formellt av kraven på beredskapslagring av olja. Oljebaserade produkter används emellertid numera i mycket begränsad omfattning i värmeproduktion (mindre än tre procent av tillförd energi för fjärrvärmeproduktion år 2013</w:t>
      </w:r>
      <w:r w:rsidR="005A36D3">
        <w:rPr>
          <w:rStyle w:val="Fotnotsreferens"/>
        </w:rPr>
        <w:footnoteReference w:id="14"/>
      </w:r>
      <w:r>
        <w:t>)</w:t>
      </w:r>
      <w:r w:rsidR="005A36D3">
        <w:t xml:space="preserve">, varför beredskapslager enligt dessa krav endast i undantagsfall utgör en beredskap för störningar i bränsleförsörjningen. Många företag har dock en viss mängd olja i lager för att </w:t>
      </w:r>
      <w:r w:rsidR="0085477B">
        <w:t>kunna användas som spetslastbränsle.</w:t>
      </w:r>
    </w:p>
    <w:p w:rsidR="00920B75" w:rsidRDefault="00920B75" w:rsidP="00920B75">
      <w:pPr>
        <w:pStyle w:val="Rubrik2"/>
      </w:pPr>
      <w:bookmarkStart w:id="21" w:name="_Toc436905004"/>
      <w:bookmarkStart w:id="22" w:name="_Toc438471425"/>
      <w:r>
        <w:t>Kort om</w:t>
      </w:r>
      <w:r w:rsidR="00CC590F">
        <w:t xml:space="preserve"> riskbilden och</w:t>
      </w:r>
      <w:r>
        <w:t xml:space="preserve"> krisberedskapsförmåga i fjärrvärmeförsörjningen</w:t>
      </w:r>
      <w:bookmarkEnd w:id="21"/>
      <w:bookmarkEnd w:id="22"/>
    </w:p>
    <w:p w:rsidR="00920B75" w:rsidRDefault="00920B75" w:rsidP="00920B75">
      <w:pPr>
        <w:pStyle w:val="Brdtext"/>
      </w:pPr>
      <w:r>
        <w:t>N</w:t>
      </w:r>
      <w:r w:rsidRPr="00AF7BB3">
        <w:t>är störningar i fjärrvärm</w:t>
      </w:r>
      <w:r>
        <w:t>försörjningen</w:t>
      </w:r>
      <w:r w:rsidRPr="00AF7BB3">
        <w:t xml:space="preserve"> inträffar </w:t>
      </w:r>
      <w:r>
        <w:t xml:space="preserve">kan </w:t>
      </w:r>
      <w:r w:rsidRPr="00AF7BB3">
        <w:t xml:space="preserve">många användare </w:t>
      </w:r>
      <w:r>
        <w:t xml:space="preserve">komma att drabbas </w:t>
      </w:r>
      <w:r w:rsidRPr="00AF7BB3">
        <w:t xml:space="preserve">samtidigt. Detta kan </w:t>
      </w:r>
      <w:r>
        <w:t xml:space="preserve">därmed </w:t>
      </w:r>
      <w:r w:rsidRPr="00AF7BB3">
        <w:t>leda till svåra påfrestningar i samhället.</w:t>
      </w:r>
      <w:r>
        <w:t xml:space="preserve"> Ett långvarigt avbrott vid kallt väder kan </w:t>
      </w:r>
      <w:r w:rsidR="00334DCB">
        <w:t xml:space="preserve">inom något eller några dygn </w:t>
      </w:r>
      <w:r>
        <w:t>leda till sönderfrusna byggnader</w:t>
      </w:r>
      <w:r w:rsidR="00FE3413">
        <w:t xml:space="preserve"> och rörsystem</w:t>
      </w:r>
      <w:r>
        <w:t>, omfattande behov av evakuering av människor och upprättande av värmestugor om alternativa uppvärmningskällor saknas.</w:t>
      </w:r>
      <w:r w:rsidRPr="007C10F9">
        <w:t xml:space="preserve"> </w:t>
      </w:r>
    </w:p>
    <w:p w:rsidR="00920B75" w:rsidRDefault="00920B75" w:rsidP="00920B75">
      <w:pPr>
        <w:pStyle w:val="Brdtext"/>
      </w:pPr>
      <w:r>
        <w:t xml:space="preserve">Stora delar av bebyggelsen i Sverige har en relativt hög värmetröghet. Utkylningen av byggnader vid ett bortfall av värmetillförseln går därmed relativt långsamt även vid kall väderlek. </w:t>
      </w:r>
      <w:r w:rsidRPr="0053455B">
        <w:t xml:space="preserve">Gamla hus med dålig isolering har ofta tunga </w:t>
      </w:r>
      <w:r w:rsidRPr="0053455B">
        <w:lastRenderedPageBreak/>
        <w:t>stommar, vilka behåller värme en tid. Nyare hus har lättare stommar men det kompenseras av bättre isolering. Den bebyggelse som har sämst förmåga att bevara värmen har tillkommit under mitten av 1900-talet. Flerfamiljshus har i regel mindre problem än småhus.</w:t>
      </w:r>
    </w:p>
    <w:p w:rsidR="00920B75" w:rsidRDefault="00920B75" w:rsidP="00920B75">
      <w:pPr>
        <w:pStyle w:val="Brdtext"/>
      </w:pPr>
      <w:r>
        <w:t>Även fjärrvärmens distributionssystem har i sig en viss inbyggd tröghet, eller snarare tidsfördröjning. Efter ett avbrott i värmeproduktionen eller distributionen finns en viss mängd värme kvar i de stora volymerna av varmt vatten i rören. Å andra sidan finns även en tidsfördröjning efter en återställning av ett avbrott eftersom systemet då måste värmas upp igen. Ett avbrott i fjärrvärmeförsörjningen märks dock direkt i tappvarmvattnet. Verksamheter med beroende av varmt vatten är därför inte ”skyddade” av byggnadernas eller fjärrvärmevattnets inneboende värmetröghet.</w:t>
      </w:r>
    </w:p>
    <w:p w:rsidR="00920B75" w:rsidRDefault="00920B75" w:rsidP="00920B75">
      <w:pPr>
        <w:pStyle w:val="Brdtext"/>
      </w:pPr>
      <w:r>
        <w:t>Leveransavbrott som berör ett fåtal användare, är kortvariga och som inträffar vid skilda tidpunkter innebär ingen eller låg påfrestning för den kommunala krisberedskapen. Det finns alltid opåverkade delar i bebyggelsen där människor tillfälligt kan vistas eller få hjälp. Evakuering av några tiotal särskilt känsliga personer från måttligt utkylda bostäder är inget stort problem för socialtjänst och räddningstjänst. Att däremot</w:t>
      </w:r>
      <w:r w:rsidR="00002570">
        <w:t xml:space="preserve"> med mycket kort förvarning</w:t>
      </w:r>
      <w:r>
        <w:t xml:space="preserve"> ta hand om tusentals personer under flera dagar eller erbjuda dem stödåtgärder klarar knappast ens en storstadskommun, även då huvuddelen av alla privatpersoner måste klara sig själva. </w:t>
      </w:r>
    </w:p>
    <w:p w:rsidR="007F32BE" w:rsidRDefault="00FA1445" w:rsidP="00920B75">
      <w:pPr>
        <w:pStyle w:val="Brdtext"/>
      </w:pPr>
      <w:r>
        <w:t>F</w:t>
      </w:r>
      <w:r w:rsidR="007F32BE">
        <w:t>igur</w:t>
      </w:r>
      <w:r>
        <w:t xml:space="preserve"> 1 nedan</w:t>
      </w:r>
      <w:r w:rsidR="007F32BE">
        <w:t xml:space="preserve"> illustrerar ett beräknat potentiellt evakueringsbehov i en medelstor svensk kommun vid ett långvarigt avbrott i </w:t>
      </w:r>
      <w:r w:rsidR="00AC4F37">
        <w:t>värmeförsörjningen.</w:t>
      </w:r>
    </w:p>
    <w:p w:rsidR="00920B75" w:rsidRDefault="00CD6F48" w:rsidP="00CD6F48">
      <w:pPr>
        <w:pStyle w:val="Beskrivning"/>
        <w:keepNext/>
      </w:pPr>
      <w:r>
        <w:lastRenderedPageBreak/>
        <w:t xml:space="preserve">Figur </w:t>
      </w:r>
      <w:r w:rsidR="008E24DA">
        <w:fldChar w:fldCharType="begin"/>
      </w:r>
      <w:r w:rsidR="008E24DA">
        <w:instrText xml:space="preserve"> SEQ Figur \* ARABIC </w:instrText>
      </w:r>
      <w:r w:rsidR="008E24DA">
        <w:fldChar w:fldCharType="separate"/>
      </w:r>
      <w:r w:rsidR="000A5878">
        <w:rPr>
          <w:noProof/>
        </w:rPr>
        <w:t>1</w:t>
      </w:r>
      <w:r w:rsidR="008E24DA">
        <w:rPr>
          <w:noProof/>
        </w:rPr>
        <w:fldChar w:fldCharType="end"/>
      </w:r>
      <w:r>
        <w:t xml:space="preserve"> Illustration av utvecklingen i typisk mellansvensk kommun, 32 000 invånare, varav 25 000 boende i tätorten.</w:t>
      </w:r>
      <w:r w:rsidR="00920B75">
        <w:rPr>
          <w:noProof/>
        </w:rPr>
        <w:drawing>
          <wp:inline distT="0" distB="0" distL="0" distR="0" wp14:anchorId="32E8D8F4" wp14:editId="29D7E1BB">
            <wp:extent cx="4076700" cy="3717722"/>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1432" cy="3722037"/>
                    </a:xfrm>
                    <a:prstGeom prst="rect">
                      <a:avLst/>
                    </a:prstGeom>
                    <a:noFill/>
                    <a:ln>
                      <a:noFill/>
                    </a:ln>
                  </pic:spPr>
                </pic:pic>
              </a:graphicData>
            </a:graphic>
          </wp:inline>
        </w:drawing>
      </w:r>
    </w:p>
    <w:p w:rsidR="00920B75" w:rsidRDefault="00920B75" w:rsidP="00920B75">
      <w:pPr>
        <w:pStyle w:val="Brdtext"/>
      </w:pPr>
      <w:r>
        <w:t xml:space="preserve">Ur ett försörjningstrygghetsperspektiv är kommunernas förmåga att hantera sådana konsekvenser, tillsammans med de enskilda hushållens förmåga, viktiga delar i </w:t>
      </w:r>
      <w:r w:rsidRPr="00E86292">
        <w:t>samhällets samlade förmåga att hantera kriser i värmeförsörjningen.</w:t>
      </w:r>
      <w:r>
        <w:t xml:space="preserve"> </w:t>
      </w:r>
    </w:p>
    <w:p w:rsidR="00920B75" w:rsidRDefault="00920B75" w:rsidP="00920B75">
      <w:pPr>
        <w:pStyle w:val="Brdtext"/>
      </w:pPr>
      <w:r w:rsidRPr="00352985">
        <w:t>I en undersökning</w:t>
      </w:r>
      <w:r>
        <w:rPr>
          <w:rStyle w:val="Fotnotsreferens"/>
        </w:rPr>
        <w:footnoteReference w:id="15"/>
      </w:r>
      <w:r w:rsidRPr="00352985">
        <w:t xml:space="preserve"> som Energimyndigheten låtit göra </w:t>
      </w:r>
      <w:r>
        <w:t xml:space="preserve">bland Sveriges kommuner framkommer det att de allra flesta av de svarande kommunerna har analyserat sin egen roll och utifrån det förberett sig för att kunna hantera konsekvenser vid störningar i el- och/eller värmeförsörjningen inom det geografiska området. Sammantaget visar undersökningen att det finns en brist bland svarande kommuners förmåga att ta hand om de mest köldkänsliga invånarna. Även om en övervägande majoritet av kommunerna har en plan för att ta hand om dessa saknar flertalet en kartläggning av bebyggelsens utkylningsförmåga, vilket är en viktig del i planeringen för att kunna ta hand om och eventuellt evakuera de människor som har störst hjälpbehov. </w:t>
      </w:r>
    </w:p>
    <w:p w:rsidR="009E076F" w:rsidRDefault="00CC590F" w:rsidP="00920B75">
      <w:pPr>
        <w:pStyle w:val="Brdtext"/>
      </w:pPr>
      <w:r>
        <w:t xml:space="preserve">Omfattande störningar i bränsleförädlingsledet eller utslagning av bränslelager/-depå kan, om det uppstår problem att anpassa bränsleanvändning eller distributionsvägar, leda till </w:t>
      </w:r>
      <w:r w:rsidR="00AC4F37">
        <w:t xml:space="preserve">relativt </w:t>
      </w:r>
      <w:r>
        <w:t>kortvariga störningar i bränsleförsörjningen och eventuellt i förlängningen i värmeförsörjningen.</w:t>
      </w:r>
      <w:r w:rsidR="0085477B">
        <w:t xml:space="preserve"> </w:t>
      </w:r>
    </w:p>
    <w:p w:rsidR="00CC590F" w:rsidRDefault="0085477B" w:rsidP="00920B75">
      <w:pPr>
        <w:pStyle w:val="Brdtext"/>
      </w:pPr>
      <w:r>
        <w:lastRenderedPageBreak/>
        <w:t>Fjärrvärmeförsörjningen är i hög grad beroende av en trygg elförsörjning. Lokala fjärrvärmesystem får i regel sin elförsörjning</w:t>
      </w:r>
      <w:r w:rsidR="00061AD7">
        <w:t xml:space="preserve"> endast</w:t>
      </w:r>
      <w:r>
        <w:t xml:space="preserve"> via ett enskilt elnätsföretag. </w:t>
      </w:r>
    </w:p>
    <w:p w:rsidR="00CC590F" w:rsidRDefault="00CC590F" w:rsidP="00920B75">
      <w:pPr>
        <w:pStyle w:val="Brdtext"/>
      </w:pPr>
      <w:r>
        <w:t>Relativt många fjärrvärmeverk riskerar att få driftproblem vid översvämningar till följd av exempelvis högt vattenstånd längs kuster, älvar och andra vattendrag. I en del anläggningar finns känsliga delar, t.ex. pumpar och el- och manöverutrustning, placerade under markytan. Om dessa delar skadas kan det innebära att anläggningen är utslagen i många veckor.</w:t>
      </w:r>
    </w:p>
    <w:p w:rsidR="00155327" w:rsidRPr="009603CD" w:rsidRDefault="00155327" w:rsidP="00155327">
      <w:pPr>
        <w:pStyle w:val="Brdtext"/>
      </w:pPr>
      <w:r>
        <w:t>Även det försämrade säkerhetspolitiska läget i vår omvärld och samhällsutvecklingen kan medföra en ökad risk-/hotbild gentemot fjärrvärmeverksamheter. Antagonistiska handlingar bör därför vara en del av hotbilden för fjärrvärmeverksamheter.</w:t>
      </w:r>
    </w:p>
    <w:p w:rsidR="00155327" w:rsidRPr="009603CD" w:rsidRDefault="00155327" w:rsidP="00920B75">
      <w:pPr>
        <w:pStyle w:val="Brdtext"/>
      </w:pPr>
    </w:p>
    <w:p w:rsidR="00EC675B" w:rsidRDefault="00EC675B" w:rsidP="00EC675B">
      <w:pPr>
        <w:pStyle w:val="Rubrik1"/>
      </w:pPr>
      <w:bookmarkStart w:id="23" w:name="_Ref438106676"/>
      <w:bookmarkStart w:id="24" w:name="_Toc438471426"/>
      <w:r>
        <w:lastRenderedPageBreak/>
        <w:t>Fjärrvärmeföretagens ekonomiska ställning</w:t>
      </w:r>
      <w:bookmarkEnd w:id="23"/>
      <w:bookmarkEnd w:id="24"/>
    </w:p>
    <w:p w:rsidR="008B3E63" w:rsidRDefault="008B3E63" w:rsidP="008B3E63">
      <w:pPr>
        <w:pStyle w:val="Rubrik2"/>
      </w:pPr>
      <w:bookmarkStart w:id="25" w:name="_Toc438471427"/>
      <w:r>
        <w:t>Nyckeltal och ekonomiskt läge för Fjärrvärmebranschen som helhet</w:t>
      </w:r>
      <w:bookmarkEnd w:id="25"/>
      <w:r>
        <w:t xml:space="preserve"> </w:t>
      </w:r>
    </w:p>
    <w:p w:rsidR="008B3E63" w:rsidRDefault="008B3E63" w:rsidP="008B3E63">
      <w:pPr>
        <w:pStyle w:val="Brdtext"/>
      </w:pPr>
      <w:r>
        <w:t>Ser man till hela branschen så täcker verksamheternas intäkter kostnaderna men lönsamheten beror till stor del på aktiviteter som finns utöver fjärrvärmeförsäljningen dvs. elförsäljning från kraftvärmeverk, elcertifikatintäkter och anslutningsavgifter (</w:t>
      </w:r>
      <w:r>
        <w:fldChar w:fldCharType="begin"/>
      </w:r>
      <w:r>
        <w:instrText xml:space="preserve"> REF _Ref434581576 \h </w:instrText>
      </w:r>
      <w:r>
        <w:fldChar w:fldCharType="separate"/>
      </w:r>
      <w:r w:rsidR="000A5878">
        <w:t xml:space="preserve">Figur </w:t>
      </w:r>
      <w:r w:rsidR="000A5878">
        <w:rPr>
          <w:noProof/>
        </w:rPr>
        <w:t>2</w:t>
      </w:r>
      <w:r>
        <w:fldChar w:fldCharType="end"/>
      </w:r>
      <w:r>
        <w:t>). De senaste tre åren har fjärrvärmebranschen som helhet kunna</w:t>
      </w:r>
      <w:r w:rsidR="00F570A2">
        <w:t>t</w:t>
      </w:r>
      <w:r>
        <w:t xml:space="preserve"> täcka sina kostnader med </w:t>
      </w:r>
      <w:r w:rsidR="00F570A2">
        <w:t xml:space="preserve">nästan uteslutande </w:t>
      </w:r>
      <w:r>
        <w:t xml:space="preserve">intäkter från värmeförsäljning vilket visar på en bättre relativ lönsamhet i värmeförsäljningen. </w:t>
      </w:r>
    </w:p>
    <w:p w:rsidR="008B3E63" w:rsidRDefault="008B3E63" w:rsidP="008B3E63">
      <w:pPr>
        <w:pStyle w:val="Brdtext"/>
      </w:pPr>
    </w:p>
    <w:p w:rsidR="008B3E63" w:rsidRDefault="008B3E63" w:rsidP="008B3E63">
      <w:pPr>
        <w:pStyle w:val="Beskrivning"/>
        <w:keepNext/>
      </w:pPr>
      <w:bookmarkStart w:id="26" w:name="_Ref434581576"/>
      <w:r>
        <w:t xml:space="preserve">Figur </w:t>
      </w:r>
      <w:r w:rsidR="008E24DA">
        <w:fldChar w:fldCharType="begin"/>
      </w:r>
      <w:r w:rsidR="008E24DA">
        <w:instrText xml:space="preserve"> SEQ Figur \* ARABIC </w:instrText>
      </w:r>
      <w:r w:rsidR="008E24DA">
        <w:fldChar w:fldCharType="separate"/>
      </w:r>
      <w:r w:rsidR="000A5878">
        <w:rPr>
          <w:noProof/>
        </w:rPr>
        <w:t>2</w:t>
      </w:r>
      <w:r w:rsidR="008E24DA">
        <w:rPr>
          <w:noProof/>
        </w:rPr>
        <w:fldChar w:fldCharType="end"/>
      </w:r>
      <w:bookmarkEnd w:id="26"/>
      <w:r>
        <w:t xml:space="preserve"> Intäkter och kostnader för fjärrvärmebranschen 2008-2014, Mdr kr.</w:t>
      </w:r>
    </w:p>
    <w:p w:rsidR="008B3E63" w:rsidRDefault="008B3E63" w:rsidP="008B3E63">
      <w:pPr>
        <w:pStyle w:val="Brdtext"/>
      </w:pPr>
      <w:r>
        <w:rPr>
          <w:noProof/>
        </w:rPr>
        <w:drawing>
          <wp:inline distT="0" distB="0" distL="0" distR="0" wp14:anchorId="59FB9BA6" wp14:editId="248F0B8B">
            <wp:extent cx="5039360" cy="2732582"/>
            <wp:effectExtent l="0" t="0" r="0" b="0"/>
            <wp:docPr id="36" name="Diagram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Rubrik2"/>
      </w:pPr>
      <w:bookmarkStart w:id="27" w:name="_Toc436664245"/>
      <w:bookmarkStart w:id="28" w:name="_Toc438471428"/>
      <w:r>
        <w:t>Soliditet</w:t>
      </w:r>
      <w:bookmarkEnd w:id="27"/>
      <w:bookmarkEnd w:id="28"/>
    </w:p>
    <w:p w:rsidR="008B3E63" w:rsidRDefault="008B3E63" w:rsidP="008B3E63">
      <w:pPr>
        <w:pStyle w:val="Brdtext"/>
      </w:pPr>
      <w:r>
        <w:t>Soliditeten visar företagens skuldsättningsgrad som andelen eget kapital av tillgångarna i företaget dvs. hur stor del av tillgångarna som är egenfinansierade.</w:t>
      </w:r>
      <w:r>
        <w:rPr>
          <w:rStyle w:val="Fotnotsreferens"/>
        </w:rPr>
        <w:footnoteReference w:id="16"/>
      </w:r>
      <w:r>
        <w:t xml:space="preserve"> De tillgångar som inte är finansierade med eget kapital är finansierade med lån. Soliditeten </w:t>
      </w:r>
      <w:r w:rsidR="00FA1445">
        <w:t>återspeglar</w:t>
      </w:r>
      <w:r>
        <w:t xml:space="preserve"> ett företags långsiktiga betalningsförmåga och är </w:t>
      </w:r>
      <w:r>
        <w:lastRenderedPageBreak/>
        <w:t xml:space="preserve">exempelvis intressant för banker/kreditgivare när/om företaget behöver ta nya lån. Ett vanligt mål för soliditeten är runt 30-40 procent och då ligger branschen som helhet bra till med en soliditet på nästan 40 procent. Utvecklingen är också </w:t>
      </w:r>
      <w:r w:rsidR="00AC4F37">
        <w:t xml:space="preserve">tämligen </w:t>
      </w:r>
      <w:r>
        <w:t>stabil sett över åren 2008-2014 (</w:t>
      </w:r>
      <w:r>
        <w:fldChar w:fldCharType="begin"/>
      </w:r>
      <w:r>
        <w:instrText xml:space="preserve"> REF _Ref434582780 \h </w:instrText>
      </w:r>
      <w:r>
        <w:fldChar w:fldCharType="separate"/>
      </w:r>
      <w:r w:rsidR="000A5878">
        <w:t xml:space="preserve">Figur </w:t>
      </w:r>
      <w:r w:rsidR="000A5878">
        <w:rPr>
          <w:noProof/>
        </w:rPr>
        <w:t>3</w:t>
      </w:r>
      <w:r>
        <w:fldChar w:fldCharType="end"/>
      </w:r>
      <w:r>
        <w:t xml:space="preserve">). </w:t>
      </w:r>
    </w:p>
    <w:p w:rsidR="008B3E63" w:rsidRDefault="008B3E63" w:rsidP="008B3E63">
      <w:pPr>
        <w:pStyle w:val="Beskrivning"/>
        <w:keepNext/>
      </w:pPr>
      <w:bookmarkStart w:id="29" w:name="_Ref434582780"/>
      <w:r>
        <w:t xml:space="preserve">Figur </w:t>
      </w:r>
      <w:r w:rsidR="008E24DA">
        <w:fldChar w:fldCharType="begin"/>
      </w:r>
      <w:r w:rsidR="008E24DA">
        <w:instrText xml:space="preserve"> SEQ Figur \* ARABIC </w:instrText>
      </w:r>
      <w:r w:rsidR="008E24DA">
        <w:fldChar w:fldCharType="separate"/>
      </w:r>
      <w:r w:rsidR="000A5878">
        <w:rPr>
          <w:noProof/>
        </w:rPr>
        <w:t>3</w:t>
      </w:r>
      <w:r w:rsidR="008E24DA">
        <w:rPr>
          <w:noProof/>
        </w:rPr>
        <w:fldChar w:fldCharType="end"/>
      </w:r>
      <w:bookmarkEnd w:id="29"/>
      <w:r>
        <w:t xml:space="preserve"> Soliditet för hela fjärrvärmebranschen</w:t>
      </w:r>
    </w:p>
    <w:p w:rsidR="008B3E63" w:rsidRDefault="008B3E63" w:rsidP="008B3E63">
      <w:pPr>
        <w:pStyle w:val="Brdtext"/>
      </w:pPr>
      <w:r>
        <w:rPr>
          <w:noProof/>
        </w:rPr>
        <w:drawing>
          <wp:inline distT="0" distB="0" distL="0" distR="0" wp14:anchorId="1EBA9DFA" wp14:editId="784B486C">
            <wp:extent cx="4555332" cy="2814638"/>
            <wp:effectExtent l="0" t="0" r="0" b="5080"/>
            <wp:docPr id="37" name="Diagram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rPr>
          <w:rFonts w:ascii="Arial" w:hAnsi="Arial" w:cs="Arial"/>
          <w:b/>
          <w:bCs/>
          <w:iCs/>
          <w:sz w:val="28"/>
          <w:szCs w:val="28"/>
          <w:highlight w:val="lightGray"/>
        </w:rPr>
      </w:pPr>
      <w:r>
        <w:rPr>
          <w:highlight w:val="lightGray"/>
        </w:rPr>
        <w:br w:type="page"/>
      </w:r>
    </w:p>
    <w:p w:rsidR="008B3E63" w:rsidRDefault="008B3E63" w:rsidP="008B3E63">
      <w:pPr>
        <w:pStyle w:val="Rubrik2"/>
      </w:pPr>
      <w:bookmarkStart w:id="30" w:name="_Toc436664246"/>
      <w:bookmarkStart w:id="31" w:name="_Toc438471429"/>
      <w:r w:rsidRPr="00691A8A">
        <w:lastRenderedPageBreak/>
        <w:t>Kassalikviditet</w:t>
      </w:r>
      <w:bookmarkEnd w:id="30"/>
      <w:bookmarkEnd w:id="31"/>
      <w:r w:rsidRPr="00691A8A">
        <w:t xml:space="preserve">  </w:t>
      </w:r>
    </w:p>
    <w:p w:rsidR="008B3E63" w:rsidRDefault="008B3E63" w:rsidP="008B3E63">
      <w:pPr>
        <w:pStyle w:val="Brdtext"/>
      </w:pPr>
      <w:r>
        <w:t xml:space="preserve">Kassalikviditeten </w:t>
      </w:r>
      <w:r w:rsidR="00EC3CBD">
        <w:t>återspeglar</w:t>
      </w:r>
      <w:r>
        <w:t xml:space="preserve"> företagets betalningsförmåga på kort sikt.</w:t>
      </w:r>
      <w:r>
        <w:rPr>
          <w:rStyle w:val="Fotnotsreferens"/>
        </w:rPr>
        <w:footnoteReference w:id="17"/>
      </w:r>
      <w:r w:rsidRPr="00691A8A">
        <w:t xml:space="preserve"> </w:t>
      </w:r>
      <w:r>
        <w:t xml:space="preserve">En kassalikviditet på 100 procent eller mer innebär att </w:t>
      </w:r>
      <w:hyperlink r:id="rId15" w:tooltip="Kortfristig skuld" w:history="1">
        <w:r w:rsidRPr="00691A8A">
          <w:t>kortfristiga skulder</w:t>
        </w:r>
      </w:hyperlink>
      <w:r>
        <w:t xml:space="preserve"> kan betalas omedelbart. Detta förutsätter emellertid att omsättningstillgångarna kan användas direkt. En kassalikviditet under 100 procent betyder att företaget kan behöva göra sig av med långsiktiga </w:t>
      </w:r>
      <w:hyperlink r:id="rId16" w:tooltip="Tillgångar" w:history="1">
        <w:r w:rsidRPr="00691A8A">
          <w:t>tillgångar</w:t>
        </w:r>
      </w:hyperlink>
      <w:r w:rsidRPr="00691A8A">
        <w:t xml:space="preserve"> </w:t>
      </w:r>
      <w:r>
        <w:t>som byggnader eller utrustning, eller behöva ta lån för att betala sina kortfristiga skulder.</w:t>
      </w:r>
    </w:p>
    <w:p w:rsidR="008B3E63" w:rsidRPr="00691A8A" w:rsidRDefault="008B3E63" w:rsidP="008B3E63">
      <w:pPr>
        <w:pStyle w:val="Brdtext"/>
      </w:pPr>
      <w:r>
        <w:t>Baserat på de finansiella data som fjärrvärmeföretagen redovisar till Energimarknadsinspektionen så är likviditeten god för branschen. En viss variation kan ses över åren men under inga år understiger likviditeten 100 procent.</w:t>
      </w:r>
    </w:p>
    <w:p w:rsidR="008B3E63" w:rsidRDefault="008B3E63" w:rsidP="008B3E63">
      <w:pPr>
        <w:pStyle w:val="Brdtext"/>
      </w:pPr>
    </w:p>
    <w:p w:rsidR="008B3E63" w:rsidRDefault="008B3E63" w:rsidP="008B3E63">
      <w:pPr>
        <w:pStyle w:val="Beskrivning"/>
        <w:keepNext/>
      </w:pPr>
      <w:r>
        <w:t xml:space="preserve">Figur </w:t>
      </w:r>
      <w:r w:rsidR="008E24DA">
        <w:fldChar w:fldCharType="begin"/>
      </w:r>
      <w:r w:rsidR="008E24DA">
        <w:instrText xml:space="preserve"> SEQ Figur \* ARABIC </w:instrText>
      </w:r>
      <w:r w:rsidR="008E24DA">
        <w:fldChar w:fldCharType="separate"/>
      </w:r>
      <w:r w:rsidR="000A5878">
        <w:rPr>
          <w:noProof/>
        </w:rPr>
        <w:t>4</w:t>
      </w:r>
      <w:r w:rsidR="008E24DA">
        <w:rPr>
          <w:noProof/>
        </w:rPr>
        <w:fldChar w:fldCharType="end"/>
      </w:r>
      <w:r>
        <w:t xml:space="preserve"> Kassalikviditet för hela fjärrvärmebranschen</w:t>
      </w:r>
    </w:p>
    <w:p w:rsidR="008B3E63" w:rsidRDefault="008B3E63" w:rsidP="008B3E63">
      <w:pPr>
        <w:pStyle w:val="Brdtext"/>
      </w:pPr>
      <w:r>
        <w:rPr>
          <w:noProof/>
        </w:rPr>
        <w:drawing>
          <wp:inline distT="0" distB="0" distL="0" distR="0" wp14:anchorId="7B2657CF" wp14:editId="090394B7">
            <wp:extent cx="4555332" cy="2814638"/>
            <wp:effectExtent l="0" t="0" r="0" b="5080"/>
            <wp:docPr id="38" name="Diagram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Brdtext"/>
      </w:pPr>
    </w:p>
    <w:p w:rsidR="008B3E63" w:rsidRDefault="008B3E63" w:rsidP="008B3E63">
      <w:pPr>
        <w:rPr>
          <w:rFonts w:ascii="Arial" w:hAnsi="Arial" w:cs="Arial"/>
          <w:b/>
          <w:bCs/>
          <w:iCs/>
          <w:sz w:val="28"/>
          <w:szCs w:val="28"/>
        </w:rPr>
      </w:pPr>
      <w:r>
        <w:br w:type="page"/>
      </w:r>
    </w:p>
    <w:p w:rsidR="008B3E63" w:rsidRDefault="008B3E63" w:rsidP="008B3E63">
      <w:pPr>
        <w:pStyle w:val="Rubrik2"/>
      </w:pPr>
      <w:bookmarkStart w:id="32" w:name="_Toc436664247"/>
      <w:bookmarkStart w:id="33" w:name="_Toc438471430"/>
      <w:r>
        <w:lastRenderedPageBreak/>
        <w:t>Vinstmarginal och rörelsemarginal</w:t>
      </w:r>
      <w:bookmarkEnd w:id="32"/>
      <w:bookmarkEnd w:id="33"/>
    </w:p>
    <w:p w:rsidR="008B3E63" w:rsidRDefault="008B3E63" w:rsidP="008B3E63">
      <w:pPr>
        <w:pStyle w:val="Brdtext"/>
      </w:pPr>
      <w:r>
        <w:t>För hela fjärrvärmebranschen har rörelsemarginalen</w:t>
      </w:r>
      <w:r>
        <w:rPr>
          <w:rStyle w:val="Fotnotsreferens"/>
        </w:rPr>
        <w:footnoteReference w:id="18"/>
      </w:r>
      <w:r>
        <w:t xml:space="preserve"> och vinstmarginalen</w:t>
      </w:r>
      <w:r>
        <w:rPr>
          <w:rStyle w:val="Fotnotsreferens"/>
        </w:rPr>
        <w:footnoteReference w:id="19"/>
      </w:r>
      <w:r>
        <w:t xml:space="preserve"> legat relativt kontant 2008-2014 och visar på goda siffror (</w:t>
      </w:r>
      <w:r w:rsidR="004A0222">
        <w:t xml:space="preserve">Figur 5). </w:t>
      </w:r>
      <w:r>
        <w:t>Vinstmarginalen har t.o.m. ökat något de senaste två åren. Ser man till enskilda företag är spridningen stor både från företag till företag men också från år till år inom samma företag</w:t>
      </w:r>
      <w:r w:rsidR="00F570A2">
        <w:t>.</w:t>
      </w:r>
      <w:r>
        <w:rPr>
          <w:rStyle w:val="Fotnotsreferens"/>
        </w:rPr>
        <w:footnoteReference w:id="20"/>
      </w:r>
      <w:r>
        <w:t xml:space="preserve">  </w:t>
      </w:r>
    </w:p>
    <w:p w:rsidR="008B3E63" w:rsidRDefault="008B3E63" w:rsidP="008B3E63">
      <w:pPr>
        <w:pStyle w:val="Beskrivning"/>
        <w:keepNext/>
      </w:pPr>
      <w:bookmarkStart w:id="34" w:name="_Ref435000436"/>
      <w:r>
        <w:t xml:space="preserve">Figur </w:t>
      </w:r>
      <w:r w:rsidR="008E24DA">
        <w:fldChar w:fldCharType="begin"/>
      </w:r>
      <w:r w:rsidR="008E24DA">
        <w:instrText xml:space="preserve"> SEQ Figur \* ARABIC </w:instrText>
      </w:r>
      <w:r w:rsidR="008E24DA">
        <w:fldChar w:fldCharType="separate"/>
      </w:r>
      <w:r w:rsidR="000A5878">
        <w:rPr>
          <w:noProof/>
        </w:rPr>
        <w:t>5</w:t>
      </w:r>
      <w:r w:rsidR="008E24DA">
        <w:rPr>
          <w:noProof/>
        </w:rPr>
        <w:fldChar w:fldCharType="end"/>
      </w:r>
      <w:bookmarkEnd w:id="34"/>
      <w:r>
        <w:t xml:space="preserve"> Vinst- och rörelsemarginal</w:t>
      </w:r>
    </w:p>
    <w:p w:rsidR="008B3E63" w:rsidRDefault="008B3E63" w:rsidP="008B3E63">
      <w:pPr>
        <w:pStyle w:val="Brdtext"/>
      </w:pPr>
      <w:r>
        <w:rPr>
          <w:noProof/>
        </w:rPr>
        <w:drawing>
          <wp:inline distT="0" distB="0" distL="0" distR="0" wp14:anchorId="696CF556" wp14:editId="140CE1AD">
            <wp:extent cx="5039360" cy="2726483"/>
            <wp:effectExtent l="0" t="0" r="8890" b="0"/>
            <wp:docPr id="39" name="Diagram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Brdtext"/>
      </w:pPr>
    </w:p>
    <w:p w:rsidR="008B3E63" w:rsidRPr="006917B6" w:rsidRDefault="008B3E63" w:rsidP="008B3E63">
      <w:pPr>
        <w:pStyle w:val="Brdtext"/>
        <w:rPr>
          <w:sz w:val="20"/>
          <w:szCs w:val="20"/>
        </w:rPr>
      </w:pPr>
    </w:p>
    <w:p w:rsidR="008B3E63" w:rsidRDefault="008B3E63" w:rsidP="008B3E63"/>
    <w:p w:rsidR="008B3E63" w:rsidRDefault="008B3E63" w:rsidP="008B3E63">
      <w:pPr>
        <w:pStyle w:val="Rubrik2"/>
      </w:pPr>
      <w:bookmarkStart w:id="35" w:name="_Toc436664248"/>
      <w:bookmarkStart w:id="36" w:name="_Toc438471431"/>
      <w:r>
        <w:lastRenderedPageBreak/>
        <w:t>Avkastning på eget och sysselsatt kapital</w:t>
      </w:r>
      <w:bookmarkEnd w:id="35"/>
      <w:bookmarkEnd w:id="36"/>
    </w:p>
    <w:p w:rsidR="008B3E63" w:rsidRDefault="008B3E63" w:rsidP="008B3E63">
      <w:pPr>
        <w:pStyle w:val="Brdtext"/>
      </w:pPr>
      <w:r>
        <w:t>Det sysselsatta kapitalet</w:t>
      </w:r>
      <w:r>
        <w:rPr>
          <w:rStyle w:val="Fotnotsreferens"/>
        </w:rPr>
        <w:footnoteReference w:id="21"/>
      </w:r>
      <w:r>
        <w:t xml:space="preserve">  anger företagets lönsamhet i förhållande till externt finansierat (lånat) kapital och eget kapital, till skillnad från avkastning på totalt kapital som har med samtliga skulder. Nyckeltalet påverkas av i stort sett samma faktorer som avkastning på totalt kapital men även av hur mycket räntebärande respektive icke räntebärande skulder företaget har. </w:t>
      </w:r>
    </w:p>
    <w:p w:rsidR="008B3E63" w:rsidRDefault="008B3E63" w:rsidP="008B3E63">
      <w:pPr>
        <w:pStyle w:val="Brdtext"/>
      </w:pPr>
      <w:r>
        <w:t>Eftersom nyckeltalet endast tar hänsyn till den del av kapitalet som kräver avkastning används det för investeringsbedömningar, ett högt värde talar om att avkastningen på satsade pengar är god.</w:t>
      </w:r>
    </w:p>
    <w:p w:rsidR="008B3E63" w:rsidRDefault="008B3E63" w:rsidP="008B3E63">
      <w:pPr>
        <w:pStyle w:val="Brdtext"/>
      </w:pPr>
      <w:r w:rsidRPr="00466E99">
        <w:t>Avkastning på eget kapital</w:t>
      </w:r>
      <w:r>
        <w:rPr>
          <w:rStyle w:val="Fotnotsreferens"/>
        </w:rPr>
        <w:footnoteReference w:id="22"/>
      </w:r>
      <w:r w:rsidRPr="00466E99">
        <w:t xml:space="preserve"> visar verksamhetens "avkastning" under året på ägarnas insatta kapital och kan jämföras med gällande bankränta eller avkastning från alternativa placeringar. Avkastning på eget kapital bör alltid vara </w:t>
      </w:r>
      <w:r w:rsidR="00EC3CBD">
        <w:t>högre</w:t>
      </w:r>
      <w:r w:rsidR="00EC3CBD" w:rsidRPr="00466E99">
        <w:t xml:space="preserve"> </w:t>
      </w:r>
      <w:r w:rsidRPr="00466E99">
        <w:t xml:space="preserve">än bankräntan då den också ska täcka en premie för den risk som affärsverksamheten innebär. Nyckeltalet bör analyseras tillsammans med nyckeltalen soliditet och skuldsättningsgrad. Företag med dålig soliditet och ett litet eget kapital, t.ex. mindre, nystartade företag, kan ett år få en mycket hög avkastning på eget kapital genom ett högt resultat. </w:t>
      </w:r>
      <w:r>
        <w:t xml:space="preserve"> </w:t>
      </w:r>
    </w:p>
    <w:p w:rsidR="008B3E63" w:rsidRDefault="008B3E63" w:rsidP="008B3E63">
      <w:pPr>
        <w:pStyle w:val="Brdtext"/>
      </w:pPr>
      <w:r>
        <w:t xml:space="preserve">För hela fjärrvärmebranschen ligger båda nyckeltalen relativt konstant och avkastningen på eget kapital betydligt över en alternativ placering på bank/börs inklusive riskpremie. </w:t>
      </w:r>
    </w:p>
    <w:p w:rsidR="008B3E63" w:rsidRDefault="008B3E63" w:rsidP="008B3E63">
      <w:pPr>
        <w:pStyle w:val="Beskrivning"/>
        <w:keepNext/>
      </w:pPr>
      <w:r>
        <w:lastRenderedPageBreak/>
        <w:t xml:space="preserve">Figur </w:t>
      </w:r>
      <w:r w:rsidR="008E24DA">
        <w:fldChar w:fldCharType="begin"/>
      </w:r>
      <w:r w:rsidR="008E24DA">
        <w:instrText xml:space="preserve"> SEQ Figur \* ARABIC </w:instrText>
      </w:r>
      <w:r w:rsidR="008E24DA">
        <w:fldChar w:fldCharType="separate"/>
      </w:r>
      <w:r w:rsidR="000A5878">
        <w:rPr>
          <w:noProof/>
        </w:rPr>
        <w:t>6</w:t>
      </w:r>
      <w:r w:rsidR="008E24DA">
        <w:rPr>
          <w:noProof/>
        </w:rPr>
        <w:fldChar w:fldCharType="end"/>
      </w:r>
      <w:r>
        <w:t xml:space="preserve"> Avkastning på eget och sysselsatt kapital</w:t>
      </w:r>
    </w:p>
    <w:p w:rsidR="008B3E63" w:rsidRDefault="008B3E63" w:rsidP="008B3E63">
      <w:pPr>
        <w:pStyle w:val="Brdtext"/>
      </w:pPr>
      <w:r>
        <w:rPr>
          <w:noProof/>
        </w:rPr>
        <w:drawing>
          <wp:inline distT="0" distB="0" distL="0" distR="0" wp14:anchorId="4D3A5FDF" wp14:editId="537CC66D">
            <wp:extent cx="5039360" cy="2667550"/>
            <wp:effectExtent l="0" t="0" r="8890" b="0"/>
            <wp:docPr id="40" name="Diagram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Brdtext"/>
      </w:pPr>
    </w:p>
    <w:p w:rsidR="008B3E63" w:rsidRDefault="008B3E63" w:rsidP="008B3E63">
      <w:pPr>
        <w:pStyle w:val="Rubrik2"/>
      </w:pPr>
      <w:bookmarkStart w:id="37" w:name="_Toc436664249"/>
      <w:bookmarkStart w:id="38" w:name="_Toc438471432"/>
      <w:r>
        <w:t>Långsiktig betalningsförmåga för enskilda företag</w:t>
      </w:r>
      <w:bookmarkEnd w:id="37"/>
      <w:bookmarkEnd w:id="38"/>
    </w:p>
    <w:p w:rsidR="008B3E63" w:rsidRDefault="008B3E63" w:rsidP="008B3E63">
      <w:pPr>
        <w:pStyle w:val="Brdtext"/>
      </w:pPr>
      <w:r w:rsidRPr="00A736A7">
        <w:t xml:space="preserve">Även om hela branschen ligger bra till vad det gäller den långsiktiga betalningsförmågan så finns det </w:t>
      </w:r>
      <w:r>
        <w:t xml:space="preserve">ett stort antal enskilda företag som ligger under 30 procent i soliditet </w:t>
      </w:r>
      <w:r w:rsidRPr="00A736A7">
        <w:t>(</w:t>
      </w:r>
      <w:r>
        <w:fldChar w:fldCharType="begin"/>
      </w:r>
      <w:r>
        <w:instrText xml:space="preserve"> REF _Ref435171644 \h </w:instrText>
      </w:r>
      <w:r>
        <w:fldChar w:fldCharType="separate"/>
      </w:r>
      <w:r w:rsidR="000A5878">
        <w:t xml:space="preserve">Tabell </w:t>
      </w:r>
      <w:r w:rsidR="000A5878">
        <w:rPr>
          <w:noProof/>
        </w:rPr>
        <w:t>1</w:t>
      </w:r>
      <w:r>
        <w:fldChar w:fldCharType="end"/>
      </w:r>
      <w:r w:rsidRPr="00A736A7">
        <w:t>)</w:t>
      </w:r>
      <w:r>
        <w:t xml:space="preserve">. 2014 uppgick detta antal till 122 företag. Utvecklingen sett över tiden har dock förbättrats och 2008 hade 23 fler bolag en soliditet under 30 procent. Det finns även ett antal bolag med negativ solditet vilket delvis kan bero på kommuner som lånar till nya anläggningar inom kommunen och på så sätt uppvisar ett negativt kapital. </w:t>
      </w:r>
      <w:r>
        <w:fldChar w:fldCharType="begin"/>
      </w:r>
      <w:r>
        <w:instrText xml:space="preserve"> REF _Ref435171772 \h </w:instrText>
      </w:r>
      <w:r>
        <w:fldChar w:fldCharType="separate"/>
      </w:r>
      <w:r w:rsidR="000A5878">
        <w:t xml:space="preserve">Figur </w:t>
      </w:r>
      <w:r w:rsidR="000A5878">
        <w:rPr>
          <w:noProof/>
        </w:rPr>
        <w:t>7</w:t>
      </w:r>
      <w:r>
        <w:fldChar w:fldCharType="end"/>
      </w:r>
      <w:r>
        <w:t xml:space="preserve"> visar spridningen de senaste tre åren per bolag och i vissa enskilda fall kan det skilja relativt mycket från ett år till </w:t>
      </w:r>
      <w:r w:rsidR="000A6104">
        <w:t xml:space="preserve">ett </w:t>
      </w:r>
      <w:r>
        <w:t xml:space="preserve">annat. </w:t>
      </w:r>
    </w:p>
    <w:p w:rsidR="008B3E63" w:rsidRDefault="008B3E63" w:rsidP="008B3E63">
      <w:pPr>
        <w:pStyle w:val="Beskrivning"/>
        <w:keepNext/>
      </w:pPr>
      <w:bookmarkStart w:id="39" w:name="_Ref435171644"/>
      <w:r>
        <w:t xml:space="preserve">Tabell </w:t>
      </w:r>
      <w:r w:rsidR="008E24DA">
        <w:fldChar w:fldCharType="begin"/>
      </w:r>
      <w:r w:rsidR="008E24DA">
        <w:instrText xml:space="preserve"> SEQ Tabell \* ARABIC </w:instrText>
      </w:r>
      <w:r w:rsidR="008E24DA">
        <w:fldChar w:fldCharType="separate"/>
      </w:r>
      <w:r w:rsidR="000A5878">
        <w:rPr>
          <w:noProof/>
        </w:rPr>
        <w:t>1</w:t>
      </w:r>
      <w:r w:rsidR="008E24DA">
        <w:rPr>
          <w:noProof/>
        </w:rPr>
        <w:fldChar w:fldCharType="end"/>
      </w:r>
      <w:bookmarkEnd w:id="39"/>
      <w:r>
        <w:t xml:space="preserve"> </w:t>
      </w:r>
      <w:r w:rsidRPr="004B0AD3">
        <w:t>Antal fjärrvärmeföretag med soliditet under 30 procent eller lägre</w:t>
      </w:r>
    </w:p>
    <w:tbl>
      <w:tblPr>
        <w:tblStyle w:val="Enkeltabell1"/>
        <w:tblW w:w="9545" w:type="dxa"/>
        <w:tblLook w:val="04A0" w:firstRow="1" w:lastRow="0" w:firstColumn="1" w:lastColumn="0" w:noHBand="0" w:noVBand="1"/>
      </w:tblPr>
      <w:tblGrid>
        <w:gridCol w:w="2660"/>
        <w:gridCol w:w="663"/>
        <w:gridCol w:w="1065"/>
        <w:gridCol w:w="1065"/>
        <w:gridCol w:w="1081"/>
        <w:gridCol w:w="1081"/>
        <w:gridCol w:w="1131"/>
        <w:gridCol w:w="799"/>
      </w:tblGrid>
      <w:tr w:rsidR="008B3E63" w:rsidTr="00947476">
        <w:trPr>
          <w:cnfStyle w:val="100000000000" w:firstRow="1" w:lastRow="0" w:firstColumn="0" w:lastColumn="0" w:oddVBand="0" w:evenVBand="0" w:oddHBand="0" w:evenHBand="0" w:firstRowFirstColumn="0" w:firstRowLastColumn="0" w:lastRowFirstColumn="0" w:lastRowLastColumn="0"/>
          <w:trHeight w:val="300"/>
        </w:trPr>
        <w:tc>
          <w:tcPr>
            <w:tcW w:w="2660" w:type="dxa"/>
            <w:noWrap/>
            <w:hideMark/>
          </w:tcPr>
          <w:p w:rsidR="008B3E63" w:rsidRDefault="008B3E63" w:rsidP="00947476">
            <w:pPr>
              <w:rPr>
                <w:rFonts w:ascii="Calibri" w:hAnsi="Calibri"/>
                <w:color w:val="000000"/>
                <w:sz w:val="22"/>
                <w:szCs w:val="22"/>
              </w:rPr>
            </w:pPr>
          </w:p>
        </w:tc>
        <w:tc>
          <w:tcPr>
            <w:tcW w:w="663"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2008</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2009</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2010</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2011</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2012</w:t>
            </w:r>
          </w:p>
        </w:tc>
        <w:tc>
          <w:tcPr>
            <w:tcW w:w="113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2013</w:t>
            </w:r>
          </w:p>
        </w:tc>
        <w:tc>
          <w:tcPr>
            <w:tcW w:w="799"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2014</w:t>
            </w:r>
          </w:p>
        </w:tc>
      </w:tr>
      <w:tr w:rsidR="008B3E63" w:rsidTr="00947476">
        <w:trPr>
          <w:trHeight w:val="300"/>
        </w:trPr>
        <w:tc>
          <w:tcPr>
            <w:tcW w:w="2660" w:type="dxa"/>
            <w:noWrap/>
            <w:hideMark/>
          </w:tcPr>
          <w:p w:rsidR="008B3E63" w:rsidRDefault="008B3E63" w:rsidP="00947476">
            <w:pPr>
              <w:rPr>
                <w:rFonts w:ascii="Calibri" w:hAnsi="Calibri"/>
                <w:color w:val="000000"/>
                <w:sz w:val="22"/>
                <w:szCs w:val="22"/>
              </w:rPr>
            </w:pPr>
            <w:r>
              <w:rPr>
                <w:rFonts w:ascii="Calibri" w:hAnsi="Calibri"/>
                <w:color w:val="000000"/>
                <w:sz w:val="22"/>
                <w:szCs w:val="22"/>
              </w:rPr>
              <w:t>Antal med negativ soliditet</w:t>
            </w:r>
          </w:p>
        </w:tc>
        <w:tc>
          <w:tcPr>
            <w:tcW w:w="663"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18</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16</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13</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16</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18</w:t>
            </w:r>
          </w:p>
        </w:tc>
        <w:tc>
          <w:tcPr>
            <w:tcW w:w="113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21</w:t>
            </w:r>
          </w:p>
        </w:tc>
        <w:tc>
          <w:tcPr>
            <w:tcW w:w="799"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19</w:t>
            </w:r>
          </w:p>
        </w:tc>
      </w:tr>
      <w:tr w:rsidR="008B3E63" w:rsidTr="00947476">
        <w:trPr>
          <w:trHeight w:val="300"/>
        </w:trPr>
        <w:tc>
          <w:tcPr>
            <w:tcW w:w="2660" w:type="dxa"/>
            <w:noWrap/>
            <w:hideMark/>
          </w:tcPr>
          <w:p w:rsidR="008B3E63" w:rsidRDefault="008B3E63" w:rsidP="00947476">
            <w:pPr>
              <w:rPr>
                <w:rFonts w:ascii="Calibri" w:hAnsi="Calibri"/>
                <w:color w:val="000000"/>
                <w:sz w:val="22"/>
                <w:szCs w:val="22"/>
              </w:rPr>
            </w:pPr>
            <w:r>
              <w:rPr>
                <w:rFonts w:ascii="Calibri" w:hAnsi="Calibri"/>
                <w:color w:val="000000"/>
                <w:sz w:val="22"/>
                <w:szCs w:val="22"/>
              </w:rPr>
              <w:t>Antal under 10 %</w:t>
            </w:r>
          </w:p>
        </w:tc>
        <w:tc>
          <w:tcPr>
            <w:tcW w:w="663"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63</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59</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54</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57</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51</w:t>
            </w:r>
          </w:p>
        </w:tc>
        <w:tc>
          <w:tcPr>
            <w:tcW w:w="113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52</w:t>
            </w:r>
          </w:p>
        </w:tc>
        <w:tc>
          <w:tcPr>
            <w:tcW w:w="799"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47</w:t>
            </w:r>
          </w:p>
        </w:tc>
      </w:tr>
      <w:tr w:rsidR="008B3E63" w:rsidTr="00947476">
        <w:trPr>
          <w:trHeight w:val="300"/>
        </w:trPr>
        <w:tc>
          <w:tcPr>
            <w:tcW w:w="2660" w:type="dxa"/>
            <w:noWrap/>
            <w:hideMark/>
          </w:tcPr>
          <w:p w:rsidR="008B3E63" w:rsidRDefault="008B3E63" w:rsidP="00947476">
            <w:pPr>
              <w:rPr>
                <w:rFonts w:ascii="Calibri" w:hAnsi="Calibri"/>
                <w:color w:val="000000"/>
                <w:sz w:val="22"/>
                <w:szCs w:val="22"/>
              </w:rPr>
            </w:pPr>
            <w:r>
              <w:rPr>
                <w:rFonts w:ascii="Calibri" w:hAnsi="Calibri"/>
                <w:color w:val="000000"/>
                <w:sz w:val="22"/>
                <w:szCs w:val="22"/>
              </w:rPr>
              <w:t>Antal under 20 %</w:t>
            </w:r>
          </w:p>
        </w:tc>
        <w:tc>
          <w:tcPr>
            <w:tcW w:w="663"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111</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102</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94</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99</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91</w:t>
            </w:r>
          </w:p>
        </w:tc>
        <w:tc>
          <w:tcPr>
            <w:tcW w:w="113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88</w:t>
            </w:r>
          </w:p>
        </w:tc>
        <w:tc>
          <w:tcPr>
            <w:tcW w:w="799"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84</w:t>
            </w:r>
          </w:p>
        </w:tc>
      </w:tr>
      <w:tr w:rsidR="008B3E63" w:rsidTr="00947476">
        <w:trPr>
          <w:trHeight w:val="300"/>
        </w:trPr>
        <w:tc>
          <w:tcPr>
            <w:tcW w:w="2660" w:type="dxa"/>
            <w:noWrap/>
            <w:hideMark/>
          </w:tcPr>
          <w:p w:rsidR="008B3E63" w:rsidRDefault="008B3E63" w:rsidP="00947476">
            <w:pPr>
              <w:rPr>
                <w:rFonts w:ascii="Calibri" w:hAnsi="Calibri"/>
                <w:color w:val="000000"/>
                <w:sz w:val="22"/>
                <w:szCs w:val="22"/>
              </w:rPr>
            </w:pPr>
            <w:r>
              <w:rPr>
                <w:rFonts w:ascii="Calibri" w:hAnsi="Calibri"/>
                <w:color w:val="000000"/>
                <w:sz w:val="22"/>
                <w:szCs w:val="22"/>
              </w:rPr>
              <w:t>Antal under 30 %</w:t>
            </w:r>
          </w:p>
        </w:tc>
        <w:tc>
          <w:tcPr>
            <w:tcW w:w="663"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145</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141</w:t>
            </w:r>
          </w:p>
        </w:tc>
        <w:tc>
          <w:tcPr>
            <w:tcW w:w="1065"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143</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143</w:t>
            </w:r>
          </w:p>
        </w:tc>
        <w:tc>
          <w:tcPr>
            <w:tcW w:w="108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135</w:t>
            </w:r>
          </w:p>
        </w:tc>
        <w:tc>
          <w:tcPr>
            <w:tcW w:w="1131"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132</w:t>
            </w:r>
          </w:p>
        </w:tc>
        <w:tc>
          <w:tcPr>
            <w:tcW w:w="799" w:type="dxa"/>
            <w:noWrap/>
            <w:hideMark/>
          </w:tcPr>
          <w:p w:rsidR="008B3E63" w:rsidRDefault="008B3E63" w:rsidP="00947476">
            <w:pPr>
              <w:jc w:val="right"/>
              <w:rPr>
                <w:rFonts w:ascii="Calibri" w:hAnsi="Calibri"/>
                <w:color w:val="000000"/>
                <w:sz w:val="22"/>
                <w:szCs w:val="22"/>
              </w:rPr>
            </w:pPr>
            <w:r>
              <w:rPr>
                <w:rFonts w:ascii="Calibri" w:hAnsi="Calibri"/>
                <w:color w:val="000000"/>
                <w:sz w:val="22"/>
                <w:szCs w:val="22"/>
              </w:rPr>
              <w:t>122</w:t>
            </w:r>
          </w:p>
        </w:tc>
      </w:tr>
    </w:tbl>
    <w:p w:rsidR="008B3E63" w:rsidRPr="00FA2A7B"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Beskrivning"/>
      </w:pPr>
    </w:p>
    <w:p w:rsidR="008B3E63" w:rsidRDefault="008B3E63" w:rsidP="008B3E63">
      <w:pPr>
        <w:pStyle w:val="Beskrivning"/>
      </w:pPr>
      <w:bookmarkStart w:id="40" w:name="_Ref435171772"/>
      <w:r>
        <w:t xml:space="preserve">Figur </w:t>
      </w:r>
      <w:r w:rsidR="008E24DA">
        <w:fldChar w:fldCharType="begin"/>
      </w:r>
      <w:r w:rsidR="008E24DA">
        <w:instrText xml:space="preserve"> SEQ Figur \* ARABIC </w:instrText>
      </w:r>
      <w:r w:rsidR="008E24DA">
        <w:fldChar w:fldCharType="separate"/>
      </w:r>
      <w:r w:rsidR="000A5878">
        <w:rPr>
          <w:noProof/>
        </w:rPr>
        <w:t>7</w:t>
      </w:r>
      <w:r w:rsidR="008E24DA">
        <w:rPr>
          <w:noProof/>
        </w:rPr>
        <w:fldChar w:fldCharType="end"/>
      </w:r>
      <w:bookmarkEnd w:id="40"/>
      <w:r>
        <w:t xml:space="preserve"> Soliditet för alla företag 2012-2014</w:t>
      </w:r>
    </w:p>
    <w:p w:rsidR="008B3E63" w:rsidRDefault="008B3E63" w:rsidP="008B3E63">
      <w:pPr>
        <w:pStyle w:val="Brdtext"/>
        <w:keepNext/>
      </w:pPr>
      <w:r>
        <w:rPr>
          <w:noProof/>
        </w:rPr>
        <w:lastRenderedPageBreak/>
        <w:drawing>
          <wp:inline distT="0" distB="0" distL="0" distR="0" wp14:anchorId="74D52A52" wp14:editId="30C58D1E">
            <wp:extent cx="5039360" cy="2834707"/>
            <wp:effectExtent l="0" t="0" r="8890" b="3810"/>
            <wp:docPr id="41" name="Diagram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B3E63" w:rsidRPr="006917B6" w:rsidRDefault="008B3E63" w:rsidP="008B3E63">
      <w:pPr>
        <w:pStyle w:val="Brdtext"/>
        <w:rPr>
          <w:sz w:val="20"/>
          <w:szCs w:val="20"/>
        </w:rPr>
      </w:pPr>
      <w:r w:rsidRPr="006917B6">
        <w:rPr>
          <w:sz w:val="20"/>
          <w:szCs w:val="20"/>
        </w:rPr>
        <w:t>Källa: Bearbetning av Energimarknadsinspektionens data</w:t>
      </w:r>
      <w:r>
        <w:rPr>
          <w:sz w:val="20"/>
          <w:szCs w:val="20"/>
        </w:rPr>
        <w:t>.</w:t>
      </w:r>
    </w:p>
    <w:p w:rsidR="008B3E63" w:rsidRDefault="008B3E63" w:rsidP="008B3E63">
      <w:pPr>
        <w:pStyle w:val="Brdtext"/>
        <w:keepNext/>
      </w:pPr>
    </w:p>
    <w:p w:rsidR="008B3E63" w:rsidRDefault="008B3E63" w:rsidP="008B3E63">
      <w:pPr>
        <w:pStyle w:val="Rubrik2"/>
      </w:pPr>
      <w:bookmarkStart w:id="41" w:name="_Toc436664250"/>
      <w:bookmarkStart w:id="42" w:name="_Toc438471433"/>
      <w:r>
        <w:t>Fjärrvärmens ekonomiska utmaningar</w:t>
      </w:r>
      <w:bookmarkEnd w:id="41"/>
      <w:bookmarkEnd w:id="42"/>
      <w:r>
        <w:t xml:space="preserve"> </w:t>
      </w:r>
    </w:p>
    <w:p w:rsidR="008B3E63" w:rsidRDefault="008B3E63" w:rsidP="008B3E63">
      <w:pPr>
        <w:pStyle w:val="Brdtext"/>
      </w:pPr>
      <w:r>
        <w:t>Fjärrvärmen står i princip för</w:t>
      </w:r>
      <w:r w:rsidR="0085477B">
        <w:t xml:space="preserve"> uppvärmningen i</w:t>
      </w:r>
      <w:r>
        <w:t xml:space="preserve"> hela flerbostadshussegmentet och större delen av lokaluppvärmningen</w:t>
      </w:r>
      <w:r w:rsidR="0085477B">
        <w:t>.</w:t>
      </w:r>
      <w:r>
        <w:t xml:space="preserve"> </w:t>
      </w:r>
      <w:r w:rsidR="0085477B">
        <w:t>U</w:t>
      </w:r>
      <w:r>
        <w:t>trymmet för expansion är</w:t>
      </w:r>
      <w:r w:rsidR="0085477B">
        <w:t xml:space="preserve"> därför</w:t>
      </w:r>
      <w:r>
        <w:t xml:space="preserve"> liten. Ser man till fördelningen inom bebyggelsen under 2013 värmdes 83 procent av arean i flerbostadshus och 72 procent av arean i lokaler med </w:t>
      </w:r>
      <w:r w:rsidRPr="006F765A">
        <w:rPr>
          <w:u w:val="single"/>
        </w:rPr>
        <w:t xml:space="preserve">enbart </w:t>
      </w:r>
      <w:r>
        <w:t xml:space="preserve">fjärrvärme. </w:t>
      </w:r>
      <w:r>
        <w:rPr>
          <w:color w:val="000000"/>
          <w:sz w:val="23"/>
          <w:szCs w:val="23"/>
        </w:rPr>
        <w:t xml:space="preserve">I småhusen fanns en större spridning mellan olika uppvärmningssätt och där värmdes endast tolv procent av arean med </w:t>
      </w:r>
      <w:r w:rsidRPr="006F765A">
        <w:rPr>
          <w:color w:val="000000"/>
          <w:sz w:val="23"/>
          <w:szCs w:val="23"/>
          <w:u w:val="single"/>
        </w:rPr>
        <w:t>enbart</w:t>
      </w:r>
      <w:r>
        <w:rPr>
          <w:color w:val="000000"/>
          <w:sz w:val="23"/>
          <w:szCs w:val="23"/>
        </w:rPr>
        <w:t xml:space="preserve"> fjärrvärme</w:t>
      </w:r>
      <w:r w:rsidR="004C69D7">
        <w:rPr>
          <w:rStyle w:val="Fotnotsreferens"/>
          <w:color w:val="000000"/>
          <w:sz w:val="23"/>
          <w:szCs w:val="23"/>
        </w:rPr>
        <w:footnoteReference w:id="23"/>
      </w:r>
      <w:r>
        <w:rPr>
          <w:color w:val="000000"/>
          <w:sz w:val="23"/>
          <w:szCs w:val="23"/>
        </w:rPr>
        <w:t xml:space="preserve">. </w:t>
      </w:r>
      <w:r>
        <w:t xml:space="preserve"> Även om nya anslutningar och användningsområden för fjärrvärme tillkommer så minskar värmebehovet i bebyggelsen totalt sett. Effektiviseringsåtgärder och värmepumpsinstallationer hos befintliga kunder är det som påverkar leveranserna mest</w:t>
      </w:r>
      <w:r w:rsidR="004C69D7">
        <w:rPr>
          <w:rStyle w:val="Fotnotsreferens"/>
        </w:rPr>
        <w:footnoteReference w:id="24"/>
      </w:r>
      <w:r>
        <w:t>. Fjärrvärmeutbyggnaden i Sverige är i stort sett genomförd och för fjärrvärmebolagen handlar frågan snarare om att behålla marknadsandelarna på uppvärmningsmarknaden och att hitta nya användningsområden.</w:t>
      </w:r>
      <w:r w:rsidRPr="001E2327">
        <w:t xml:space="preserve"> </w:t>
      </w:r>
      <w:r>
        <w:t>Även politiskt beslutade styrmedel, regleringar och beskattning påverkar fjärrvärmens framtida marknadsförutsättningar.</w:t>
      </w:r>
    </w:p>
    <w:p w:rsidR="008B3E63" w:rsidRDefault="008B3E63" w:rsidP="008B3E63">
      <w:pPr>
        <w:pStyle w:val="Rubrik3"/>
      </w:pPr>
      <w:bookmarkStart w:id="43" w:name="_Toc436664251"/>
      <w:r>
        <w:t>Ökad konkurens från värmepumpar och energieffektivisering</w:t>
      </w:r>
      <w:bookmarkEnd w:id="43"/>
    </w:p>
    <w:p w:rsidR="008B3E63" w:rsidRDefault="008B3E63" w:rsidP="008026F1">
      <w:pPr>
        <w:pStyle w:val="Brdtext"/>
      </w:pPr>
      <w:r>
        <w:t xml:space="preserve">I Energimyndighetens rapport </w:t>
      </w:r>
      <w:r w:rsidRPr="006F765A">
        <w:rPr>
          <w:i/>
        </w:rPr>
        <w:t>Heltäckande bedömning av potentialen för att använda högeffektiv kraftvärme, fjärrvärme och fjärrkyla</w:t>
      </w:r>
      <w:r>
        <w:rPr>
          <w:i/>
        </w:rPr>
        <w:t>- ER2013:24</w:t>
      </w:r>
      <w:r>
        <w:t xml:space="preserve"> konstateras det att utvecklingen mot ökad energieffektivisering på användarsidan samt ökad konkurrens från värmepumpar leder till att de totala fjärrvärme</w:t>
      </w:r>
      <w:r>
        <w:softHyphen/>
        <w:t xml:space="preserve">leveranserna i </w:t>
      </w:r>
      <w:r w:rsidRPr="008026F1">
        <w:rPr>
          <w:rStyle w:val="BrdtextChar"/>
        </w:rPr>
        <w:lastRenderedPageBreak/>
        <w:t>Sverige</w:t>
      </w:r>
      <w:r w:rsidR="00AB488A" w:rsidRPr="008026F1">
        <w:rPr>
          <w:rStyle w:val="BrdtextChar"/>
        </w:rPr>
        <w:t xml:space="preserve"> bedöms</w:t>
      </w:r>
      <w:r w:rsidRPr="008026F1">
        <w:rPr>
          <w:rStyle w:val="BrdtextChar"/>
        </w:rPr>
        <w:t xml:space="preserve"> minska mot 2030. Effektiviseringsåtgärder är i beräkningarna den största påverkande posten på ca 10 TWh minskning 2007-2025. Delkonvertering till värmepumpar beräknas samtidigt innebära ca 3 TWh leveransminskningar i fjärrvärme.</w:t>
      </w:r>
      <w:r w:rsidRPr="008026F1">
        <w:rPr>
          <w:rStyle w:val="BrdtextChar"/>
        </w:rPr>
        <w:footnoteReference w:id="25"/>
      </w:r>
      <w:r w:rsidRPr="008026F1">
        <w:rPr>
          <w:rStyle w:val="BrdtextChar"/>
        </w:rPr>
        <w:t xml:space="preserve"> En uppdatering av basåret till 2011 och en förlängning av tiden till år 2030 visar att sammanlagda leveranser minskar med 4 TWh (</w:t>
      </w:r>
      <w:r w:rsidRPr="008026F1">
        <w:rPr>
          <w:rStyle w:val="BrdtextChar"/>
        </w:rPr>
        <w:fldChar w:fldCharType="begin"/>
      </w:r>
      <w:r w:rsidRPr="008026F1">
        <w:rPr>
          <w:rStyle w:val="BrdtextChar"/>
        </w:rPr>
        <w:instrText xml:space="preserve"> REF _Ref363044166 \h </w:instrText>
      </w:r>
      <w:r w:rsidR="00AB488A" w:rsidRPr="008026F1">
        <w:rPr>
          <w:rStyle w:val="BrdtextChar"/>
        </w:rPr>
        <w:instrText xml:space="preserve"> \* MERGEFORMAT </w:instrText>
      </w:r>
      <w:r w:rsidRPr="008026F1">
        <w:rPr>
          <w:rStyle w:val="BrdtextChar"/>
        </w:rPr>
      </w:r>
      <w:r w:rsidRPr="008026F1">
        <w:rPr>
          <w:rStyle w:val="BrdtextChar"/>
        </w:rPr>
        <w:fldChar w:fldCharType="separate"/>
      </w:r>
      <w:r w:rsidR="000A5878" w:rsidRPr="008026F1">
        <w:rPr>
          <w:rStyle w:val="BrdtextChar"/>
        </w:rPr>
        <w:t>Figur 8</w:t>
      </w:r>
      <w:r w:rsidRPr="008026F1">
        <w:rPr>
          <w:rStyle w:val="BrdtextChar"/>
        </w:rPr>
        <w:fldChar w:fldCharType="end"/>
      </w:r>
      <w:r w:rsidRPr="008026F1">
        <w:rPr>
          <w:rStyle w:val="BrdtextChar"/>
        </w:rPr>
        <w:t xml:space="preserve"> och </w:t>
      </w:r>
      <w:r w:rsidRPr="008026F1">
        <w:rPr>
          <w:rStyle w:val="BrdtextChar"/>
        </w:rPr>
        <w:fldChar w:fldCharType="begin"/>
      </w:r>
      <w:r w:rsidRPr="008026F1">
        <w:rPr>
          <w:rStyle w:val="BrdtextChar"/>
        </w:rPr>
        <w:instrText xml:space="preserve"> REF _Ref352058319 \h </w:instrText>
      </w:r>
      <w:r w:rsidR="00AB488A" w:rsidRPr="008026F1">
        <w:rPr>
          <w:rStyle w:val="BrdtextChar"/>
        </w:rPr>
        <w:instrText xml:space="preserve"> \* MERGEFORMAT </w:instrText>
      </w:r>
      <w:r w:rsidRPr="008026F1">
        <w:rPr>
          <w:rStyle w:val="BrdtextChar"/>
        </w:rPr>
      </w:r>
      <w:r w:rsidRPr="008026F1">
        <w:rPr>
          <w:rStyle w:val="BrdtextChar"/>
        </w:rPr>
        <w:fldChar w:fldCharType="separate"/>
      </w:r>
      <w:r w:rsidR="000A5878" w:rsidRPr="008026F1">
        <w:rPr>
          <w:rStyle w:val="BrdtextChar"/>
        </w:rPr>
        <w:t>Figur 9</w:t>
      </w:r>
      <w:r w:rsidRPr="008026F1">
        <w:rPr>
          <w:rStyle w:val="BrdtextChar"/>
        </w:rPr>
        <w:fldChar w:fldCharType="end"/>
      </w:r>
      <w:r w:rsidRPr="008026F1">
        <w:rPr>
          <w:rStyle w:val="BrdtextChar"/>
        </w:rPr>
        <w:t>).</w:t>
      </w:r>
      <w:r w:rsidRPr="008026F1">
        <w:rPr>
          <w:rStyle w:val="BrdtextChar"/>
        </w:rPr>
        <w:footnoteReference w:id="26"/>
      </w:r>
    </w:p>
    <w:p w:rsidR="008B3E63" w:rsidRDefault="008B3E63" w:rsidP="008026F1">
      <w:pPr>
        <w:pStyle w:val="Brdtext"/>
      </w:pPr>
      <w:r>
        <w:t>Nyanslutning av fjärrvärme som sker både i befintlig och i ny bebyggelse väger alltså inte upp den nedgång som samtidigt sker i de redan anslutna byggnaderna till följd av effektiviseringar och konverteringar till värmepumpar. Normalåret 2011 producerades 54,7 TWh fjärrvärme</w:t>
      </w:r>
      <w:r>
        <w:rPr>
          <w:rStyle w:val="Fotnotsreferens"/>
        </w:rPr>
        <w:footnoteReference w:id="27"/>
      </w:r>
      <w:r>
        <w:t xml:space="preserve"> vilket beräknas minska till 51 TWh 2030 trots att nyanslutningar till befintlig bebyggelse (5,3 TWh) och ny bebyggelse (2,7 TWh) sammanlagt beräknas uppgå till 8 TWh 2030. Nettominskningen beräknas därmed till ca 4 TWh och hade landat på 12 TWh utan nyanslutningar.</w:t>
      </w:r>
    </w:p>
    <w:p w:rsidR="008B3E63" w:rsidRDefault="008B3E63" w:rsidP="008B3E63">
      <w:pPr>
        <w:jc w:val="both"/>
      </w:pPr>
    </w:p>
    <w:p w:rsidR="008B3E63" w:rsidRDefault="008B3E63" w:rsidP="008B3E63">
      <w:pPr>
        <w:pStyle w:val="Beskrivning"/>
        <w:keepNext/>
      </w:pPr>
      <w:bookmarkStart w:id="44" w:name="_Ref363044166"/>
      <w:r>
        <w:t xml:space="preserve">Figur </w:t>
      </w:r>
      <w:r w:rsidR="008E24DA">
        <w:fldChar w:fldCharType="begin"/>
      </w:r>
      <w:r w:rsidR="008E24DA">
        <w:instrText xml:space="preserve"> SEQ Figur \* ARABIC </w:instrText>
      </w:r>
      <w:r w:rsidR="008E24DA">
        <w:fldChar w:fldCharType="separate"/>
      </w:r>
      <w:r w:rsidR="000A5878">
        <w:rPr>
          <w:noProof/>
        </w:rPr>
        <w:t>8</w:t>
      </w:r>
      <w:r w:rsidR="008E24DA">
        <w:rPr>
          <w:noProof/>
        </w:rPr>
        <w:fldChar w:fldCharType="end"/>
      </w:r>
      <w:bookmarkEnd w:id="44"/>
      <w:r>
        <w:t xml:space="preserve"> </w:t>
      </w:r>
      <w:r w:rsidRPr="00621D0E">
        <w:t xml:space="preserve">Den beräknade utvecklingen för Sveriges samlade fjärrvärmeleveranser till och med 2030 </w:t>
      </w:r>
    </w:p>
    <w:p w:rsidR="008B3E63" w:rsidRDefault="008B3E63" w:rsidP="008B3E63">
      <w:pPr>
        <w:jc w:val="center"/>
      </w:pPr>
      <w:r w:rsidRPr="005A1BFE">
        <w:rPr>
          <w:noProof/>
        </w:rPr>
        <w:drawing>
          <wp:inline distT="0" distB="0" distL="0" distR="0" wp14:anchorId="25C37F02" wp14:editId="57EC31AA">
            <wp:extent cx="3516702" cy="2608817"/>
            <wp:effectExtent l="19050" t="0" r="7548" b="0"/>
            <wp:docPr id="1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3516702" cy="2608817"/>
                    </a:xfrm>
                    <a:prstGeom prst="rect">
                      <a:avLst/>
                    </a:prstGeom>
                    <a:noFill/>
                    <a:ln w="9525">
                      <a:noFill/>
                      <a:miter lim="800000"/>
                      <a:headEnd/>
                      <a:tailEnd/>
                    </a:ln>
                  </pic:spPr>
                </pic:pic>
              </a:graphicData>
            </a:graphic>
          </wp:inline>
        </w:drawing>
      </w:r>
      <w:r w:rsidRPr="005A1BFE">
        <w:t xml:space="preserve"> </w:t>
      </w:r>
      <w:r w:rsidRPr="005A1BFE">
        <w:tab/>
      </w:r>
      <w:r>
        <w:t xml:space="preserve"> </w:t>
      </w:r>
    </w:p>
    <w:p w:rsidR="008B3E63" w:rsidRPr="00C82C00" w:rsidRDefault="008B3E63" w:rsidP="008B3E63">
      <w:pPr>
        <w:rPr>
          <w:sz w:val="20"/>
          <w:szCs w:val="20"/>
        </w:rPr>
      </w:pPr>
      <w:r w:rsidRPr="00C82C00">
        <w:rPr>
          <w:sz w:val="20"/>
          <w:szCs w:val="20"/>
        </w:rPr>
        <w:t>Källa: Heltäckande bedömning av potentialen för att använda hög</w:t>
      </w:r>
      <w:r>
        <w:rPr>
          <w:sz w:val="20"/>
          <w:szCs w:val="20"/>
        </w:rPr>
        <w:t xml:space="preserve">effektiv kraftvärme, fjärrvärme </w:t>
      </w:r>
      <w:r w:rsidRPr="00C82C00">
        <w:rPr>
          <w:sz w:val="20"/>
          <w:szCs w:val="20"/>
        </w:rPr>
        <w:t>och fjärrkyla- ER2013:2</w:t>
      </w:r>
    </w:p>
    <w:p w:rsidR="008B3E63" w:rsidRDefault="008B3E63" w:rsidP="008B3E63">
      <w:pPr>
        <w:jc w:val="both"/>
      </w:pPr>
    </w:p>
    <w:p w:rsidR="00947278" w:rsidRDefault="008B3E63" w:rsidP="009E076F">
      <w:r>
        <w:t>De uppskattade nyanslutningarna i respektive byggnadstyp framgår ur</w:t>
      </w:r>
      <w:r w:rsidR="00947278">
        <w:t xml:space="preserve"> Figur 9</w:t>
      </w:r>
      <w:r>
        <w:t xml:space="preserve"> </w:t>
      </w:r>
      <w:r w:rsidR="009E076F">
        <w:t>Totalt står nyanslutningar för omkring 8 TWh till och med år 2030. Ökade leveranser till industrin redovisas inte i figuren men ingår i beräkningarna och antas uppgå till måttliga 0,2 TWh år 2030 utöver det som levereras idag.</w:t>
      </w:r>
    </w:p>
    <w:p w:rsidR="00947278" w:rsidRDefault="00947278" w:rsidP="009E076F"/>
    <w:p w:rsidR="008B3E63" w:rsidRDefault="008B3E63" w:rsidP="009E076F"/>
    <w:p w:rsidR="008B3E63" w:rsidRDefault="008B3E63" w:rsidP="008B3E63">
      <w:pPr>
        <w:jc w:val="both"/>
      </w:pPr>
    </w:p>
    <w:p w:rsidR="008B3E63" w:rsidRDefault="008B3E63" w:rsidP="008B3E63">
      <w:pPr>
        <w:pStyle w:val="Beskrivning"/>
        <w:keepNext/>
      </w:pPr>
      <w:bookmarkStart w:id="45" w:name="_Ref352058319"/>
      <w:r w:rsidRPr="0082112B">
        <w:t xml:space="preserve">Figur </w:t>
      </w:r>
      <w:r w:rsidR="008E24DA">
        <w:fldChar w:fldCharType="begin"/>
      </w:r>
      <w:r w:rsidR="008E24DA">
        <w:instrText xml:space="preserve"> SEQ Figur \* ARABIC </w:instrText>
      </w:r>
      <w:r w:rsidR="008E24DA">
        <w:fldChar w:fldCharType="separate"/>
      </w:r>
      <w:r w:rsidR="000A5878">
        <w:rPr>
          <w:noProof/>
        </w:rPr>
        <w:t>9</w:t>
      </w:r>
      <w:r w:rsidR="008E24DA">
        <w:rPr>
          <w:noProof/>
        </w:rPr>
        <w:fldChar w:fldCharType="end"/>
      </w:r>
      <w:bookmarkEnd w:id="45"/>
      <w:r>
        <w:t xml:space="preserve"> </w:t>
      </w:r>
      <w:r w:rsidRPr="0082112B">
        <w:t xml:space="preserve">Nyanslutning av fjärrvärme fördelad på byggnadstyp </w:t>
      </w:r>
    </w:p>
    <w:p w:rsidR="008B3E63" w:rsidRPr="0082112B" w:rsidRDefault="008B3E63" w:rsidP="008B3E63">
      <w:pPr>
        <w:jc w:val="both"/>
      </w:pPr>
    </w:p>
    <w:p w:rsidR="008B3E63" w:rsidRDefault="00EC3CBD" w:rsidP="008B3E63">
      <w:pPr>
        <w:jc w:val="center"/>
      </w:pPr>
      <w:r>
        <w:rPr>
          <w:noProof/>
        </w:rPr>
        <mc:AlternateContent>
          <mc:Choice Requires="wps">
            <w:drawing>
              <wp:anchor distT="0" distB="0" distL="114300" distR="114300" simplePos="0" relativeHeight="251661312" behindDoc="0" locked="0" layoutInCell="1" allowOverlap="1" wp14:anchorId="1B3A1A9B" wp14:editId="1F1B699A">
                <wp:simplePos x="0" y="0"/>
                <wp:positionH relativeFrom="column">
                  <wp:posOffset>2387600</wp:posOffset>
                </wp:positionH>
                <wp:positionV relativeFrom="paragraph">
                  <wp:posOffset>137795</wp:posOffset>
                </wp:positionV>
                <wp:extent cx="1162050" cy="219075"/>
                <wp:effectExtent l="0" t="0" r="19050" b="28575"/>
                <wp:wrapNone/>
                <wp:docPr id="1" name="Rektangel 1"/>
                <wp:cNvGraphicFramePr/>
                <a:graphic xmlns:a="http://schemas.openxmlformats.org/drawingml/2006/main">
                  <a:graphicData uri="http://schemas.microsoft.com/office/word/2010/wordprocessingShape">
                    <wps:wsp>
                      <wps:cNvSpPr/>
                      <wps:spPr>
                        <a:xfrm>
                          <a:off x="0" y="0"/>
                          <a:ext cx="1162050" cy="2190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ktangel 1" o:spid="_x0000_s1026" style="position:absolute;margin-left:188pt;margin-top:10.85pt;width:91.5pt;height:17.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" fillcolor="white [3201]" strokecolor="white [3212]" strokeweight="2pt"/>
            </w:pict>
          </mc:Fallback>
        </mc:AlternateContent>
      </w:r>
      <w:r w:rsidR="008B3E63" w:rsidRPr="005A1BFE">
        <w:rPr>
          <w:noProof/>
        </w:rPr>
        <w:drawing>
          <wp:inline distT="0" distB="0" distL="0" distR="0" wp14:anchorId="79AF02BF" wp14:editId="4A09565E">
            <wp:extent cx="3579602" cy="2774366"/>
            <wp:effectExtent l="19050" t="0" r="0" b="0"/>
            <wp:docPr id="23"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3579602" cy="2774366"/>
                    </a:xfrm>
                    <a:prstGeom prst="rect">
                      <a:avLst/>
                    </a:prstGeom>
                    <a:noFill/>
                    <a:ln w="9525">
                      <a:noFill/>
                      <a:miter lim="800000"/>
                      <a:headEnd/>
                      <a:tailEnd/>
                    </a:ln>
                  </pic:spPr>
                </pic:pic>
              </a:graphicData>
            </a:graphic>
          </wp:inline>
        </w:drawing>
      </w:r>
    </w:p>
    <w:p w:rsidR="008B3E63" w:rsidRPr="00C82C00" w:rsidRDefault="008B3E63" w:rsidP="008B3E63">
      <w:pPr>
        <w:rPr>
          <w:sz w:val="20"/>
          <w:szCs w:val="20"/>
        </w:rPr>
      </w:pPr>
      <w:r w:rsidRPr="00C82C00">
        <w:rPr>
          <w:sz w:val="20"/>
          <w:szCs w:val="20"/>
        </w:rPr>
        <w:t>Källa: Heltäckande bedömning av potentialen för att använda hög</w:t>
      </w:r>
      <w:r>
        <w:rPr>
          <w:sz w:val="20"/>
          <w:szCs w:val="20"/>
        </w:rPr>
        <w:t xml:space="preserve">effektiv kraftvärme, fjärrvärme </w:t>
      </w:r>
      <w:r w:rsidRPr="00C82C00">
        <w:rPr>
          <w:sz w:val="20"/>
          <w:szCs w:val="20"/>
        </w:rPr>
        <w:t>och fjärrkyla- ER2013:2</w:t>
      </w:r>
    </w:p>
    <w:p w:rsidR="008B3E63" w:rsidRDefault="008B3E63" w:rsidP="008B3E63">
      <w:pPr>
        <w:jc w:val="center"/>
      </w:pPr>
    </w:p>
    <w:p w:rsidR="008B3E63" w:rsidRPr="006F310B" w:rsidRDefault="008B3E63" w:rsidP="008B3E63">
      <w:pPr>
        <w:jc w:val="both"/>
      </w:pPr>
      <w:r>
        <w:t xml:space="preserve">En kompletterande beskrivning av fjärrvärmens nuvarande utbredning ses </w:t>
      </w:r>
      <w:r w:rsidRPr="006F310B">
        <w:t>i kartform</w:t>
      </w:r>
      <w:r>
        <w:t xml:space="preserve"> i </w:t>
      </w:r>
      <w:r>
        <w:fldChar w:fldCharType="begin"/>
      </w:r>
      <w:r>
        <w:instrText xml:space="preserve"> REF _Ref363044281 \h </w:instrText>
      </w:r>
      <w:r>
        <w:fldChar w:fldCharType="separate"/>
      </w:r>
      <w:r w:rsidR="000A5878">
        <w:t xml:space="preserve">Figur </w:t>
      </w:r>
      <w:r w:rsidR="000A5878">
        <w:rPr>
          <w:noProof/>
        </w:rPr>
        <w:t>10</w:t>
      </w:r>
      <w:r>
        <w:fldChar w:fldCharType="end"/>
      </w:r>
      <w:r>
        <w:t xml:space="preserve">. </w:t>
      </w:r>
      <w:r w:rsidRPr="006F310B">
        <w:t>De två kartorna visar fjärrvärmens marknads</w:t>
      </w:r>
      <w:r>
        <w:softHyphen/>
      </w:r>
      <w:r w:rsidRPr="006F310B">
        <w:t>andel i svenska kommuner. Den vänstra figuren visar fjärrvärmens marknadsandel för uppvärmning av flerbostadshus, medan den högra visar motsvarande för småhus.</w:t>
      </w:r>
    </w:p>
    <w:p w:rsidR="008B3E63" w:rsidRDefault="008B3E63" w:rsidP="008B3E63">
      <w:pPr>
        <w:pStyle w:val="Beskrivning"/>
        <w:keepNext/>
      </w:pPr>
      <w:bookmarkStart w:id="46" w:name="_Ref363044281"/>
      <w:r>
        <w:lastRenderedPageBreak/>
        <w:t xml:space="preserve">Figur </w:t>
      </w:r>
      <w:r w:rsidR="008E24DA">
        <w:fldChar w:fldCharType="begin"/>
      </w:r>
      <w:r w:rsidR="008E24DA">
        <w:instrText xml:space="preserve"> SEQ Figur \* ARABIC </w:instrText>
      </w:r>
      <w:r w:rsidR="008E24DA">
        <w:fldChar w:fldCharType="separate"/>
      </w:r>
      <w:r w:rsidR="000A5878">
        <w:rPr>
          <w:noProof/>
        </w:rPr>
        <w:t>10</w:t>
      </w:r>
      <w:r w:rsidR="008E24DA">
        <w:rPr>
          <w:noProof/>
        </w:rPr>
        <w:fldChar w:fldCharType="end"/>
      </w:r>
      <w:bookmarkEnd w:id="46"/>
      <w:r>
        <w:t xml:space="preserve"> </w:t>
      </w:r>
      <w:r w:rsidRPr="00C87BEC">
        <w:t>Fjärrvärmens marknadsandel för flerbostadshus (vänster) och småhus (höger). (Färgkoden ”0” innebär att data saknas.)</w:t>
      </w:r>
    </w:p>
    <w:tbl>
      <w:tblPr>
        <w:tblStyle w:val="Tabellrutnt"/>
        <w:tblW w:w="0" w:type="auto"/>
        <w:tblInd w:w="108" w:type="dxa"/>
        <w:tblLook w:val="04A0" w:firstRow="1" w:lastRow="0" w:firstColumn="1" w:lastColumn="0" w:noHBand="0" w:noVBand="1"/>
      </w:tblPr>
      <w:tblGrid>
        <w:gridCol w:w="4022"/>
        <w:gridCol w:w="4022"/>
      </w:tblGrid>
      <w:tr w:rsidR="008B3E63" w:rsidTr="00947476">
        <w:trPr>
          <w:trHeight w:val="6444"/>
        </w:trPr>
        <w:tc>
          <w:tcPr>
            <w:tcW w:w="3968" w:type="dxa"/>
          </w:tcPr>
          <w:p w:rsidR="008B3E63" w:rsidRDefault="008B3E63" w:rsidP="00947476">
            <w:pPr>
              <w:jc w:val="both"/>
            </w:pPr>
            <w:r>
              <w:rPr>
                <w:noProof/>
              </w:rPr>
              <w:drawing>
                <wp:inline distT="0" distB="0" distL="0" distR="0" wp14:anchorId="63432D16" wp14:editId="23259623">
                  <wp:extent cx="2949790" cy="4168140"/>
                  <wp:effectExtent l="0" t="0" r="3175" b="3810"/>
                  <wp:docPr id="45"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skrift_FVAndelFlerbostadshu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53026" cy="4172712"/>
                          </a:xfrm>
                          <a:prstGeom prst="rect">
                            <a:avLst/>
                          </a:prstGeom>
                        </pic:spPr>
                      </pic:pic>
                    </a:graphicData>
                  </a:graphic>
                </wp:inline>
              </w:drawing>
            </w:r>
          </w:p>
        </w:tc>
        <w:tc>
          <w:tcPr>
            <w:tcW w:w="4076" w:type="dxa"/>
          </w:tcPr>
          <w:p w:rsidR="008B3E63" w:rsidRDefault="008B3E63" w:rsidP="00947476">
            <w:pPr>
              <w:jc w:val="both"/>
            </w:pPr>
            <w:r>
              <w:rPr>
                <w:noProof/>
              </w:rPr>
              <w:drawing>
                <wp:inline distT="0" distB="0" distL="0" distR="0" wp14:anchorId="73FD7AD4" wp14:editId="5E5E071B">
                  <wp:extent cx="2948940" cy="4166937"/>
                  <wp:effectExtent l="0" t="0" r="3810" b="5080"/>
                  <wp:docPr id="46"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skrift_FVAndelSmåhu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48593" cy="4166447"/>
                          </a:xfrm>
                          <a:prstGeom prst="rect">
                            <a:avLst/>
                          </a:prstGeom>
                        </pic:spPr>
                      </pic:pic>
                    </a:graphicData>
                  </a:graphic>
                </wp:inline>
              </w:drawing>
            </w:r>
          </w:p>
        </w:tc>
      </w:tr>
    </w:tbl>
    <w:p w:rsidR="008B3E63" w:rsidRPr="00C82C00" w:rsidRDefault="008B3E63" w:rsidP="008B3E63">
      <w:pPr>
        <w:rPr>
          <w:sz w:val="20"/>
          <w:szCs w:val="20"/>
        </w:rPr>
      </w:pPr>
      <w:r w:rsidRPr="00C82C00">
        <w:rPr>
          <w:sz w:val="20"/>
          <w:szCs w:val="20"/>
        </w:rPr>
        <w:t>Källa: Heltäckande bedömning av potentialen för att använda hög</w:t>
      </w:r>
      <w:r>
        <w:rPr>
          <w:sz w:val="20"/>
          <w:szCs w:val="20"/>
        </w:rPr>
        <w:t xml:space="preserve">effektiv kraftvärme, fjärrvärme </w:t>
      </w:r>
      <w:r w:rsidRPr="00C82C00">
        <w:rPr>
          <w:sz w:val="20"/>
          <w:szCs w:val="20"/>
        </w:rPr>
        <w:t>och fjärrkyla- ER2013:2</w:t>
      </w:r>
    </w:p>
    <w:p w:rsidR="008B3E63" w:rsidRDefault="008B3E63" w:rsidP="008B3E63">
      <w:pPr>
        <w:jc w:val="both"/>
      </w:pPr>
    </w:p>
    <w:p w:rsidR="008B3E63" w:rsidRDefault="008B3E63" w:rsidP="008B3E63">
      <w:pPr>
        <w:rPr>
          <w:rFonts w:ascii="Arial" w:hAnsi="Arial" w:cs="Arial"/>
          <w:b/>
          <w:bCs/>
          <w:iCs/>
          <w:sz w:val="28"/>
          <w:szCs w:val="28"/>
        </w:rPr>
      </w:pPr>
      <w:r>
        <w:br w:type="page"/>
      </w:r>
    </w:p>
    <w:p w:rsidR="008B3E63" w:rsidRDefault="008B3E63" w:rsidP="008B3E63">
      <w:pPr>
        <w:pStyle w:val="Rubrik3"/>
      </w:pPr>
      <w:bookmarkStart w:id="47" w:name="_Toc436664252"/>
      <w:r>
        <w:lastRenderedPageBreak/>
        <w:t>Kommuner med vikande värmeunderlag</w:t>
      </w:r>
      <w:bookmarkEnd w:id="47"/>
    </w:p>
    <w:p w:rsidR="008B3E63" w:rsidRDefault="008B3E63" w:rsidP="008B3E63">
      <w:pPr>
        <w:pStyle w:val="Brdtext"/>
      </w:pPr>
      <w:r>
        <w:t xml:space="preserve">Avgörande för hur de framtida beräknade minskningarna i leveranser på 4 TWh påverkar fjärrvärmeföretagen är hur dessa fördelas och i vilka kommuner de sker. Även om det inte är ett problem som helhet så kan vissa kommuner och företag drabbas hårdare än andra. I synnerhet kommuner som avfolkas och där värmeunderlaget minskar som en konsekvens. </w:t>
      </w:r>
      <w:r>
        <w:fldChar w:fldCharType="begin"/>
      </w:r>
      <w:r>
        <w:instrText xml:space="preserve"> REF _Ref435182069 \h </w:instrText>
      </w:r>
      <w:r>
        <w:fldChar w:fldCharType="separate"/>
      </w:r>
      <w:r w:rsidR="000A5878">
        <w:t xml:space="preserve">Figur </w:t>
      </w:r>
      <w:r w:rsidR="000A5878">
        <w:rPr>
          <w:noProof/>
        </w:rPr>
        <w:t>11</w:t>
      </w:r>
      <w:r>
        <w:fldChar w:fldCharType="end"/>
      </w:r>
      <w:r>
        <w:t xml:space="preserve"> visar att många mindre kommuner, till övervägande del i norra delarna av landet, drabbas relativt hårt av avfolkning vilket alltså skulle kunna påverka värmeunderlaget relativt mycket där ifall utvecklingen fortsätter. 40 kommuner har en avbefolkningstakt på 1 procent eller mer på 4 år och 23 kommuner har en avbefolkningstakt på 2 procent eller mer. </w:t>
      </w:r>
      <w:r>
        <w:fldChar w:fldCharType="begin"/>
      </w:r>
      <w:r>
        <w:instrText xml:space="preserve"> REF _Ref363044281 \h </w:instrText>
      </w:r>
      <w:r>
        <w:fldChar w:fldCharType="separate"/>
      </w:r>
      <w:r w:rsidR="000A5878">
        <w:t xml:space="preserve">Figur </w:t>
      </w:r>
      <w:r w:rsidR="000A5878">
        <w:rPr>
          <w:noProof/>
        </w:rPr>
        <w:t>10</w:t>
      </w:r>
      <w:r>
        <w:fldChar w:fldCharType="end"/>
      </w:r>
      <w:r>
        <w:t xml:space="preserve"> visar också att de flesta av dessa kommuner har 90-95 % fjärrvärme för uppvärmning. </w:t>
      </w:r>
    </w:p>
    <w:p w:rsidR="008B3E63" w:rsidRDefault="008B3E63" w:rsidP="008B3E63">
      <w:pPr>
        <w:pStyle w:val="Beskrivning"/>
        <w:keepNext/>
      </w:pPr>
      <w:bookmarkStart w:id="48" w:name="_Ref435182069"/>
      <w:r>
        <w:t xml:space="preserve">Figur </w:t>
      </w:r>
      <w:r w:rsidR="008E24DA">
        <w:fldChar w:fldCharType="begin"/>
      </w:r>
      <w:r w:rsidR="008E24DA">
        <w:instrText xml:space="preserve"> SEQ Figur \* ARABIC </w:instrText>
      </w:r>
      <w:r w:rsidR="008E24DA">
        <w:fldChar w:fldCharType="separate"/>
      </w:r>
      <w:r w:rsidR="000A5878">
        <w:rPr>
          <w:noProof/>
        </w:rPr>
        <w:t>11</w:t>
      </w:r>
      <w:r w:rsidR="008E24DA">
        <w:rPr>
          <w:noProof/>
        </w:rPr>
        <w:fldChar w:fldCharType="end"/>
      </w:r>
      <w:bookmarkEnd w:id="48"/>
      <w:r>
        <w:t xml:space="preserve"> Kommuner med över 1 % befolkningsminskning 2010-2014.  Befolkningsmängd (primär y axel) och procentuell minskning i befolkningsmängd (sekundär y-axel)</w:t>
      </w:r>
    </w:p>
    <w:p w:rsidR="008B3E63" w:rsidRDefault="008B3E63" w:rsidP="008B3E63">
      <w:pPr>
        <w:pStyle w:val="Brdtext"/>
      </w:pPr>
      <w:r>
        <w:rPr>
          <w:noProof/>
        </w:rPr>
        <w:drawing>
          <wp:inline distT="0" distB="0" distL="0" distR="0" wp14:anchorId="58438CD2" wp14:editId="327E315A">
            <wp:extent cx="5829300" cy="3343275"/>
            <wp:effectExtent l="0" t="0" r="0" b="0"/>
            <wp:docPr id="42" name="Diagram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B3E63" w:rsidRDefault="008B3E63" w:rsidP="008B3E63">
      <w:pPr>
        <w:pStyle w:val="Brdtext"/>
        <w:rPr>
          <w:sz w:val="20"/>
          <w:szCs w:val="20"/>
        </w:rPr>
      </w:pPr>
      <w:r w:rsidRPr="000B4A3D">
        <w:rPr>
          <w:sz w:val="20"/>
          <w:szCs w:val="20"/>
        </w:rPr>
        <w:t>Källa: SCB</w:t>
      </w:r>
    </w:p>
    <w:p w:rsidR="008B3E63" w:rsidRDefault="008B3E63" w:rsidP="008B3E63">
      <w:pPr>
        <w:pStyle w:val="Brdtext"/>
      </w:pPr>
      <w:r>
        <w:t xml:space="preserve">Det är svårt att uppskatta exakt hur mycket avbefolkningen kommer att påverka värmeunderlaget men ifall de bolag som är beroende av dessa värmeunderlag också har en låg solditet och relativt höga priser så skulle det kunna innebära svårigheter att långsiktigt få kalkylerna att gå ihop. Låga priser skulle däremot innebära större möjligheter att höja priserna för att kompensera för intäktsbortfallet för de minskade leveranserna. Dessa bolag kommer också få ett ökat tryck att effektivisera sin verksamhet och ha ett behov att stärka sitt kundförtroende för att kunna bibehålla sin konkurrenskraft. I sammanhanget bör det också noteras att den urbanisering som pågår medför ett ökat värmeunderlag i större städer eller kranskommuner runt större städer vilket kan ses tydligt i </w:t>
      </w:r>
      <w:r>
        <w:lastRenderedPageBreak/>
        <w:t xml:space="preserve">exempelvis Stockholmsregionen. Likaså bidrar befolkningsökningen som helhet till ett ökat värmeunderlag.  </w:t>
      </w:r>
    </w:p>
    <w:p w:rsidR="008B3E63" w:rsidRPr="009A0267" w:rsidRDefault="008B3E63" w:rsidP="008B3E63">
      <w:pPr>
        <w:pStyle w:val="Rubrik2"/>
      </w:pPr>
      <w:bookmarkStart w:id="49" w:name="_Toc436664253"/>
      <w:bookmarkStart w:id="50" w:name="_Toc438471434"/>
      <w:r>
        <w:t>Fjärrvärmens möjligheter</w:t>
      </w:r>
      <w:bookmarkEnd w:id="49"/>
      <w:bookmarkEnd w:id="50"/>
    </w:p>
    <w:p w:rsidR="008B3E63" w:rsidRDefault="008B3E63" w:rsidP="008B3E63">
      <w:pPr>
        <w:pStyle w:val="Rubrik3"/>
      </w:pPr>
      <w:bookmarkStart w:id="51" w:name="_Toc436664254"/>
      <w:r>
        <w:t>Fjärrvärmens konkurrenssituation på värmemarknaden</w:t>
      </w:r>
      <w:bookmarkEnd w:id="51"/>
    </w:p>
    <w:p w:rsidR="008B3E63" w:rsidRDefault="008B3E63" w:rsidP="008B3E63">
      <w:pPr>
        <w:pStyle w:val="Brdtext"/>
      </w:pPr>
      <w:r>
        <w:t>I Energimyndighetens rapport Energiindikatorer 2013 analyseras konkurrensen på värmemarknaden. Resultaten från den analysen är att fjärrvärme generellt är mycket konkurrenskraftig jämfört med andra uppvärmningsalternativ (</w:t>
      </w:r>
      <w:r>
        <w:fldChar w:fldCharType="begin"/>
      </w:r>
      <w:r>
        <w:instrText xml:space="preserve"> REF _Ref436661425 \h </w:instrText>
      </w:r>
      <w:r>
        <w:fldChar w:fldCharType="separate"/>
      </w:r>
      <w:r w:rsidR="000A5878">
        <w:t xml:space="preserve">Figur </w:t>
      </w:r>
      <w:r w:rsidR="000A5878">
        <w:rPr>
          <w:noProof/>
        </w:rPr>
        <w:t>12</w:t>
      </w:r>
      <w:r>
        <w:fldChar w:fldCharType="end"/>
      </w:r>
      <w:r>
        <w:t xml:space="preserve">). För de fjärrvärmeföretag som har relativt höga priser så innebär emellertid uppvärmning med pellets och värmepumpar en konkurrenssituation. Detta kan bli ett problem för fjärrvärmeföretag som har dålig soliditet och lönsamhet. Den ökade konkurrensen innebär också ett ökat effektiviseringstryck på fjärrvärmeföretagen att utveckla sina produkter och tjänster för att möta kundbehoven. </w:t>
      </w:r>
    </w:p>
    <w:p w:rsidR="008B3E63" w:rsidRDefault="008B3E63" w:rsidP="008B3E63">
      <w:pPr>
        <w:pStyle w:val="Beskrivning"/>
        <w:keepNext/>
      </w:pPr>
      <w:bookmarkStart w:id="52" w:name="_Ref436661425"/>
      <w:r>
        <w:t xml:space="preserve">Figur </w:t>
      </w:r>
      <w:r w:rsidR="008E24DA">
        <w:fldChar w:fldCharType="begin"/>
      </w:r>
      <w:r w:rsidR="008E24DA">
        <w:instrText xml:space="preserve"> SEQ Figur \* ARABIC </w:instrText>
      </w:r>
      <w:r w:rsidR="008E24DA">
        <w:fldChar w:fldCharType="separate"/>
      </w:r>
      <w:r w:rsidR="000A5878">
        <w:rPr>
          <w:noProof/>
        </w:rPr>
        <w:t>12</w:t>
      </w:r>
      <w:r w:rsidR="008E24DA">
        <w:rPr>
          <w:noProof/>
        </w:rPr>
        <w:fldChar w:fldCharType="end"/>
      </w:r>
      <w:bookmarkEnd w:id="52"/>
      <w:r>
        <w:t xml:space="preserve"> </w:t>
      </w:r>
      <w:r w:rsidRPr="00F532E9">
        <w:t>Beräknad årlig kostnad i SEK utifrån angivna förutsättningar för olika uppvärmningssätt i Sveriges olika kommuner för ett flerbostadshus med e</w:t>
      </w:r>
      <w:r>
        <w:t>tt uppvärmningsbehov på 193 MWh, 2012</w:t>
      </w:r>
      <w:r w:rsidRPr="00F532E9">
        <w:t>.</w:t>
      </w:r>
    </w:p>
    <w:p w:rsidR="008B3E63" w:rsidRDefault="008B3E63" w:rsidP="008B3E63">
      <w:pPr>
        <w:pStyle w:val="Brdtext"/>
        <w:rPr>
          <w:sz w:val="20"/>
          <w:szCs w:val="20"/>
        </w:rPr>
      </w:pPr>
      <w:r>
        <w:rPr>
          <w:noProof/>
        </w:rPr>
        <w:drawing>
          <wp:inline distT="0" distB="0" distL="0" distR="0" wp14:anchorId="2E38141A" wp14:editId="3867EB15">
            <wp:extent cx="5638800" cy="2609850"/>
            <wp:effectExtent l="0" t="0" r="0" b="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srcRect l="27086" t="29071" r="27041" b="33184"/>
                    <a:stretch/>
                  </pic:blipFill>
                  <pic:spPr bwMode="auto">
                    <a:xfrm>
                      <a:off x="0" y="0"/>
                      <a:ext cx="5642197" cy="2611422"/>
                    </a:xfrm>
                    <a:prstGeom prst="rect">
                      <a:avLst/>
                    </a:prstGeom>
                    <a:ln>
                      <a:noFill/>
                    </a:ln>
                    <a:extLst>
                      <a:ext uri="{53640926-AAD7-44D8-BBD7-CCE9431645EC}">
                        <a14:shadowObscured xmlns:a14="http://schemas.microsoft.com/office/drawing/2010/main"/>
                      </a:ext>
                    </a:extLst>
                  </pic:spPr>
                </pic:pic>
              </a:graphicData>
            </a:graphic>
          </wp:inline>
        </w:drawing>
      </w:r>
      <w:r w:rsidRPr="00C066F7">
        <w:rPr>
          <w:sz w:val="20"/>
          <w:szCs w:val="20"/>
        </w:rPr>
        <w:t xml:space="preserve">Källa: </w:t>
      </w:r>
      <w:r>
        <w:rPr>
          <w:sz w:val="20"/>
          <w:szCs w:val="20"/>
        </w:rPr>
        <w:t>Energiindikatorer 2013</w:t>
      </w:r>
    </w:p>
    <w:p w:rsidR="008B3E63" w:rsidRPr="00C066F7" w:rsidRDefault="008B3E63" w:rsidP="008B3E63">
      <w:pPr>
        <w:pStyle w:val="Brdtext"/>
        <w:spacing w:after="0"/>
        <w:rPr>
          <w:sz w:val="20"/>
          <w:szCs w:val="20"/>
        </w:rPr>
      </w:pPr>
      <w:r w:rsidRPr="00C066F7">
        <w:rPr>
          <w:sz w:val="20"/>
          <w:szCs w:val="20"/>
        </w:rPr>
        <w:t>Not: Diagrammet längst till vänster visar resultaten för en kalkylränta på 3,7 procent och en ekonomisk livslängd på 15 år. I mittendiagrammet är kalkylräntan densamma men den ekonomiska livslängden har ändrats till 20 år. Kalkylräntan är 4,7 procent och den ekonomiska livslängden 15 år i diagrammet längst till höger. Y-axeln visar kostnaden i kronor och x-axeln motsvarar Sveriges kommuner.</w:t>
      </w:r>
    </w:p>
    <w:p w:rsidR="008B3E63" w:rsidRDefault="008B3E63" w:rsidP="008B3E63">
      <w:pPr>
        <w:rPr>
          <w:rFonts w:ascii="Arial" w:hAnsi="Arial" w:cs="Arial"/>
          <w:b/>
          <w:bCs/>
          <w:iCs/>
          <w:sz w:val="28"/>
          <w:szCs w:val="28"/>
        </w:rPr>
      </w:pPr>
      <w:r>
        <w:br w:type="page"/>
      </w:r>
    </w:p>
    <w:p w:rsidR="008B3E63" w:rsidRDefault="008B3E63" w:rsidP="008B3E63">
      <w:pPr>
        <w:pStyle w:val="Rubrik3"/>
      </w:pPr>
      <w:bookmarkStart w:id="53" w:name="_Ref436663910"/>
      <w:bookmarkStart w:id="54" w:name="_Toc436664255"/>
      <w:r>
        <w:lastRenderedPageBreak/>
        <w:t xml:space="preserve">Förändrade </w:t>
      </w:r>
      <w:bookmarkEnd w:id="53"/>
      <w:bookmarkEnd w:id="54"/>
      <w:r>
        <w:t>prismodeller</w:t>
      </w:r>
    </w:p>
    <w:p w:rsidR="008B3E63" w:rsidRDefault="008B3E63" w:rsidP="008B3E63">
      <w:pPr>
        <w:pStyle w:val="Brdtext"/>
      </w:pPr>
    </w:p>
    <w:p w:rsidR="008B3E63" w:rsidRPr="00152C7C" w:rsidRDefault="008B3E63" w:rsidP="008B3E63">
      <w:pPr>
        <w:pStyle w:val="Brdtext"/>
      </w:pPr>
      <w:r>
        <w:t>Allt fler fjärrvärmeföretag ser över sin prismodell för att möta konkurrensen mot energieffektivisering och värmepumpar</w:t>
      </w:r>
      <w:r>
        <w:rPr>
          <w:rStyle w:val="Fotnotsreferens"/>
        </w:rPr>
        <w:footnoteReference w:id="28"/>
      </w:r>
      <w:r>
        <w:t xml:space="preserve">. Tidigare var prismodellerna typiskt baserade på ett fast pris, ett effektpris och ett energipris utan säsongsdifferentiering. Den andel av kundens årskostnad som var baserad på energianvändningen var i genomsnitt uppemot 90 procent. En hög energiberoende prismodell innebär att energieffektiviserande åtgärder, installation av solvärme och kompletterande installation av värmepumpar blir lönsamma åtgärder för kunder med fjärrvärme men kostsamma för fjärrvärmeföretaget. För att möta denna konkurrens och samtidigt få en mer kostnadsriktig prismodell har många företag börjat säsongsdifferentiera priserna över året i två till tre säsonger och i större utsträckning gå ifrån en energiberoende prismodell till en effektbaserad prismodell.   </w:t>
      </w:r>
    </w:p>
    <w:p w:rsidR="008B3E63" w:rsidRDefault="008B3E63" w:rsidP="0055102A">
      <w:pPr>
        <w:pStyle w:val="Rubrik3"/>
      </w:pPr>
      <w:bookmarkStart w:id="55" w:name="_Toc436664256"/>
      <w:r>
        <w:t>Prisdialogen</w:t>
      </w:r>
      <w:bookmarkEnd w:id="55"/>
    </w:p>
    <w:p w:rsidR="008B3E63" w:rsidRDefault="008B3E63" w:rsidP="008B3E63">
      <w:pPr>
        <w:pStyle w:val="Brdtext"/>
        <w:spacing w:after="0"/>
      </w:pPr>
      <w:r>
        <w:t>Prisdialogen är ett branschgemensamt initiativ som startades 2013 för att pröva prisändringar för fjärrvärme. Syftet med Prisdialogen är att stärka kundens ställning, skapa en rimlig, förutsägbar och stabil prisändring på fjärrvärme samt bidra till ett ökat förtroende för fjärrvärmeleverantörernas prissättning.</w:t>
      </w:r>
    </w:p>
    <w:p w:rsidR="008B3E63" w:rsidRDefault="008B3E63" w:rsidP="008B3E63">
      <w:pPr>
        <w:pStyle w:val="Brdtext"/>
        <w:spacing w:after="0"/>
      </w:pPr>
    </w:p>
    <w:p w:rsidR="008B3E63" w:rsidRDefault="008B3E63" w:rsidP="008B3E63">
      <w:pPr>
        <w:pStyle w:val="Brdtext"/>
        <w:spacing w:after="0"/>
      </w:pPr>
      <w:r>
        <w:t>Prisdialogens medlemmar 2015 representerar cirka 38 procent av alla kunder</w:t>
      </w:r>
    </w:p>
    <w:p w:rsidR="008B3E63" w:rsidRDefault="008B3E63" w:rsidP="008B3E63">
      <w:pPr>
        <w:pStyle w:val="Brdtext"/>
        <w:spacing w:after="0"/>
      </w:pPr>
      <w:r>
        <w:t>och 46 procent av den sålda värmen på marknaden. En prognos för 2016 visar att</w:t>
      </w:r>
    </w:p>
    <w:p w:rsidR="008B3E63" w:rsidRDefault="008B3E63" w:rsidP="008B3E63">
      <w:pPr>
        <w:pStyle w:val="Brdtext"/>
        <w:spacing w:after="0"/>
      </w:pPr>
      <w:r>
        <w:t>57 procent av all leverans av fjärrvärme i Sverige kommer att komma från</w:t>
      </w:r>
    </w:p>
    <w:p w:rsidR="008B3E63" w:rsidRDefault="008B3E63" w:rsidP="008B3E63">
      <w:pPr>
        <w:pStyle w:val="Brdtext"/>
        <w:spacing w:after="0"/>
      </w:pPr>
      <w:r>
        <w:t>leverantörer som omfattas av prisdialogen (</w:t>
      </w:r>
      <w:r>
        <w:fldChar w:fldCharType="begin"/>
      </w:r>
      <w:r>
        <w:instrText xml:space="preserve"> REF _Ref435184549 \h </w:instrText>
      </w:r>
      <w:r>
        <w:fldChar w:fldCharType="separate"/>
      </w:r>
      <w:r w:rsidR="000A5878">
        <w:t xml:space="preserve">Figur </w:t>
      </w:r>
      <w:r w:rsidR="000A5878">
        <w:rPr>
          <w:noProof/>
        </w:rPr>
        <w:t>13</w:t>
      </w:r>
      <w:r>
        <w:fldChar w:fldCharType="end"/>
      </w:r>
      <w:r>
        <w:t>). Även om den utvärdering som genomförts av Energimarknadsinspektionen inte kan säga att prisutvecklingen på fjärrvärme minskar så visar den på en mer samlad prisbild. Prisdialogen har också lett till en större förståelse från kundernas sida gentemot fjärrvärmeföretagens prissättning.</w:t>
      </w:r>
    </w:p>
    <w:p w:rsidR="008B3E63" w:rsidRDefault="008B3E63" w:rsidP="008B3E63">
      <w:pPr>
        <w:pStyle w:val="Brdtext"/>
        <w:spacing w:after="0"/>
      </w:pPr>
    </w:p>
    <w:p w:rsidR="008B3E63" w:rsidRPr="003D1527" w:rsidRDefault="008B3E63" w:rsidP="008B3E63">
      <w:pPr>
        <w:pStyle w:val="Brdtext"/>
        <w:spacing w:after="0"/>
        <w:rPr>
          <w:i/>
        </w:rPr>
      </w:pPr>
      <w:r>
        <w:rPr>
          <w:i/>
        </w:rPr>
        <w:t>”</w:t>
      </w:r>
      <w:r w:rsidRPr="003D1527">
        <w:rPr>
          <w:i/>
        </w:rPr>
        <w:t>Utvärderingen av Prisdialogen visar att nya priser meddelas kunderna betydligt</w:t>
      </w:r>
    </w:p>
    <w:p w:rsidR="008B3E63" w:rsidRPr="003D1527" w:rsidRDefault="008B3E63" w:rsidP="008B3E63">
      <w:pPr>
        <w:pStyle w:val="Brdtext"/>
        <w:spacing w:after="0"/>
        <w:rPr>
          <w:i/>
        </w:rPr>
      </w:pPr>
      <w:r w:rsidRPr="003D1527">
        <w:rPr>
          <w:i/>
        </w:rPr>
        <w:t>mycket tidigare, dessutom är grunderna för de nya priserna klara redan i</w:t>
      </w:r>
    </w:p>
    <w:p w:rsidR="008B3E63" w:rsidRPr="003D1527" w:rsidRDefault="008B3E63" w:rsidP="008B3E63">
      <w:pPr>
        <w:pStyle w:val="Brdtext"/>
        <w:spacing w:after="0"/>
        <w:rPr>
          <w:i/>
        </w:rPr>
      </w:pPr>
      <w:r w:rsidRPr="003D1527">
        <w:rPr>
          <w:i/>
        </w:rPr>
        <w:t>inledningsskedet av samrådsprocessen vilket gör att kundernas eget arbete med</w:t>
      </w:r>
    </w:p>
    <w:p w:rsidR="008B3E63" w:rsidRPr="003D1527" w:rsidRDefault="008B3E63" w:rsidP="008B3E63">
      <w:pPr>
        <w:pStyle w:val="Brdtext"/>
        <w:spacing w:after="0"/>
        <w:rPr>
          <w:i/>
        </w:rPr>
      </w:pPr>
      <w:r w:rsidRPr="003D1527">
        <w:rPr>
          <w:i/>
        </w:rPr>
        <w:t>budgetarbete och liknande förenklas. Kunderna värderar förutsägbarheten av</w:t>
      </w:r>
    </w:p>
    <w:p w:rsidR="008B3E63" w:rsidRPr="003D1527" w:rsidRDefault="008B3E63" w:rsidP="008B3E63">
      <w:pPr>
        <w:pStyle w:val="Brdtext"/>
        <w:spacing w:after="0"/>
        <w:rPr>
          <w:i/>
        </w:rPr>
      </w:pPr>
      <w:r w:rsidRPr="003D1527">
        <w:rPr>
          <w:i/>
        </w:rPr>
        <w:t>priserna mycket högt. Detta är särskilt viktigt för kunder som för</w:t>
      </w:r>
    </w:p>
    <w:p w:rsidR="008B3E63" w:rsidRPr="003D1527" w:rsidRDefault="008B3E63" w:rsidP="008B3E63">
      <w:pPr>
        <w:pStyle w:val="Brdtext"/>
        <w:spacing w:after="0"/>
        <w:rPr>
          <w:i/>
        </w:rPr>
      </w:pPr>
      <w:r w:rsidRPr="003D1527">
        <w:rPr>
          <w:i/>
        </w:rPr>
        <w:t>fjärrvärmekostnaden vidare till egna kunder, som exempelvis fastighetsägare med</w:t>
      </w:r>
    </w:p>
    <w:p w:rsidR="008B3E63" w:rsidRPr="003D1527" w:rsidRDefault="008B3E63" w:rsidP="008B3E63">
      <w:pPr>
        <w:pStyle w:val="Brdtext"/>
        <w:spacing w:after="0"/>
        <w:rPr>
          <w:i/>
        </w:rPr>
      </w:pPr>
      <w:r w:rsidRPr="003D1527">
        <w:rPr>
          <w:i/>
        </w:rPr>
        <w:t>hyresgäster. Det finns en tendens till ökat förtroende för fjärrvärmebranschen och</w:t>
      </w:r>
    </w:p>
    <w:p w:rsidR="008B3E63" w:rsidRPr="003D1527" w:rsidRDefault="008B3E63" w:rsidP="008B3E63">
      <w:pPr>
        <w:pStyle w:val="Brdtext"/>
        <w:spacing w:after="0"/>
        <w:rPr>
          <w:i/>
        </w:rPr>
      </w:pPr>
      <w:r w:rsidRPr="003D1527">
        <w:rPr>
          <w:i/>
        </w:rPr>
        <w:t>de kunder som deltar i Prisdialogen anser att deras ställning klart stärkts genom</w:t>
      </w:r>
    </w:p>
    <w:p w:rsidR="008B3E63" w:rsidRPr="003D1527" w:rsidRDefault="008B3E63" w:rsidP="008B3E63">
      <w:pPr>
        <w:pStyle w:val="Brdtext"/>
        <w:spacing w:after="0"/>
        <w:rPr>
          <w:i/>
        </w:rPr>
      </w:pPr>
      <w:r w:rsidRPr="003D1527">
        <w:rPr>
          <w:i/>
        </w:rPr>
        <w:t>den ökade dialogen och det ökade samarbetet.</w:t>
      </w:r>
      <w:r>
        <w:rPr>
          <w:i/>
        </w:rPr>
        <w:t>”</w:t>
      </w:r>
      <w:r>
        <w:rPr>
          <w:rStyle w:val="Fotnotsreferens"/>
          <w:i/>
        </w:rPr>
        <w:footnoteReference w:id="29"/>
      </w:r>
    </w:p>
    <w:p w:rsidR="008B3E63" w:rsidRDefault="008B3E63" w:rsidP="008B3E63">
      <w:pPr>
        <w:pStyle w:val="Brdtext"/>
        <w:spacing w:after="0"/>
      </w:pPr>
    </w:p>
    <w:p w:rsidR="008B3E63" w:rsidRDefault="008B3E63" w:rsidP="004C69D7">
      <w:pPr>
        <w:pStyle w:val="Brdtext"/>
        <w:spacing w:after="0"/>
      </w:pPr>
      <w:r>
        <w:lastRenderedPageBreak/>
        <w:t xml:space="preserve">Prisdialogen verkar därmed ha en positiv inverkan på fjärrvärmemarknaden </w:t>
      </w:r>
      <w:r w:rsidR="004C69D7">
        <w:t xml:space="preserve">och </w:t>
      </w:r>
      <w:r>
        <w:t>minskar de konflikter som kan uppstå och leda till kundavhopp och minskade leveranser som följd. Det är emellertid för tidigt för att kunna dra några slutsatser om prisbildningen.</w:t>
      </w:r>
    </w:p>
    <w:p w:rsidR="008B3E63" w:rsidRDefault="008B3E63" w:rsidP="008B3E63">
      <w:pPr>
        <w:pStyle w:val="Beskrivning"/>
        <w:keepNext/>
      </w:pPr>
      <w:bookmarkStart w:id="56" w:name="_Ref435184549"/>
      <w:r>
        <w:t xml:space="preserve">Figur </w:t>
      </w:r>
      <w:r w:rsidR="008E24DA">
        <w:fldChar w:fldCharType="begin"/>
      </w:r>
      <w:r w:rsidR="008E24DA">
        <w:instrText xml:space="preserve"> SEQ Figur \* ARABIC </w:instrText>
      </w:r>
      <w:r w:rsidR="008E24DA">
        <w:fldChar w:fldCharType="separate"/>
      </w:r>
      <w:r w:rsidR="000A5878">
        <w:rPr>
          <w:noProof/>
        </w:rPr>
        <w:t>13</w:t>
      </w:r>
      <w:r w:rsidR="008E24DA">
        <w:rPr>
          <w:noProof/>
        </w:rPr>
        <w:fldChar w:fldCharType="end"/>
      </w:r>
      <w:bookmarkEnd w:id="56"/>
      <w:r>
        <w:t xml:space="preserve"> Antal medlemmar i prisdialogen och procent av fjärrvärmemarknadens omsättning</w:t>
      </w:r>
    </w:p>
    <w:p w:rsidR="008B3E63" w:rsidRDefault="008B3E63" w:rsidP="008B3E63">
      <w:pPr>
        <w:pStyle w:val="Brdtext"/>
      </w:pPr>
      <w:r>
        <w:rPr>
          <w:noProof/>
        </w:rPr>
        <w:drawing>
          <wp:inline distT="0" distB="0" distL="0" distR="0" wp14:anchorId="05B262F8" wp14:editId="278B6B82">
            <wp:extent cx="4572000" cy="2743200"/>
            <wp:effectExtent l="0" t="0" r="0" b="0"/>
            <wp:docPr id="43" name="Diagram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B3E63" w:rsidRPr="007D0F62" w:rsidRDefault="008B3E63" w:rsidP="008B3E63">
      <w:pPr>
        <w:pStyle w:val="Brdtext"/>
        <w:rPr>
          <w:sz w:val="20"/>
          <w:szCs w:val="20"/>
        </w:rPr>
      </w:pPr>
      <w:r w:rsidRPr="007D0F62">
        <w:rPr>
          <w:sz w:val="20"/>
          <w:szCs w:val="20"/>
        </w:rPr>
        <w:t>Källa: Ei R2015:04</w:t>
      </w:r>
    </w:p>
    <w:p w:rsidR="008B3E63" w:rsidRPr="00F03DF3" w:rsidRDefault="008B3E63" w:rsidP="008B3E63">
      <w:pPr>
        <w:pStyle w:val="Rubrik3"/>
      </w:pPr>
      <w:bookmarkStart w:id="57" w:name="_Toc436664257"/>
      <w:r w:rsidRPr="00F03DF3">
        <w:t>Kommuner och företag i riskzonen</w:t>
      </w:r>
      <w:bookmarkEnd w:id="57"/>
    </w:p>
    <w:p w:rsidR="008B3E63" w:rsidRDefault="008B3E63" w:rsidP="008B3E63">
      <w:pPr>
        <w:pStyle w:val="Brdtext"/>
      </w:pPr>
      <w:r>
        <w:fldChar w:fldCharType="begin"/>
      </w:r>
      <w:r>
        <w:instrText xml:space="preserve"> REF _Ref436304012 \h </w:instrText>
      </w:r>
      <w:r>
        <w:fldChar w:fldCharType="separate"/>
      </w:r>
      <w:r w:rsidR="000A5878">
        <w:t xml:space="preserve">Figur </w:t>
      </w:r>
      <w:r w:rsidR="000A5878">
        <w:rPr>
          <w:noProof/>
        </w:rPr>
        <w:t>14</w:t>
      </w:r>
      <w:r>
        <w:fldChar w:fldCharType="end"/>
      </w:r>
      <w:r>
        <w:t xml:space="preserve"> visar att det finns ett mindre antal fjärrvärmebolag med en soliditet under 30 procent som har relativt höga priser i förhållande till främsta konkurrenten som är bergvärmen. De lodräta strecken indikerar bergvärmepriset i den 10e percentilen kommuner (</w:t>
      </w:r>
      <w:r w:rsidRPr="006763AD">
        <w:rPr>
          <w:i/>
        </w:rPr>
        <w:t>Bergvärme 10</w:t>
      </w:r>
      <w:r>
        <w:rPr>
          <w:i/>
        </w:rPr>
        <w:t>)</w:t>
      </w:r>
      <w:r>
        <w:t xml:space="preserve"> respektive 25 percentilen (</w:t>
      </w:r>
      <w:r w:rsidRPr="006763AD">
        <w:rPr>
          <w:i/>
        </w:rPr>
        <w:t>Bergvärme 25</w:t>
      </w:r>
      <w:r>
        <w:rPr>
          <w:i/>
        </w:rPr>
        <w:t>)</w:t>
      </w:r>
      <w:r>
        <w:t xml:space="preserve"> samt 50e percentilen</w:t>
      </w:r>
      <w:r w:rsidRPr="00BF05E4">
        <w:rPr>
          <w:i/>
        </w:rPr>
        <w:t xml:space="preserve"> </w:t>
      </w:r>
      <w:r>
        <w:rPr>
          <w:i/>
        </w:rPr>
        <w:t>(</w:t>
      </w:r>
      <w:r w:rsidRPr="006763AD">
        <w:rPr>
          <w:i/>
        </w:rPr>
        <w:t>Bergvärme 50</w:t>
      </w:r>
      <w:r>
        <w:rPr>
          <w:i/>
        </w:rPr>
        <w:t>)</w:t>
      </w:r>
      <w:r>
        <w:t xml:space="preserve">. </w:t>
      </w:r>
    </w:p>
    <w:p w:rsidR="008B3E63" w:rsidRPr="00816201" w:rsidRDefault="008B3E63" w:rsidP="008B3E63">
      <w:pPr>
        <w:pStyle w:val="Brdtext"/>
      </w:pPr>
      <w:r>
        <w:t xml:space="preserve">Exempel: Företaget ovanför </w:t>
      </w:r>
      <w:r w:rsidRPr="00816201">
        <w:rPr>
          <w:b/>
        </w:rPr>
        <w:t>A</w:t>
      </w:r>
      <w:r>
        <w:rPr>
          <w:b/>
        </w:rPr>
        <w:t xml:space="preserve"> </w:t>
      </w:r>
      <w:r>
        <w:t xml:space="preserve">i figuren har en soliditet på 18 procent och ett fjärrvärmepris på 952 kr/MWh. För att kunna höja sina priser krävs det att konkurrensen från bergvärmen inte överstiger det röda strecket som motsvarar 25 procent av landets billigaste kommuner. Som kan ses så ligger de 10 procent billigaste ”bergvärmekommunerna” redan under fjärrvärmepriset i kommunen/företaget </w:t>
      </w:r>
      <w:r w:rsidRPr="00450099">
        <w:rPr>
          <w:b/>
        </w:rPr>
        <w:t>A</w:t>
      </w:r>
      <w:r w:rsidRPr="00450099">
        <w:t>.</w:t>
      </w:r>
      <w:r>
        <w:t xml:space="preserve"> Om företag A därför befinner sig i en av dessa 10 procent billigaste bergvärmekommuner så skulle det alltså behöva sänka priserna för att bli konkurrenskraftigt eller riskera att tappa kunder.</w:t>
      </w:r>
      <w:r>
        <w:rPr>
          <w:rStyle w:val="Fotnotsreferens"/>
        </w:rPr>
        <w:footnoteReference w:id="30"/>
      </w:r>
      <w:r>
        <w:t xml:space="preserve">  </w:t>
      </w:r>
    </w:p>
    <w:p w:rsidR="008B3E63" w:rsidRDefault="008B3E63" w:rsidP="008B3E63">
      <w:pPr>
        <w:pStyle w:val="Brdtext"/>
      </w:pPr>
      <w:r>
        <w:t xml:space="preserve">För Bergvärme 10 kan sålunda ses att det finns 8-9 kommuner där bergvärmepriserna är så låga (pga. elnätspriserna) att de fjärrvärmebolag som </w:t>
      </w:r>
      <w:r>
        <w:lastRenderedPageBreak/>
        <w:t xml:space="preserve">ligger på gränsen får svårt att höja priserna för att kunna öka sina intäkter och förbättra sin soliditet.  </w:t>
      </w:r>
    </w:p>
    <w:p w:rsidR="008B3E63" w:rsidRDefault="008B3E63" w:rsidP="008B3E63">
      <w:pPr>
        <w:pStyle w:val="Beskrivning"/>
        <w:keepNext/>
      </w:pPr>
      <w:bookmarkStart w:id="58" w:name="_Ref436304012"/>
      <w:r>
        <w:t xml:space="preserve">Figur </w:t>
      </w:r>
      <w:r w:rsidR="008E24DA">
        <w:fldChar w:fldCharType="begin"/>
      </w:r>
      <w:r w:rsidR="008E24DA">
        <w:instrText xml:space="preserve"> SEQ Figur \* ARABIC </w:instrText>
      </w:r>
      <w:r w:rsidR="008E24DA">
        <w:fldChar w:fldCharType="separate"/>
      </w:r>
      <w:r w:rsidR="000A5878">
        <w:rPr>
          <w:noProof/>
        </w:rPr>
        <w:t>14</w:t>
      </w:r>
      <w:r w:rsidR="008E24DA">
        <w:rPr>
          <w:noProof/>
        </w:rPr>
        <w:fldChar w:fldCharType="end"/>
      </w:r>
      <w:bookmarkEnd w:id="58"/>
      <w:r>
        <w:t xml:space="preserve"> Soliditet (Y-axel) i förhållande till kr/MWh (x-axel)</w:t>
      </w:r>
    </w:p>
    <w:p w:rsidR="008B3E63" w:rsidRDefault="008B3E63" w:rsidP="008B3E63">
      <w:pPr>
        <w:pStyle w:val="Brdtext"/>
      </w:pPr>
      <w:r>
        <w:rPr>
          <w:noProof/>
        </w:rPr>
        <mc:AlternateContent>
          <mc:Choice Requires="wps">
            <w:drawing>
              <wp:anchor distT="0" distB="0" distL="114300" distR="114300" simplePos="0" relativeHeight="251659264" behindDoc="0" locked="0" layoutInCell="1" allowOverlap="1" wp14:anchorId="2AA82289" wp14:editId="0F41A01D">
                <wp:simplePos x="0" y="0"/>
                <wp:positionH relativeFrom="column">
                  <wp:posOffset>2692400</wp:posOffset>
                </wp:positionH>
                <wp:positionV relativeFrom="paragraph">
                  <wp:posOffset>2098040</wp:posOffset>
                </wp:positionV>
                <wp:extent cx="219075" cy="285115"/>
                <wp:effectExtent l="0" t="0" r="0" b="635"/>
                <wp:wrapNone/>
                <wp:docPr id="30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85115"/>
                        </a:xfrm>
                        <a:prstGeom prst="rect">
                          <a:avLst/>
                        </a:prstGeom>
                        <a:noFill/>
                        <a:ln w="9525">
                          <a:noFill/>
                          <a:miter lim="800000"/>
                          <a:headEnd/>
                          <a:tailEnd/>
                        </a:ln>
                      </wps:spPr>
                      <wps:txbx>
                        <w:txbxContent>
                          <w:p w:rsidR="008026F1" w:rsidRPr="00816201" w:rsidRDefault="008026F1" w:rsidP="008B3E63">
                            <w:pPr>
                              <w:rPr>
                                <w:b/>
                              </w:rPr>
                            </w:pPr>
                            <w:r w:rsidRPr="00816201">
                              <w:rPr>
                                <w:b/>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margin-left:212pt;margin-top:165.2pt;width:17.25pt;height:2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" filled="f" stroked="f">
                <v:textbox>
                  <w:txbxContent>
                    <w:p w:rsidR="008026F1" w:rsidRPr="00816201" w:rsidRDefault="008026F1" w:rsidP="008B3E63">
                      <w:pPr>
                        <w:rPr>
                          <w:b/>
                        </w:rPr>
                      </w:pPr>
                      <w:r w:rsidRPr="00816201">
                        <w:rPr>
                          <w:b/>
                        </w:rPr>
                        <w:t>A</w:t>
                      </w:r>
                    </w:p>
                  </w:txbxContent>
                </v:textbox>
              </v:shape>
            </w:pict>
          </mc:Fallback>
        </mc:AlternateContent>
      </w:r>
      <w:r>
        <w:rPr>
          <w:noProof/>
        </w:rPr>
        <w:drawing>
          <wp:inline distT="0" distB="0" distL="0" distR="0" wp14:anchorId="63A830CE" wp14:editId="4665387C">
            <wp:extent cx="5699179" cy="3590925"/>
            <wp:effectExtent l="0" t="0" r="0" b="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BEBA8EAE-BF5A-486C-A8C5-ECC9F3942E4B}">
                          <a14:imgProps xmlns:a14="http://schemas.microsoft.com/office/drawing/2010/main">
                            <a14:imgLayer r:embed="rId29">
                              <a14:imgEffect>
                                <a14:sharpenSoften amount="20000"/>
                              </a14:imgEffect>
                            </a14:imgLayer>
                          </a14:imgProps>
                        </a:ext>
                        <a:ext uri="{28A0092B-C50C-407E-A947-70E740481C1C}">
                          <a14:useLocalDpi xmlns:a14="http://schemas.microsoft.com/office/drawing/2010/main" val="0"/>
                        </a:ext>
                      </a:extLst>
                    </a:blip>
                    <a:srcRect/>
                    <a:stretch>
                      <a:fillRect/>
                    </a:stretch>
                  </pic:blipFill>
                  <pic:spPr bwMode="auto">
                    <a:xfrm>
                      <a:off x="0" y="0"/>
                      <a:ext cx="5702780" cy="3593194"/>
                    </a:xfrm>
                    <a:prstGeom prst="rect">
                      <a:avLst/>
                    </a:prstGeom>
                    <a:noFill/>
                  </pic:spPr>
                </pic:pic>
              </a:graphicData>
            </a:graphic>
          </wp:inline>
        </w:drawing>
      </w:r>
    </w:p>
    <w:p w:rsidR="008B3E63" w:rsidRDefault="008B3E63" w:rsidP="008B3E63">
      <w:pPr>
        <w:pStyle w:val="Brdtext"/>
      </w:pPr>
      <w:r w:rsidRPr="004A4F16">
        <w:rPr>
          <w:sz w:val="20"/>
          <w:szCs w:val="20"/>
        </w:rPr>
        <w:t xml:space="preserve">Källa: Bearbetning av data från </w:t>
      </w:r>
      <w:r>
        <w:rPr>
          <w:sz w:val="20"/>
          <w:szCs w:val="20"/>
        </w:rPr>
        <w:t>E</w:t>
      </w:r>
      <w:r w:rsidRPr="004A4F16">
        <w:rPr>
          <w:sz w:val="20"/>
          <w:szCs w:val="20"/>
        </w:rPr>
        <w:t>nergimarknadsinspektionen</w:t>
      </w:r>
      <w:r>
        <w:t>.</w:t>
      </w:r>
    </w:p>
    <w:p w:rsidR="008B3E63" w:rsidRDefault="008B3E63" w:rsidP="008B3E63"/>
    <w:p w:rsidR="000A5878" w:rsidRPr="0022208E" w:rsidRDefault="008B3E63" w:rsidP="00474FB2">
      <w:pPr>
        <w:pStyle w:val="Brdtext"/>
      </w:pPr>
      <w:r>
        <w:fldChar w:fldCharType="begin"/>
      </w:r>
      <w:r>
        <w:instrText xml:space="preserve"> REF _Ref436397897 \h </w:instrText>
      </w:r>
      <w:r w:rsidR="004C69D7">
        <w:instrText xml:space="preserve"> \* MERGEFORMAT </w:instrText>
      </w:r>
      <w:r>
        <w:fldChar w:fldCharType="separate"/>
      </w:r>
      <w:r w:rsidR="000A5878" w:rsidRPr="0022208E">
        <w:rPr>
          <w:bCs/>
        </w:rPr>
        <w:t xml:space="preserve">En </w:t>
      </w:r>
      <w:r w:rsidR="000A5878">
        <w:t>närmare granskning av dessa bolag visar att Företag 7 torde ha svårt att klara sig i konkurrensen med bergvärme, då det bland annat har en negativ soliditet och samtidigt en stor avfolkning. Företaget köptes nyligen upp av ett annat energiföretag</w:t>
      </w:r>
      <w:r w:rsidR="000A5878">
        <w:rPr>
          <w:rFonts w:cs="Helvetica"/>
          <w:color w:val="000000"/>
        </w:rPr>
        <w:t>. Det bolaget har relativt höga priser men en god soliditet på 45 procent.</w:t>
      </w:r>
      <w:r w:rsidR="00474FB2">
        <w:t xml:space="preserve"> </w:t>
      </w:r>
    </w:p>
    <w:p w:rsidR="000A5878" w:rsidRPr="00C57DB6" w:rsidRDefault="000A5878" w:rsidP="00474FB2">
      <w:pPr>
        <w:pStyle w:val="Brdtext"/>
      </w:pPr>
      <w:r w:rsidRPr="000A6104">
        <w:t>Övriga</w:t>
      </w:r>
      <w:r w:rsidRPr="008026F1">
        <w:rPr>
          <w:noProof/>
        </w:rPr>
        <w:t xml:space="preserve"> </w:t>
      </w:r>
      <w:r w:rsidRPr="008026F1">
        <w:t>sex bolag hade sammanlagda</w:t>
      </w:r>
      <w:r>
        <w:rPr>
          <w:bCs/>
        </w:rPr>
        <w:t xml:space="preserve"> leveranser om 88 GWh 2014. Företag 4 har minskat sina leveranser under åren men övriga har relativt stabila siffror </w:t>
      </w:r>
      <w:r>
        <w:rPr>
          <w:bCs/>
          <w:sz w:val="22"/>
        </w:rPr>
        <w:t>(</w:t>
      </w:r>
      <w:r w:rsidR="00474FB2" w:rsidRPr="00474FB2">
        <w:t>Tabell 2</w:t>
      </w:r>
      <w:r w:rsidRPr="00474FB2">
        <w:rPr>
          <w:bCs/>
        </w:rPr>
        <w:t xml:space="preserve">). </w:t>
      </w:r>
    </w:p>
    <w:p w:rsidR="008B3E63" w:rsidRDefault="008B3E63" w:rsidP="00474FB2">
      <w:pPr>
        <w:pStyle w:val="Brdtext"/>
      </w:pPr>
      <w:r>
        <w:fldChar w:fldCharType="end"/>
      </w:r>
      <w:r w:rsidR="00F55263">
        <w:t>Tabell 2</w:t>
      </w:r>
      <w:r>
        <w:t xml:space="preserve"> visar de bolag med en soliditet under 30 % som har priser över de 10 % lägsta priserna för bergvärme (</w:t>
      </w:r>
      <w:r w:rsidRPr="00015569">
        <w:rPr>
          <w:i/>
        </w:rPr>
        <w:t>Bergvärme 10</w:t>
      </w:r>
      <w:r>
        <w:rPr>
          <w:i/>
        </w:rPr>
        <w:t>)</w:t>
      </w:r>
      <w:r>
        <w:t xml:space="preserve">. Tabellen visar att 7 av dessa bolag kan få svårt att höja sina priser med tanke på att det är lönsammare med bergvärme i just deras kommun (rödmarkerade siffor). Av dessa 7 har 3 en god kassalikviditet vilket betyder att de har en god betalningsförmåga på kort sikt. </w:t>
      </w:r>
    </w:p>
    <w:p w:rsidR="008B3E63" w:rsidRDefault="008B3E63" w:rsidP="008B3E63">
      <w:pPr>
        <w:jc w:val="both"/>
      </w:pPr>
    </w:p>
    <w:p w:rsidR="008B3E63" w:rsidRDefault="008B3E63" w:rsidP="008B3E63">
      <w:pPr>
        <w:pStyle w:val="Beskrivning"/>
        <w:keepNext/>
      </w:pPr>
      <w:r>
        <w:lastRenderedPageBreak/>
        <w:t xml:space="preserve">Tabell </w:t>
      </w:r>
      <w:r w:rsidR="008E24DA">
        <w:fldChar w:fldCharType="begin"/>
      </w:r>
      <w:r w:rsidR="008E24DA">
        <w:instrText xml:space="preserve"> SEQ Tabell \* ARABIC </w:instrText>
      </w:r>
      <w:r w:rsidR="008E24DA">
        <w:fldChar w:fldCharType="separate"/>
      </w:r>
      <w:r w:rsidR="000A5878">
        <w:rPr>
          <w:noProof/>
        </w:rPr>
        <w:t>2</w:t>
      </w:r>
      <w:r w:rsidR="008E24DA">
        <w:rPr>
          <w:noProof/>
        </w:rPr>
        <w:fldChar w:fldCharType="end"/>
      </w:r>
      <w:r>
        <w:t xml:space="preserve"> Företag med Soliditet under 30 % som möter konkurrens i form av värmepumpar.</w:t>
      </w:r>
    </w:p>
    <w:tbl>
      <w:tblPr>
        <w:tblStyle w:val="Standardtabell1"/>
        <w:tblW w:w="10867" w:type="dxa"/>
        <w:tblLayout w:type="fixed"/>
        <w:tblLook w:val="04A0" w:firstRow="1" w:lastRow="0" w:firstColumn="1" w:lastColumn="0" w:noHBand="0" w:noVBand="1"/>
      </w:tblPr>
      <w:tblGrid>
        <w:gridCol w:w="2660"/>
        <w:gridCol w:w="1276"/>
        <w:gridCol w:w="992"/>
        <w:gridCol w:w="1559"/>
        <w:gridCol w:w="991"/>
        <w:gridCol w:w="710"/>
        <w:gridCol w:w="2679"/>
      </w:tblGrid>
      <w:tr w:rsidR="005D15A2" w:rsidTr="00935FDE">
        <w:trPr>
          <w:cnfStyle w:val="100000000000" w:firstRow="1" w:lastRow="0" w:firstColumn="0" w:lastColumn="0" w:oddVBand="0" w:evenVBand="0" w:oddHBand="0"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2660" w:type="dxa"/>
            <w:noWrap/>
            <w:hideMark/>
          </w:tcPr>
          <w:p w:rsidR="005D15A2" w:rsidRDefault="005D15A2" w:rsidP="00935FDE">
            <w:pPr>
              <w:rPr>
                <w:rFonts w:ascii="Calibri" w:hAnsi="Calibri"/>
                <w:color w:val="000000"/>
                <w:sz w:val="22"/>
                <w:szCs w:val="22"/>
              </w:rPr>
            </w:pPr>
            <w:r>
              <w:rPr>
                <w:rFonts w:ascii="Calibri" w:hAnsi="Calibri"/>
                <w:color w:val="000000"/>
                <w:sz w:val="22"/>
                <w:szCs w:val="22"/>
              </w:rPr>
              <w:t>Företag</w:t>
            </w:r>
          </w:p>
        </w:tc>
        <w:tc>
          <w:tcPr>
            <w:tcW w:w="1276" w:type="dxa"/>
            <w:noWrap/>
            <w:hideMark/>
          </w:tcPr>
          <w:p w:rsidR="005D15A2" w:rsidRDefault="005D15A2" w:rsidP="00935FDE">
            <w:pPr>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Fjärrvärme Kr/MWh</w:t>
            </w:r>
          </w:p>
        </w:tc>
        <w:tc>
          <w:tcPr>
            <w:tcW w:w="992" w:type="dxa"/>
            <w:noWrap/>
            <w:hideMark/>
          </w:tcPr>
          <w:p w:rsidR="005D15A2" w:rsidRDefault="005D15A2" w:rsidP="00935FDE">
            <w:pPr>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Bergvärme kr/MWh</w:t>
            </w:r>
          </w:p>
        </w:tc>
        <w:tc>
          <w:tcPr>
            <w:tcW w:w="1559" w:type="dxa"/>
            <w:noWrap/>
            <w:hideMark/>
          </w:tcPr>
          <w:p w:rsidR="005D15A2" w:rsidRDefault="005D15A2" w:rsidP="00935FDE">
            <w:pPr>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Fjärrvärmepris-Bergvärmepris</w:t>
            </w:r>
          </w:p>
        </w:tc>
        <w:tc>
          <w:tcPr>
            <w:tcW w:w="991" w:type="dxa"/>
            <w:hideMark/>
          </w:tcPr>
          <w:p w:rsidR="005D15A2" w:rsidRDefault="005D15A2" w:rsidP="00935FDE">
            <w:pPr>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Soliditet</w:t>
            </w:r>
          </w:p>
        </w:tc>
        <w:tc>
          <w:tcPr>
            <w:tcW w:w="710" w:type="dxa"/>
            <w:hideMark/>
          </w:tcPr>
          <w:p w:rsidR="005D15A2" w:rsidRDefault="005D15A2" w:rsidP="00935FDE">
            <w:pPr>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Kassalikviditet</w:t>
            </w:r>
          </w:p>
        </w:tc>
        <w:tc>
          <w:tcPr>
            <w:tcW w:w="2679" w:type="dxa"/>
          </w:tcPr>
          <w:p w:rsidR="005D15A2" w:rsidRDefault="005D15A2" w:rsidP="00935FDE">
            <w:pP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Befolkningsutveckling</w:t>
            </w:r>
          </w:p>
          <w:p w:rsidR="005D15A2" w:rsidRDefault="005D15A2" w:rsidP="00935FDE">
            <w:pPr>
              <w:cnfStyle w:val="100000000000" w:firstRow="1" w:lastRow="0" w:firstColumn="0" w:lastColumn="0" w:oddVBand="0" w:evenVBand="0" w:oddHBand="0" w:evenHBand="0" w:firstRowFirstColumn="0" w:firstRowLastColumn="0" w:lastRowFirstColumn="0" w:lastRowLastColumn="0"/>
              <w:rPr>
                <w:rFonts w:ascii="Calibri" w:hAnsi="Calibri"/>
                <w:color w:val="000000"/>
                <w:sz w:val="20"/>
                <w:szCs w:val="20"/>
              </w:rPr>
            </w:pPr>
            <w:r>
              <w:rPr>
                <w:rFonts w:ascii="Calibri" w:hAnsi="Calibri"/>
                <w:color w:val="000000"/>
                <w:sz w:val="20"/>
                <w:szCs w:val="20"/>
              </w:rPr>
              <w:t xml:space="preserve"> 2010-2014</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noWrap/>
            <w:hideMark/>
          </w:tcPr>
          <w:p w:rsidR="005D15A2" w:rsidRDefault="005D15A2" w:rsidP="00935FDE">
            <w:pPr>
              <w:rPr>
                <w:rFonts w:ascii="Arial" w:hAnsi="Arial" w:cs="Arial"/>
                <w:sz w:val="20"/>
                <w:szCs w:val="20"/>
              </w:rPr>
            </w:pPr>
            <w:r>
              <w:rPr>
                <w:rFonts w:ascii="Arial" w:hAnsi="Arial" w:cs="Arial"/>
                <w:sz w:val="20"/>
                <w:szCs w:val="20"/>
              </w:rPr>
              <w:t>Företag 1</w:t>
            </w:r>
          </w:p>
        </w:tc>
        <w:tc>
          <w:tcPr>
            <w:tcW w:w="1276"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944</w:t>
            </w:r>
          </w:p>
        </w:tc>
        <w:tc>
          <w:tcPr>
            <w:tcW w:w="992"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1 063</w:t>
            </w:r>
          </w:p>
        </w:tc>
        <w:tc>
          <w:tcPr>
            <w:tcW w:w="1559"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            119</w:t>
            </w:r>
          </w:p>
        </w:tc>
        <w:tc>
          <w:tcPr>
            <w:tcW w:w="991"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5%</w:t>
            </w:r>
          </w:p>
        </w:tc>
        <w:tc>
          <w:tcPr>
            <w:tcW w:w="710"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88%</w:t>
            </w:r>
          </w:p>
        </w:tc>
        <w:tc>
          <w:tcPr>
            <w:tcW w:w="2679" w:type="dxa"/>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sidRPr="00450099">
              <w:rPr>
                <w:rFonts w:ascii="Calibri" w:hAnsi="Calibri"/>
                <w:color w:val="FF0000"/>
                <w:sz w:val="22"/>
                <w:szCs w:val="22"/>
              </w:rPr>
              <w:t>-1,05%</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noWrap/>
            <w:hideMark/>
          </w:tcPr>
          <w:p w:rsidR="005D15A2" w:rsidRDefault="005D15A2" w:rsidP="00935FDE">
            <w:pPr>
              <w:rPr>
                <w:rFonts w:ascii="Arial" w:hAnsi="Arial" w:cs="Arial"/>
                <w:sz w:val="20"/>
                <w:szCs w:val="20"/>
              </w:rPr>
            </w:pPr>
            <w:r>
              <w:rPr>
                <w:rFonts w:ascii="Arial" w:hAnsi="Arial" w:cs="Arial"/>
                <w:sz w:val="20"/>
                <w:szCs w:val="20"/>
              </w:rPr>
              <w:t>Företag 2</w:t>
            </w:r>
          </w:p>
        </w:tc>
        <w:tc>
          <w:tcPr>
            <w:tcW w:w="1276"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956</w:t>
            </w:r>
          </w:p>
        </w:tc>
        <w:tc>
          <w:tcPr>
            <w:tcW w:w="992"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998</w:t>
            </w:r>
          </w:p>
        </w:tc>
        <w:tc>
          <w:tcPr>
            <w:tcW w:w="1559"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              41</w:t>
            </w:r>
          </w:p>
        </w:tc>
        <w:tc>
          <w:tcPr>
            <w:tcW w:w="991"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3%</w:t>
            </w:r>
          </w:p>
        </w:tc>
        <w:tc>
          <w:tcPr>
            <w:tcW w:w="710"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431%</w:t>
            </w:r>
          </w:p>
        </w:tc>
        <w:tc>
          <w:tcPr>
            <w:tcW w:w="2679" w:type="dxa"/>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1,44%</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noWrap/>
            <w:hideMark/>
          </w:tcPr>
          <w:p w:rsidR="005D15A2" w:rsidRDefault="005D15A2" w:rsidP="00935FDE">
            <w:pPr>
              <w:rPr>
                <w:rFonts w:ascii="Arial" w:hAnsi="Arial" w:cs="Arial"/>
                <w:sz w:val="20"/>
                <w:szCs w:val="20"/>
              </w:rPr>
            </w:pPr>
            <w:r>
              <w:rPr>
                <w:rFonts w:ascii="Arial" w:hAnsi="Arial" w:cs="Arial"/>
                <w:sz w:val="20"/>
                <w:szCs w:val="20"/>
              </w:rPr>
              <w:t>Företag 3</w:t>
            </w:r>
          </w:p>
        </w:tc>
        <w:tc>
          <w:tcPr>
            <w:tcW w:w="1276"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943</w:t>
            </w:r>
          </w:p>
        </w:tc>
        <w:tc>
          <w:tcPr>
            <w:tcW w:w="992"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946</w:t>
            </w:r>
          </w:p>
        </w:tc>
        <w:tc>
          <w:tcPr>
            <w:tcW w:w="1559"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                 3</w:t>
            </w:r>
          </w:p>
        </w:tc>
        <w:tc>
          <w:tcPr>
            <w:tcW w:w="991"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25%</w:t>
            </w:r>
          </w:p>
        </w:tc>
        <w:tc>
          <w:tcPr>
            <w:tcW w:w="710"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173%</w:t>
            </w:r>
          </w:p>
        </w:tc>
        <w:tc>
          <w:tcPr>
            <w:tcW w:w="2679" w:type="dxa"/>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1,53%</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4</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954</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950</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4</w:t>
            </w:r>
          </w:p>
        </w:tc>
        <w:tc>
          <w:tcPr>
            <w:tcW w:w="991"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7%</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sidRPr="00015569">
              <w:rPr>
                <w:rFonts w:ascii="Calibri" w:hAnsi="Calibri"/>
                <w:color w:val="FF0000"/>
                <w:sz w:val="22"/>
                <w:szCs w:val="22"/>
              </w:rPr>
              <w:t>17%</w:t>
            </w:r>
          </w:p>
        </w:tc>
        <w:tc>
          <w:tcPr>
            <w:tcW w:w="2679" w:type="dxa"/>
            <w:shd w:val="clear" w:color="auto" w:fill="B6DDE8" w:themeFill="accent5" w:themeFillTint="66"/>
          </w:tcPr>
          <w:p w:rsidR="005D15A2" w:rsidRPr="00097A00"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097A00">
              <w:rPr>
                <w:rFonts w:ascii="Calibri" w:hAnsi="Calibri"/>
                <w:color w:val="FF0000"/>
                <w:sz w:val="22"/>
                <w:szCs w:val="22"/>
              </w:rPr>
              <w:t>-3,05%</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5</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1 000</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992</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8</w:t>
            </w:r>
          </w:p>
        </w:tc>
        <w:tc>
          <w:tcPr>
            <w:tcW w:w="991" w:type="dxa"/>
            <w:shd w:val="clear" w:color="auto" w:fill="B6DDE8" w:themeFill="accent5" w:themeFillTint="66"/>
            <w:noWrap/>
            <w:hideMark/>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-17%</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w:t>
            </w:r>
          </w:p>
        </w:tc>
        <w:tc>
          <w:tcPr>
            <w:tcW w:w="2679" w:type="dxa"/>
            <w:shd w:val="clear" w:color="auto" w:fill="B6DDE8" w:themeFill="accent5" w:themeFillTint="66"/>
          </w:tcPr>
          <w:p w:rsidR="005D15A2" w:rsidRPr="00097A00"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sz w:val="22"/>
                <w:szCs w:val="22"/>
              </w:rPr>
              <w:t>3,40%</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6</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956</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931</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25</w:t>
            </w:r>
          </w:p>
        </w:tc>
        <w:tc>
          <w:tcPr>
            <w:tcW w:w="991" w:type="dxa"/>
            <w:shd w:val="clear" w:color="auto" w:fill="B6DDE8" w:themeFill="accent5" w:themeFillTint="66"/>
            <w:noWrap/>
            <w:hideMark/>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-29%</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274%</w:t>
            </w:r>
          </w:p>
        </w:tc>
        <w:tc>
          <w:tcPr>
            <w:tcW w:w="2679" w:type="dxa"/>
            <w:shd w:val="clear" w:color="auto" w:fill="B6DDE8" w:themeFill="accent5" w:themeFillTint="66"/>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sidRPr="00450099">
              <w:rPr>
                <w:rFonts w:ascii="Calibri" w:hAnsi="Calibri"/>
                <w:color w:val="FF0000"/>
                <w:sz w:val="22"/>
                <w:szCs w:val="22"/>
              </w:rPr>
              <w:t>-2,40%</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7</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963</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916</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46</w:t>
            </w:r>
          </w:p>
        </w:tc>
        <w:tc>
          <w:tcPr>
            <w:tcW w:w="991" w:type="dxa"/>
            <w:shd w:val="clear" w:color="auto" w:fill="B6DDE8" w:themeFill="accent5" w:themeFillTint="66"/>
            <w:noWrap/>
            <w:hideMark/>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-4%</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sidRPr="00015569">
              <w:rPr>
                <w:rFonts w:ascii="Calibri" w:hAnsi="Calibri"/>
                <w:color w:val="FF0000"/>
                <w:sz w:val="22"/>
                <w:szCs w:val="22"/>
              </w:rPr>
              <w:t>6%</w:t>
            </w:r>
          </w:p>
        </w:tc>
        <w:tc>
          <w:tcPr>
            <w:tcW w:w="2679" w:type="dxa"/>
            <w:shd w:val="clear" w:color="auto" w:fill="B6DDE8" w:themeFill="accent5" w:themeFillTint="66"/>
          </w:tcPr>
          <w:p w:rsidR="005D15A2" w:rsidRPr="00097A00"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097A00">
              <w:rPr>
                <w:rFonts w:ascii="Calibri" w:hAnsi="Calibri"/>
                <w:color w:val="FF0000"/>
                <w:sz w:val="22"/>
                <w:szCs w:val="22"/>
              </w:rPr>
              <w:t>-6,61%</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8</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1 086</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945</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141</w:t>
            </w:r>
          </w:p>
        </w:tc>
        <w:tc>
          <w:tcPr>
            <w:tcW w:w="991"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7%</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174%</w:t>
            </w:r>
          </w:p>
        </w:tc>
        <w:tc>
          <w:tcPr>
            <w:tcW w:w="2679" w:type="dxa"/>
            <w:shd w:val="clear" w:color="auto" w:fill="B6DDE8" w:themeFill="accent5" w:themeFillTint="66"/>
          </w:tcPr>
          <w:p w:rsidR="005D15A2" w:rsidRPr="00097A00"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097A00">
              <w:rPr>
                <w:rFonts w:ascii="Calibri" w:hAnsi="Calibri"/>
                <w:color w:val="FF0000"/>
                <w:sz w:val="22"/>
                <w:szCs w:val="22"/>
              </w:rPr>
              <w:t>-6,13%</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9</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1 023</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844</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180</w:t>
            </w:r>
          </w:p>
        </w:tc>
        <w:tc>
          <w:tcPr>
            <w:tcW w:w="991"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0%</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sidRPr="00015569">
              <w:rPr>
                <w:rFonts w:ascii="Calibri" w:hAnsi="Calibri"/>
                <w:color w:val="FF0000"/>
                <w:sz w:val="22"/>
                <w:szCs w:val="22"/>
              </w:rPr>
              <w:t>18%</w:t>
            </w:r>
          </w:p>
        </w:tc>
        <w:tc>
          <w:tcPr>
            <w:tcW w:w="2679" w:type="dxa"/>
            <w:shd w:val="clear" w:color="auto" w:fill="B6DDE8" w:themeFill="accent5" w:themeFillTint="66"/>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-2,68%</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shd w:val="clear" w:color="auto" w:fill="B6DDE8" w:themeFill="accent5" w:themeFillTint="66"/>
            <w:noWrap/>
            <w:hideMark/>
          </w:tcPr>
          <w:p w:rsidR="005D15A2" w:rsidRDefault="005D15A2" w:rsidP="00935FDE">
            <w:pPr>
              <w:rPr>
                <w:rFonts w:ascii="Arial" w:hAnsi="Arial" w:cs="Arial"/>
                <w:sz w:val="20"/>
                <w:szCs w:val="20"/>
              </w:rPr>
            </w:pPr>
            <w:r>
              <w:rPr>
                <w:rFonts w:ascii="Arial" w:hAnsi="Arial" w:cs="Arial"/>
                <w:sz w:val="20"/>
                <w:szCs w:val="20"/>
              </w:rPr>
              <w:t>Företag 10</w:t>
            </w:r>
          </w:p>
        </w:tc>
        <w:tc>
          <w:tcPr>
            <w:tcW w:w="1276"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1 220</w:t>
            </w:r>
          </w:p>
        </w:tc>
        <w:tc>
          <w:tcPr>
            <w:tcW w:w="992"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995</w:t>
            </w:r>
          </w:p>
        </w:tc>
        <w:tc>
          <w:tcPr>
            <w:tcW w:w="1559" w:type="dxa"/>
            <w:shd w:val="clear" w:color="auto" w:fill="B6DDE8" w:themeFill="accent5" w:themeFillTint="66"/>
            <w:noWrap/>
            <w:hideMark/>
          </w:tcPr>
          <w:p w:rsidR="005D15A2" w:rsidRPr="00A43BAA"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A43BAA">
              <w:rPr>
                <w:rFonts w:ascii="Calibri" w:hAnsi="Calibri"/>
                <w:color w:val="FF0000"/>
                <w:sz w:val="22"/>
                <w:szCs w:val="22"/>
              </w:rPr>
              <w:t>225</w:t>
            </w:r>
          </w:p>
        </w:tc>
        <w:tc>
          <w:tcPr>
            <w:tcW w:w="991"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24%</w:t>
            </w:r>
          </w:p>
        </w:tc>
        <w:tc>
          <w:tcPr>
            <w:tcW w:w="710" w:type="dxa"/>
            <w:shd w:val="clear" w:color="auto" w:fill="B6DDE8" w:themeFill="accent5" w:themeFillTint="66"/>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879%</w:t>
            </w:r>
          </w:p>
        </w:tc>
        <w:tc>
          <w:tcPr>
            <w:tcW w:w="2679" w:type="dxa"/>
            <w:shd w:val="clear" w:color="auto" w:fill="B6DDE8" w:themeFill="accent5" w:themeFillTint="66"/>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-1,10%</w:t>
            </w:r>
          </w:p>
        </w:tc>
      </w:tr>
      <w:tr w:rsidR="005D15A2" w:rsidTr="00935FDE">
        <w:trPr>
          <w:trHeight w:val="300"/>
        </w:trPr>
        <w:tc>
          <w:tcPr>
            <w:cnfStyle w:val="001000000000" w:firstRow="0" w:lastRow="0" w:firstColumn="1" w:lastColumn="0" w:oddVBand="0" w:evenVBand="0" w:oddHBand="0" w:evenHBand="0" w:firstRowFirstColumn="0" w:firstRowLastColumn="0" w:lastRowFirstColumn="0" w:lastRowLastColumn="0"/>
            <w:tcW w:w="2660" w:type="dxa"/>
            <w:noWrap/>
            <w:hideMark/>
          </w:tcPr>
          <w:p w:rsidR="005D15A2" w:rsidRDefault="005D15A2" w:rsidP="00935FDE">
            <w:pPr>
              <w:rPr>
                <w:rFonts w:ascii="Arial" w:hAnsi="Arial" w:cs="Arial"/>
                <w:sz w:val="20"/>
                <w:szCs w:val="20"/>
              </w:rPr>
            </w:pPr>
            <w:r>
              <w:rPr>
                <w:rFonts w:ascii="Arial" w:hAnsi="Arial" w:cs="Arial"/>
                <w:sz w:val="20"/>
                <w:szCs w:val="20"/>
              </w:rPr>
              <w:t>Företag 11</w:t>
            </w:r>
          </w:p>
        </w:tc>
        <w:tc>
          <w:tcPr>
            <w:tcW w:w="1276"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947</w:t>
            </w:r>
          </w:p>
        </w:tc>
        <w:tc>
          <w:tcPr>
            <w:tcW w:w="992"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w:t>
            </w:r>
          </w:p>
        </w:tc>
        <w:tc>
          <w:tcPr>
            <w:tcW w:w="1559"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- 94</w:t>
            </w:r>
          </w:p>
        </w:tc>
        <w:tc>
          <w:tcPr>
            <w:tcW w:w="991" w:type="dxa"/>
            <w:noWrap/>
            <w:hideMark/>
          </w:tcPr>
          <w:p w:rsidR="005D15A2"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rPr>
            </w:pPr>
            <w:r>
              <w:rPr>
                <w:rFonts w:ascii="Calibri" w:hAnsi="Calibri"/>
                <w:color w:val="000000"/>
                <w:sz w:val="22"/>
                <w:szCs w:val="22"/>
              </w:rPr>
              <w:t>10%</w:t>
            </w:r>
          </w:p>
        </w:tc>
        <w:tc>
          <w:tcPr>
            <w:tcW w:w="710" w:type="dxa"/>
            <w:noWrap/>
            <w:hideMark/>
          </w:tcPr>
          <w:p w:rsidR="005D15A2" w:rsidRPr="0001556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015569">
              <w:rPr>
                <w:rFonts w:ascii="Calibri" w:hAnsi="Calibri"/>
                <w:color w:val="FF0000"/>
                <w:sz w:val="22"/>
                <w:szCs w:val="22"/>
              </w:rPr>
              <w:t>23%</w:t>
            </w:r>
          </w:p>
        </w:tc>
        <w:tc>
          <w:tcPr>
            <w:tcW w:w="2679" w:type="dxa"/>
          </w:tcPr>
          <w:p w:rsidR="005D15A2" w:rsidRPr="00450099" w:rsidRDefault="005D15A2" w:rsidP="00935FDE">
            <w:pPr>
              <w:jc w:val="center"/>
              <w:cnfStyle w:val="000000000000" w:firstRow="0" w:lastRow="0" w:firstColumn="0" w:lastColumn="0" w:oddVBand="0" w:evenVBand="0" w:oddHBand="0" w:evenHBand="0" w:firstRowFirstColumn="0" w:firstRowLastColumn="0" w:lastRowFirstColumn="0" w:lastRowLastColumn="0"/>
              <w:rPr>
                <w:rFonts w:ascii="Calibri" w:hAnsi="Calibri"/>
                <w:color w:val="FF0000"/>
                <w:sz w:val="22"/>
                <w:szCs w:val="22"/>
              </w:rPr>
            </w:pPr>
            <w:r w:rsidRPr="00450099">
              <w:rPr>
                <w:rFonts w:ascii="Calibri" w:hAnsi="Calibri"/>
                <w:color w:val="FF0000"/>
                <w:sz w:val="22"/>
                <w:szCs w:val="22"/>
              </w:rPr>
              <w:t>-0,33%</w:t>
            </w:r>
          </w:p>
        </w:tc>
      </w:tr>
    </w:tbl>
    <w:p w:rsidR="008B3E63" w:rsidRDefault="008B3E63" w:rsidP="008B3E63">
      <w:pPr>
        <w:pStyle w:val="Brdtext"/>
      </w:pPr>
      <w:r w:rsidRPr="004A4F16">
        <w:rPr>
          <w:sz w:val="20"/>
          <w:szCs w:val="20"/>
        </w:rPr>
        <w:t xml:space="preserve">Källa: Bearbetning av data från </w:t>
      </w:r>
      <w:r>
        <w:rPr>
          <w:sz w:val="20"/>
          <w:szCs w:val="20"/>
        </w:rPr>
        <w:t>E</w:t>
      </w:r>
      <w:r w:rsidRPr="004A4F16">
        <w:rPr>
          <w:sz w:val="20"/>
          <w:szCs w:val="20"/>
        </w:rPr>
        <w:t>nergimarknadsinspektionen</w:t>
      </w:r>
      <w:r>
        <w:t>.</w:t>
      </w:r>
    </w:p>
    <w:p w:rsidR="005D15A2" w:rsidRDefault="005D15A2" w:rsidP="008026F1">
      <w:pPr>
        <w:pStyle w:val="Brdtext"/>
      </w:pPr>
      <w:bookmarkStart w:id="59" w:name="_Ref436397897"/>
      <w:r>
        <w:t>En närmare granskning av d</w:t>
      </w:r>
      <w:r w:rsidR="00F55263">
        <w:t>essa bolag visar att Företag 7</w:t>
      </w:r>
      <w:r>
        <w:t xml:space="preserve"> torde ha svårt att klara sig i konkurrensen med bergvärme,</w:t>
      </w:r>
      <w:r w:rsidR="004C69D7">
        <w:t xml:space="preserve"> då det bland annat</w:t>
      </w:r>
      <w:r>
        <w:t xml:space="preserve"> har en negativ soliditet och samtidigt en stor avfolkning</w:t>
      </w:r>
      <w:r w:rsidR="004C69D7">
        <w:t>. Företaget</w:t>
      </w:r>
      <w:r>
        <w:t xml:space="preserve"> köptes </w:t>
      </w:r>
      <w:r w:rsidR="004C69D7">
        <w:t xml:space="preserve">nyligen </w:t>
      </w:r>
      <w:r>
        <w:t>upp av ett annat energiföretag</w:t>
      </w:r>
      <w:r>
        <w:rPr>
          <w:rFonts w:cs="Helvetica"/>
          <w:color w:val="000000"/>
        </w:rPr>
        <w:t>. Det bolaget har relativt höga priser men en god soliditet på 45 procent.</w:t>
      </w:r>
      <w:r>
        <w:t xml:space="preserve"> </w:t>
      </w:r>
    </w:p>
    <w:p w:rsidR="008B3E63" w:rsidRPr="00C57DB6" w:rsidRDefault="008B3E63" w:rsidP="008026F1">
      <w:pPr>
        <w:pStyle w:val="Brdtext"/>
        <w:rPr>
          <w:bCs/>
        </w:rPr>
      </w:pPr>
      <w:r w:rsidRPr="00C57DB6">
        <w:rPr>
          <w:bCs/>
        </w:rPr>
        <w:t xml:space="preserve">Övriga sex bolag </w:t>
      </w:r>
      <w:r>
        <w:rPr>
          <w:bCs/>
        </w:rPr>
        <w:t xml:space="preserve">hade sammanlagda leveranser om 88 GWh 2014. </w:t>
      </w:r>
      <w:r w:rsidR="00AB488A">
        <w:rPr>
          <w:bCs/>
        </w:rPr>
        <w:t xml:space="preserve">Företag 4 </w:t>
      </w:r>
      <w:r>
        <w:rPr>
          <w:bCs/>
        </w:rPr>
        <w:t>har minskat sina leveranser under åren men övriga har relativt stabila siffror</w:t>
      </w:r>
      <w:r w:rsidR="000A6104">
        <w:rPr>
          <w:bCs/>
        </w:rPr>
        <w:t>.</w:t>
      </w:r>
    </w:p>
    <w:p w:rsidR="00D012A9" w:rsidRDefault="00D012A9" w:rsidP="008B3E63">
      <w:pPr>
        <w:pStyle w:val="Rubrik2"/>
      </w:pPr>
      <w:bookmarkStart w:id="60" w:name="_Toc438471435"/>
      <w:bookmarkStart w:id="61" w:name="_Toc436664258"/>
      <w:bookmarkStart w:id="62" w:name="_Ref437519978"/>
      <w:bookmarkEnd w:id="59"/>
      <w:r>
        <w:t>Diskussion</w:t>
      </w:r>
      <w:bookmarkEnd w:id="60"/>
    </w:p>
    <w:p w:rsidR="00681CF4" w:rsidRDefault="00681CF4" w:rsidP="009E076F">
      <w:pPr>
        <w:pStyle w:val="Brdtext"/>
      </w:pPr>
      <w:r>
        <w:t>Det finns ingenting i Energimyndighetens granskning som tyder på att betydande ekonomiska förändringar eller händelser skulle medföra stora svårigheter för branschen i stort. Några få företag med vissa svårigheter har dock identifierats. Samtidigt måste man komma ihåg att den statistik och de nyckeltal som använts för analysen inte nödvändigtvis visar hela bilden. Många fjärrvärmeföretag ökar sin konkurrenskraft genom nya affärsmodeller och effektiviserar sin verksamhet. Samtidigt kan branschen påverkas av olika politiska beslut med mera (</w:t>
      </w:r>
      <w:r w:rsidR="000A6104">
        <w:t xml:space="preserve">se </w:t>
      </w:r>
      <w:r>
        <w:t xml:space="preserve">avsnitt </w:t>
      </w:r>
      <w:r>
        <w:fldChar w:fldCharType="begin"/>
      </w:r>
      <w:r>
        <w:instrText xml:space="preserve"> REF _Ref437347477 \r \h </w:instrText>
      </w:r>
      <w:r>
        <w:fldChar w:fldCharType="separate"/>
      </w:r>
      <w:r w:rsidR="000A5878">
        <w:t>9.1</w:t>
      </w:r>
      <w:r>
        <w:fldChar w:fldCharType="end"/>
      </w:r>
      <w:r>
        <w:t>)</w:t>
      </w:r>
      <w:r w:rsidR="000A6104">
        <w:t>,</w:t>
      </w:r>
      <w:r>
        <w:t xml:space="preserve"> liksom konkurrens via energieffektivisering och värmepumpar i byggnader. </w:t>
      </w:r>
    </w:p>
    <w:p w:rsidR="00681CF4" w:rsidRDefault="00681CF4" w:rsidP="009E076F">
      <w:pPr>
        <w:pStyle w:val="Brdtext"/>
        <w:rPr>
          <w:i/>
        </w:rPr>
      </w:pPr>
      <w:r>
        <w:t>Även om de flesta företag står väl</w:t>
      </w:r>
      <w:r w:rsidR="00474FB2">
        <w:t xml:space="preserve"> rustade</w:t>
      </w:r>
      <w:r>
        <w:t xml:space="preserve"> </w:t>
      </w:r>
      <w:r w:rsidR="00363043">
        <w:t>skulle man kunna överväga</w:t>
      </w:r>
      <w:r>
        <w:t xml:space="preserve"> </w:t>
      </w:r>
      <w:r w:rsidR="00363043">
        <w:t xml:space="preserve">att inrätta </w:t>
      </w:r>
      <w:r>
        <w:t xml:space="preserve">en kontrollfunktion </w:t>
      </w:r>
      <w:r w:rsidR="00363043">
        <w:t xml:space="preserve">hos Energimarknadsinspektionen eller Fjärrvärmenämnden. En </w:t>
      </w:r>
      <w:r>
        <w:t>dialog med särskilt utsatta bolag</w:t>
      </w:r>
      <w:r w:rsidR="00363043">
        <w:t xml:space="preserve"> skulle då</w:t>
      </w:r>
      <w:r>
        <w:t xml:space="preserve"> </w:t>
      </w:r>
      <w:r w:rsidR="00363043">
        <w:t xml:space="preserve">kunna </w:t>
      </w:r>
      <w:r>
        <w:t xml:space="preserve">initieras för att </w:t>
      </w:r>
      <w:r w:rsidR="00363043">
        <w:t xml:space="preserve">verka för </w:t>
      </w:r>
      <w:r>
        <w:t xml:space="preserve">att </w:t>
      </w:r>
      <w:r w:rsidR="00474FB2">
        <w:t>indikerade svårigheter</w:t>
      </w:r>
      <w:r>
        <w:t xml:space="preserve"> inte medför problem i verkligheten och</w:t>
      </w:r>
      <w:r w:rsidR="00474FB2">
        <w:t xml:space="preserve"> att</w:t>
      </w:r>
      <w:r>
        <w:t xml:space="preserve"> en plan upp</w:t>
      </w:r>
      <w:r w:rsidR="00474FB2">
        <w:t>-</w:t>
      </w:r>
      <w:r>
        <w:t xml:space="preserve">rättas för det aktuella företaget om ett sådant behov finns. Slutligen bör nämnas att värmemarknaden är under stor förändring vilket gör framtiden svår att förutsäga.  </w:t>
      </w:r>
    </w:p>
    <w:p w:rsidR="008B3E63" w:rsidRPr="008B3E63" w:rsidRDefault="00566B2B" w:rsidP="008B3E63">
      <w:pPr>
        <w:pStyle w:val="Brdtext"/>
      </w:pPr>
      <w:r>
        <w:t xml:space="preserve">Energimyndighetens slutsatser om fjärrvärmeföretagens ekonomiska ställning finns i avsnitt </w:t>
      </w:r>
      <w:r>
        <w:fldChar w:fldCharType="begin"/>
      </w:r>
      <w:r>
        <w:instrText xml:space="preserve"> REF _Ref438106395 \r \h </w:instrText>
      </w:r>
      <w:r>
        <w:fldChar w:fldCharType="separate"/>
      </w:r>
      <w:r w:rsidR="000A5878">
        <w:t>7</w:t>
      </w:r>
      <w:r>
        <w:fldChar w:fldCharType="end"/>
      </w:r>
      <w:r>
        <w:t xml:space="preserve"> i denna rapport.</w:t>
      </w:r>
      <w:bookmarkEnd w:id="61"/>
      <w:bookmarkEnd w:id="62"/>
    </w:p>
    <w:p w:rsidR="00EC675B" w:rsidRDefault="00EC675B" w:rsidP="00EC675B">
      <w:pPr>
        <w:pStyle w:val="Rubrik1"/>
      </w:pPr>
      <w:bookmarkStart w:id="63" w:name="_Ref438106715"/>
      <w:bookmarkStart w:id="64" w:name="_Toc438471436"/>
      <w:r>
        <w:lastRenderedPageBreak/>
        <w:t xml:space="preserve">Förmågan att förebygga och hantera </w:t>
      </w:r>
      <w:r w:rsidR="00CC590F">
        <w:t>störningar i fjärrvärmeförsörjningen</w:t>
      </w:r>
      <w:bookmarkEnd w:id="63"/>
      <w:bookmarkEnd w:id="64"/>
    </w:p>
    <w:p w:rsidR="00DD2E45" w:rsidRPr="00AB4D5C" w:rsidRDefault="00DD2E45" w:rsidP="00DD2E45">
      <w:pPr>
        <w:pStyle w:val="Brdtext"/>
      </w:pPr>
      <w:r>
        <w:t>I detta avsnitt beskrivs översiktligt vad branschen</w:t>
      </w:r>
      <w:r w:rsidR="00A95B94">
        <w:t xml:space="preserve"> och enskilda företag</w:t>
      </w:r>
      <w:r>
        <w:t xml:space="preserve"> gör idag för att förebygga och åtgärda avbrott. Därefter lyfts några områden och aspekter som </w:t>
      </w:r>
      <w:r w:rsidR="00696D8E">
        <w:t>genom utredningen identifierats</w:t>
      </w:r>
      <w:r>
        <w:t xml:space="preserve"> som särskilt viktiga, känsliga eller bristfälligt hanterade. </w:t>
      </w:r>
      <w:r w:rsidR="002F1EC0">
        <w:t xml:space="preserve">Underlaget har främst hämtats från Energimyndighetens tidigare studier (se referenslista i avsnitt </w:t>
      </w:r>
      <w:r w:rsidR="002F1EC0">
        <w:fldChar w:fldCharType="begin"/>
      </w:r>
      <w:r w:rsidR="002F1EC0">
        <w:instrText xml:space="preserve"> REF _Ref437521213 \r \h </w:instrText>
      </w:r>
      <w:r w:rsidR="002F1EC0">
        <w:fldChar w:fldCharType="separate"/>
      </w:r>
      <w:r w:rsidR="000A5878">
        <w:t>8</w:t>
      </w:r>
      <w:r w:rsidR="002F1EC0">
        <w:fldChar w:fldCharType="end"/>
      </w:r>
      <w:r w:rsidR="00352E5A">
        <w:t xml:space="preserve"> samt fotnoter</w:t>
      </w:r>
      <w:r w:rsidR="002F1EC0">
        <w:t>) samt</w:t>
      </w:r>
      <w:r w:rsidR="00352E5A">
        <w:t xml:space="preserve"> kompletterande</w:t>
      </w:r>
      <w:r w:rsidR="002F1EC0">
        <w:t xml:space="preserve"> intervjuer med </w:t>
      </w:r>
      <w:r w:rsidR="00352E5A">
        <w:t>sex personer verksamma i branschen.</w:t>
      </w:r>
    </w:p>
    <w:p w:rsidR="00672DCF" w:rsidRDefault="00672DCF" w:rsidP="00672DCF">
      <w:pPr>
        <w:pStyle w:val="Rubrik2"/>
      </w:pPr>
      <w:bookmarkStart w:id="65" w:name="_Toc438471437"/>
      <w:r>
        <w:t>Inledning</w:t>
      </w:r>
      <w:bookmarkEnd w:id="65"/>
    </w:p>
    <w:p w:rsidR="0004004E" w:rsidRDefault="006B4F97" w:rsidP="00CC590F">
      <w:pPr>
        <w:pStyle w:val="Brdtext"/>
      </w:pPr>
      <w:r>
        <w:t xml:space="preserve">Både individer och samhälle drabbas om det uppstår avbrott i fjärrvärmeleveransen. Avbrott </w:t>
      </w:r>
      <w:r w:rsidR="00CC590F">
        <w:t>orsakar kostnader för samhället – såväl</w:t>
      </w:r>
      <w:r w:rsidR="00AC4F37">
        <w:t xml:space="preserve"> för</w:t>
      </w:r>
      <w:r w:rsidR="00CC590F">
        <w:t xml:space="preserve"> näringsliv</w:t>
      </w:r>
      <w:r w:rsidR="00AC4F37">
        <w:t xml:space="preserve"> som för</w:t>
      </w:r>
      <w:r w:rsidR="00CC590F">
        <w:t xml:space="preserve"> offentlig sektor och </w:t>
      </w:r>
      <w:r>
        <w:t>enskilda individer. Till detta kan läggas kostnader i form av det besvär som drabbar slutanvändaren.</w:t>
      </w:r>
      <w:r w:rsidR="00CC590F">
        <w:t xml:space="preserve"> I riktigt kritiska fall kan </w:t>
      </w:r>
      <w:r w:rsidR="005E5898">
        <w:t>den aktuella kommunen</w:t>
      </w:r>
      <w:r w:rsidR="00CC590F">
        <w:t xml:space="preserve"> drabbas hårt, både avseende den egna verksamheten (skolor, omsorg m.m.) och att det kan uppstå behov av evakuering av bostäder. </w:t>
      </w:r>
      <w:r>
        <w:t>Fjärrvärmeleveranserna drabbas av avbrott emellanåt, och det är inte ovanligt med avbrott som är längre än åtta timmar. Ett sådant avbrott märks hos slutanvändarna</w:t>
      </w:r>
      <w:r w:rsidR="00334DCB">
        <w:t xml:space="preserve"> – i olika hög grad och olika snabbt beroende på årstid</w:t>
      </w:r>
      <w:r>
        <w:t>.</w:t>
      </w:r>
    </w:p>
    <w:p w:rsidR="00DD2E45" w:rsidRPr="00CD6C12" w:rsidRDefault="0048421C" w:rsidP="0048421C">
      <w:pPr>
        <w:pStyle w:val="Brdtext"/>
      </w:pPr>
      <w:r w:rsidRPr="001D1266">
        <w:t xml:space="preserve">Den mest kritiska verksamheten i värmeförsörjningskedjan har av branschen bedömts vara distributionsledet, i synnerhet huvudmatning och matning via strategiska viktiga punkter i distributionsledet samt pumpkraft. Ledningarna ligger dessutom nedgrävda varvid störningar såsom läckage </w:t>
      </w:r>
      <w:r>
        <w:t>kan vara svåra</w:t>
      </w:r>
      <w:r w:rsidRPr="001D1266">
        <w:t xml:space="preserve"> att upptäcka.</w:t>
      </w:r>
      <w:r w:rsidRPr="001D1266">
        <w:rPr>
          <w:color w:val="FF0000"/>
        </w:rPr>
        <w:t xml:space="preserve"> </w:t>
      </w:r>
      <w:r w:rsidR="00CD6C12" w:rsidRPr="00CD6C12">
        <w:t>Nyare</w:t>
      </w:r>
      <w:r w:rsidR="00CD6C12">
        <w:t xml:space="preserve"> delar av nätet har i regel inbyggda system för </w:t>
      </w:r>
      <w:r w:rsidR="001E71EA">
        <w:t>fukt- och läckage</w:t>
      </w:r>
      <w:r w:rsidR="00CD6C12">
        <w:t>kontroll.</w:t>
      </w:r>
    </w:p>
    <w:p w:rsidR="005C717D" w:rsidRPr="005C717D" w:rsidRDefault="00DD2E45" w:rsidP="005C717D">
      <w:pPr>
        <w:pStyle w:val="Brdtext"/>
      </w:pPr>
      <w:r w:rsidRPr="005C717D">
        <w:t xml:space="preserve">Nedgrävda rör är utsatta för olika typer av påfrestningar. Läckage inträffar ofta genom att </w:t>
      </w:r>
      <w:r w:rsidR="00A95B94">
        <w:t>f</w:t>
      </w:r>
      <w:r w:rsidR="00520DB9">
        <w:t>ukt i form av</w:t>
      </w:r>
      <w:r w:rsidR="00A95B94">
        <w:t xml:space="preserve"> dagvatten</w:t>
      </w:r>
      <w:r w:rsidRPr="005C717D">
        <w:t xml:space="preserve"> når stålrören utifrån genom exempelvis grävskador eller brister i skarvutföranden. Detta medför korrosion, som med tiden försvagar materialet så att läckage uppstår vid exempelvis en tryckstöt i systemet</w:t>
      </w:r>
      <w:r w:rsidR="005C717D">
        <w:t>, och man måste stänga av för att reparera.</w:t>
      </w:r>
      <w:r w:rsidRPr="005C717D">
        <w:t xml:space="preserve"> </w:t>
      </w:r>
    </w:p>
    <w:p w:rsidR="00DD2E45" w:rsidRDefault="00DD2E45" w:rsidP="005C717D">
      <w:pPr>
        <w:pStyle w:val="Brdtext"/>
      </w:pPr>
      <w:r w:rsidRPr="005C717D">
        <w:t xml:space="preserve">Dagens </w:t>
      </w:r>
      <w:r w:rsidR="00334DCB">
        <w:t>fjärrvärmeledningar</w:t>
      </w:r>
      <w:r w:rsidR="00334DCB" w:rsidRPr="005C717D">
        <w:t xml:space="preserve"> </w:t>
      </w:r>
      <w:r w:rsidRPr="005C717D">
        <w:t xml:space="preserve">har en helt annan kvalitet än de som byggdes tidigt under fjärrvärmens uppbyggnad. Avbrott är inte lika vanliga i nya installationer även om de inträffar även där. Många av de gamla installationerna finns fortfarande kvar i systemen. När betingelserna är lämpliga kan de ha ett långt liv, men i en stadsbebyggelse sker hela tiden förändringar. Det grävs och byggs och trafikleder ändras. Att gräva upp och byta gamla </w:t>
      </w:r>
      <w:r w:rsidR="00334DCB">
        <w:t>ledningar</w:t>
      </w:r>
      <w:r w:rsidR="00334DCB" w:rsidRPr="005C717D">
        <w:t xml:space="preserve"> </w:t>
      </w:r>
      <w:r w:rsidRPr="005C717D">
        <w:t>och ventiler är mycket kostsamt och företagen tenderar att låta det ske i måttliga steg, exempelvis i samband med att läckage inträffar.</w:t>
      </w:r>
    </w:p>
    <w:p w:rsidR="0048421C" w:rsidRPr="001D1266" w:rsidRDefault="0048421C" w:rsidP="0048421C">
      <w:pPr>
        <w:pStyle w:val="Brdtext"/>
      </w:pPr>
      <w:r>
        <w:t>R</w:t>
      </w:r>
      <w:r w:rsidRPr="001D1266">
        <w:t xml:space="preserve">edundans </w:t>
      </w:r>
      <w:r>
        <w:t>och beredskap</w:t>
      </w:r>
      <w:r w:rsidRPr="001D1266">
        <w:t xml:space="preserve"> skiljer sig åt mellan olika fjärrvärmebolag.</w:t>
      </w:r>
    </w:p>
    <w:p w:rsidR="0048421C" w:rsidRDefault="0048421C" w:rsidP="0048421C">
      <w:pPr>
        <w:pStyle w:val="Brdtext"/>
      </w:pPr>
      <w:r w:rsidRPr="001D1266">
        <w:lastRenderedPageBreak/>
        <w:t>Störst beroe</w:t>
      </w:r>
      <w:r>
        <w:t xml:space="preserve">nde finns till elförsörjningen </w:t>
      </w:r>
      <w:r w:rsidRPr="001D1266">
        <w:t>då alla led i värmeförsörjningen (</w:t>
      </w:r>
      <w:r>
        <w:t>omvandling</w:t>
      </w:r>
      <w:r w:rsidRPr="001D1266">
        <w:t xml:space="preserve">, distribution och </w:t>
      </w:r>
      <w:r>
        <w:t>slutlig användning</w:t>
      </w:r>
      <w:r w:rsidRPr="001D1266">
        <w:t xml:space="preserve">) kräver elförsörjning för att värmen ska nå ut i nätet och kunna pumpas runt i fastigheter. Det finns som regel inte tillräckligt med reservkraft för att upprätthålla produktion och distribution av värme vid störningar eller avbrott i </w:t>
      </w:r>
      <w:r>
        <w:t>elf</w:t>
      </w:r>
      <w:r w:rsidRPr="001D1266">
        <w:t xml:space="preserve">örsörjningen.   </w:t>
      </w:r>
    </w:p>
    <w:p w:rsidR="002D4EB7" w:rsidRDefault="002D4EB7" w:rsidP="002D4EB7">
      <w:pPr>
        <w:pStyle w:val="Rubrik2"/>
      </w:pPr>
      <w:bookmarkStart w:id="66" w:name="_Ref436983381"/>
      <w:bookmarkStart w:id="67" w:name="_Toc438471438"/>
      <w:r>
        <w:t>Branschens pågående arbete</w:t>
      </w:r>
      <w:bookmarkEnd w:id="66"/>
      <w:bookmarkEnd w:id="67"/>
    </w:p>
    <w:p w:rsidR="00B030B5" w:rsidRPr="00B030B5" w:rsidRDefault="00520DB9" w:rsidP="00672DCF">
      <w:pPr>
        <w:pStyle w:val="Rubrik3"/>
      </w:pPr>
      <w:r>
        <w:t>Förhindra a</w:t>
      </w:r>
      <w:r w:rsidR="00B030B5">
        <w:t>vbrott och skapa robusta system</w:t>
      </w:r>
    </w:p>
    <w:p w:rsidR="000D68DD" w:rsidRDefault="000D68DD" w:rsidP="00672DCF">
      <w:pPr>
        <w:pStyle w:val="Brdtext"/>
      </w:pPr>
      <w:r w:rsidRPr="00090D4C">
        <w:rPr>
          <w:i/>
        </w:rPr>
        <w:t>Produktion</w:t>
      </w:r>
      <w:r>
        <w:t xml:space="preserve"> av fjärrvärme är en form av processindustri. Åtgärder som görs för att hindra störningar och avbrott liknar dem som görs inom processind</w:t>
      </w:r>
      <w:r w:rsidR="00520DB9">
        <w:t xml:space="preserve">ustrin. Man </w:t>
      </w:r>
      <w:r w:rsidR="00090D4C">
        <w:t>har</w:t>
      </w:r>
      <w:r w:rsidR="00520DB9">
        <w:t xml:space="preserve"> regelbunden rondering</w:t>
      </w:r>
      <w:r>
        <w:t xml:space="preserve"> och kameraövervakning i anläggningarna </w:t>
      </w:r>
      <w:r w:rsidR="00553241">
        <w:t>tillsammans med</w:t>
      </w:r>
      <w:r>
        <w:t xml:space="preserve"> automatisk övervakning i många former. Skyddsutrustningar och larm provas regelbundet. </w:t>
      </w:r>
      <w:r w:rsidR="00553241">
        <w:t>Det finns rutiner för hur</w:t>
      </w:r>
      <w:r>
        <w:t xml:space="preserve"> anläggningar städas och </w:t>
      </w:r>
      <w:r w:rsidR="00553241">
        <w:t xml:space="preserve">hur </w:t>
      </w:r>
      <w:r>
        <w:t xml:space="preserve">brandfarligt skräp och damm </w:t>
      </w:r>
      <w:r w:rsidR="00553241">
        <w:t xml:space="preserve">ska </w:t>
      </w:r>
      <w:r>
        <w:t>undanröjas. All utrustning är tillverkad och byggd för att motsvara en rad gällande tekniska standarder</w:t>
      </w:r>
      <w:r w:rsidR="00090D4C">
        <w:t>.</w:t>
      </w:r>
      <w:r>
        <w:t xml:space="preserve"> </w:t>
      </w:r>
      <w:r w:rsidR="00090D4C">
        <w:t>Bakom dessa finns</w:t>
      </w:r>
      <w:r>
        <w:t xml:space="preserve"> decennier av erfarenheter – både svenska och internationella. Personsäkerheten är i fokus, </w:t>
      </w:r>
      <w:r w:rsidR="00090D4C">
        <w:t>men även</w:t>
      </w:r>
      <w:r>
        <w:t xml:space="preserve"> anläggnings- och leveranssäkerhet</w:t>
      </w:r>
      <w:r w:rsidR="00090D4C">
        <w:t xml:space="preserve"> tas i beaktande</w:t>
      </w:r>
      <w:r>
        <w:t>.</w:t>
      </w:r>
    </w:p>
    <w:p w:rsidR="00330E34" w:rsidRDefault="00330E34" w:rsidP="00672DCF">
      <w:pPr>
        <w:pStyle w:val="Brdtext"/>
      </w:pPr>
      <w:r>
        <w:t xml:space="preserve">Således är företag i branschen vana att förebygga en stor mängd tekniskt orienterade skador och incidenter. För andra typer av risker – som i vissa stycken kan medföra svåra konsekvenser – brister ofta förmågan. Se vidare avsnitt </w:t>
      </w:r>
      <w:r>
        <w:fldChar w:fldCharType="begin"/>
      </w:r>
      <w:r>
        <w:instrText xml:space="preserve"> REF _Ref437431114 \r \h </w:instrText>
      </w:r>
      <w:r>
        <w:fldChar w:fldCharType="separate"/>
      </w:r>
      <w:r w:rsidR="000A5878">
        <w:t>6.1</w:t>
      </w:r>
      <w:r>
        <w:fldChar w:fldCharType="end"/>
      </w:r>
      <w:r w:rsidR="004B5B8D">
        <w:t xml:space="preserve"> där detta diskuteras</w:t>
      </w:r>
      <w:r>
        <w:t>.</w:t>
      </w:r>
    </w:p>
    <w:p w:rsidR="000D68DD" w:rsidRDefault="000D68DD" w:rsidP="00672DCF">
      <w:pPr>
        <w:pStyle w:val="Brdtext"/>
      </w:pPr>
      <w:r>
        <w:t>De avbrott som ändå sker i produktionsledet orsakas</w:t>
      </w:r>
      <w:r w:rsidR="00553241">
        <w:t xml:space="preserve"> främst</w:t>
      </w:r>
      <w:r>
        <w:t xml:space="preserve"> av </w:t>
      </w:r>
    </w:p>
    <w:p w:rsidR="000D68DD" w:rsidRDefault="000D68DD" w:rsidP="00FD79A3">
      <w:pPr>
        <w:pStyle w:val="Brdtext"/>
        <w:numPr>
          <w:ilvl w:val="0"/>
          <w:numId w:val="9"/>
        </w:numPr>
      </w:pPr>
      <w:r>
        <w:t>Brand och olyckor (flest)</w:t>
      </w:r>
    </w:p>
    <w:p w:rsidR="000D68DD" w:rsidRDefault="000D68DD" w:rsidP="00FD79A3">
      <w:pPr>
        <w:pStyle w:val="Brdtext"/>
        <w:numPr>
          <w:ilvl w:val="0"/>
          <w:numId w:val="9"/>
        </w:numPr>
      </w:pPr>
      <w:r>
        <w:t>Elavbrott (längst avbrottstid)</w:t>
      </w:r>
    </w:p>
    <w:p w:rsidR="000D68DD" w:rsidRDefault="000D68DD" w:rsidP="00FD79A3">
      <w:pPr>
        <w:pStyle w:val="Brdtext"/>
        <w:numPr>
          <w:ilvl w:val="0"/>
          <w:numId w:val="9"/>
        </w:numPr>
      </w:pPr>
      <w:r>
        <w:t>Mekaniska fel (långa avbrott)</w:t>
      </w:r>
      <w:r w:rsidR="00553241">
        <w:t>, samt</w:t>
      </w:r>
    </w:p>
    <w:p w:rsidR="000D68DD" w:rsidRDefault="00553241" w:rsidP="00FD79A3">
      <w:pPr>
        <w:pStyle w:val="Brdtext"/>
        <w:numPr>
          <w:ilvl w:val="0"/>
          <w:numId w:val="9"/>
        </w:numPr>
      </w:pPr>
      <w:r>
        <w:t>Fel i kontroll- och styrutrustning</w:t>
      </w:r>
    </w:p>
    <w:p w:rsidR="00CD6C12" w:rsidRDefault="00222F42" w:rsidP="00672DCF">
      <w:pPr>
        <w:pStyle w:val="Brdtext"/>
      </w:pPr>
      <w:r>
        <w:t xml:space="preserve">Fjärrvärmebranschen har genom åren lagt ned mycket arbete </w:t>
      </w:r>
      <w:r w:rsidR="004728E3">
        <w:t>i</w:t>
      </w:r>
      <w:r>
        <w:t xml:space="preserve"> </w:t>
      </w:r>
      <w:r w:rsidRPr="00090D4C">
        <w:rPr>
          <w:i/>
        </w:rPr>
        <w:t>distributions</w:t>
      </w:r>
      <w:r w:rsidR="004728E3">
        <w:rPr>
          <w:i/>
        </w:rPr>
        <w:t>ledet</w:t>
      </w:r>
      <w:r w:rsidRPr="00090D4C">
        <w:rPr>
          <w:i/>
        </w:rPr>
        <w:t xml:space="preserve"> </w:t>
      </w:r>
      <w:r>
        <w:t>för att få fram mer tillförlitliga kulvertkonstruktioner och skarvsyste</w:t>
      </w:r>
      <w:r w:rsidR="00334DCB">
        <w:t>m</w:t>
      </w:r>
      <w:r>
        <w:t xml:space="preserve"> för </w:t>
      </w:r>
      <w:r w:rsidR="00334DCB">
        <w:t>fjärrvärmeledningar</w:t>
      </w:r>
      <w:r>
        <w:t xml:space="preserve">. </w:t>
      </w:r>
      <w:r w:rsidR="00CD6C12">
        <w:t>Det pågår</w:t>
      </w:r>
      <w:r w:rsidR="001E71EA">
        <w:t xml:space="preserve"> både forsknings- och</w:t>
      </w:r>
      <w:r w:rsidR="00CD6C12">
        <w:t xml:space="preserve"> utvecklingsarbete</w:t>
      </w:r>
      <w:r w:rsidR="001E71EA">
        <w:t xml:space="preserve"> i branschen för att bland annat minska risken för skador.</w:t>
      </w:r>
      <w:r w:rsidR="00CD6C12">
        <w:t xml:space="preserve"> </w:t>
      </w:r>
      <w:r w:rsidR="00406D40">
        <w:t>Ett område som utvecklas handlar om</w:t>
      </w:r>
      <w:r w:rsidR="00CD6C12">
        <w:t xml:space="preserve"> statusbedömning av nedgrävda fjärrvärmerör.</w:t>
      </w:r>
      <w:r w:rsidR="001E71EA">
        <w:t xml:space="preserve"> Detta är dock ett utmanande område</w:t>
      </w:r>
      <w:r w:rsidR="00330E34">
        <w:t xml:space="preserve"> för företagen</w:t>
      </w:r>
      <w:r w:rsidR="00334DCB" w:rsidRPr="00334DCB">
        <w:t xml:space="preserve"> </w:t>
      </w:r>
      <w:r w:rsidR="00334DCB">
        <w:t>på grund av de olika ledningstypernas uppbyggnadssätt</w:t>
      </w:r>
      <w:r w:rsidR="001E71EA">
        <w:t xml:space="preserve">. </w:t>
      </w:r>
    </w:p>
    <w:p w:rsidR="00090D4C" w:rsidRDefault="00090D4C" w:rsidP="00672DCF">
      <w:pPr>
        <w:pStyle w:val="Brdtext"/>
      </w:pPr>
      <w:r>
        <w:t>De avbrott som sker i distributionsledet orsakas i regel av läckage.</w:t>
      </w:r>
    </w:p>
    <w:p w:rsidR="00520DB9" w:rsidRDefault="00520DB9" w:rsidP="00520DB9">
      <w:pPr>
        <w:pStyle w:val="Rubrik3"/>
      </w:pPr>
      <w:r>
        <w:t>Beredskap då avbrott ändå inträffar</w:t>
      </w:r>
    </w:p>
    <w:p w:rsidR="00B030B5" w:rsidRDefault="00B030B5" w:rsidP="00672DCF">
      <w:pPr>
        <w:pStyle w:val="Brdtext"/>
      </w:pPr>
      <w:r>
        <w:t>Störningar, olyckor och haverier i produktionsledet leder sällan till långa avbrott i fjärrvärmeleveransen. Detta beror i regel på att de flesta f</w:t>
      </w:r>
      <w:r w:rsidR="00212DDD">
        <w:t>järrvärmesystem</w:t>
      </w:r>
      <w:r>
        <w:t xml:space="preserve"> har reserv- eller spetslastpannor som snabbt kan startas</w:t>
      </w:r>
      <w:r w:rsidR="00212DDD">
        <w:t xml:space="preserve"> – åtminstone i kommunens centralort</w:t>
      </w:r>
      <w:r>
        <w:t xml:space="preserve">. Filosofin </w:t>
      </w:r>
      <w:r w:rsidR="007216BD">
        <w:t>har oftast varit</w:t>
      </w:r>
      <w:r>
        <w:t xml:space="preserve"> motsvarande ”N-1”, dvs</w:t>
      </w:r>
      <w:r w:rsidR="00947278">
        <w:t>.</w:t>
      </w:r>
      <w:r>
        <w:t xml:space="preserve"> att man vill ha full </w:t>
      </w:r>
      <w:r>
        <w:lastRenderedPageBreak/>
        <w:t>reserv för den största enheten – även under den kallaste dagen.</w:t>
      </w:r>
      <w:r w:rsidR="008A7B67">
        <w:t xml:space="preserve"> Hur detta ser ut i praktiken har dock inte kartlagts inom ramen för denna utredning. I några</w:t>
      </w:r>
      <w:r>
        <w:t xml:space="preserve"> fall har näten i närliggande tät</w:t>
      </w:r>
      <w:r w:rsidR="008A7B67">
        <w:t>orter byggts samman, vilket för dessa orter</w:t>
      </w:r>
      <w:r>
        <w:t xml:space="preserve"> ger en</w:t>
      </w:r>
      <w:r w:rsidR="008A7B67">
        <w:t xml:space="preserve"> större redundans</w:t>
      </w:r>
      <w:r>
        <w:t>.</w:t>
      </w:r>
      <w:r w:rsidR="00212DDD">
        <w:t xml:space="preserve"> </w:t>
      </w:r>
    </w:p>
    <w:p w:rsidR="00672DCF" w:rsidRDefault="00672DCF" w:rsidP="00672DCF">
      <w:pPr>
        <w:pStyle w:val="Brdtext"/>
      </w:pPr>
      <w:r>
        <w:t>Beredska</w:t>
      </w:r>
      <w:r w:rsidR="00520DB9">
        <w:t>psresurser hos fjärrvärmeföretage</w:t>
      </w:r>
      <w:r w:rsidR="00363043">
        <w:t>n</w:t>
      </w:r>
      <w:r>
        <w:t xml:space="preserve"> utgörs</w:t>
      </w:r>
      <w:r w:rsidR="001E71EA">
        <w:t xml:space="preserve"> allmänt </w:t>
      </w:r>
      <w:r>
        <w:t>exempel</w:t>
      </w:r>
      <w:r w:rsidR="001E71EA">
        <w:t>vis</w:t>
      </w:r>
      <w:r>
        <w:t xml:space="preserve"> av reservmateriel</w:t>
      </w:r>
      <w:r w:rsidRPr="000D740D">
        <w:t xml:space="preserve"> (eget eller via reservdelspooler), grönfärgat vatten för att upptäcka eventuella läckage, larmenheter i distributionsnätet</w:t>
      </w:r>
      <w:r>
        <w:t>, mobila oljepannor, reservanlä</w:t>
      </w:r>
      <w:r w:rsidR="008D411D">
        <w:t xml:space="preserve">ggningar, reservkraft och </w:t>
      </w:r>
      <w:r>
        <w:t>bränsle</w:t>
      </w:r>
      <w:r w:rsidRPr="000D740D">
        <w:t>lager</w:t>
      </w:r>
      <w:r w:rsidR="008D411D">
        <w:t xml:space="preserve"> till reservpannor</w:t>
      </w:r>
      <w:r>
        <w:t xml:space="preserve">. </w:t>
      </w:r>
      <w:r w:rsidR="00520DB9">
        <w:t>Företagen har vidare någon form av beredskapsbemanning (egen personal eller entreprenörer) och rutiner för olika typer av reparationsarbete. I viss mån har företagen även rutiner för kommunikation med kunder, allmänhet och den kommunala organisationen.</w:t>
      </w:r>
    </w:p>
    <w:p w:rsidR="00665E4F" w:rsidRDefault="00090D4C">
      <w:pPr>
        <w:pStyle w:val="Brdtext"/>
      </w:pPr>
      <w:r>
        <w:t xml:space="preserve">I typiska fjärrvärmesystem är </w:t>
      </w:r>
      <w:r w:rsidR="0054458D">
        <w:t xml:space="preserve">ledningarna </w:t>
      </w:r>
      <w:r>
        <w:t xml:space="preserve">i centrala delar och vid </w:t>
      </w:r>
      <w:r w:rsidR="0054458D">
        <w:t xml:space="preserve">utmatningar </w:t>
      </w:r>
      <w:r>
        <w:t xml:space="preserve">från </w:t>
      </w:r>
      <w:r w:rsidR="008D411D">
        <w:t>produktionsanläggningarna mycket grova, och</w:t>
      </w:r>
      <w:r>
        <w:t xml:space="preserve"> ofta av äldre </w:t>
      </w:r>
      <w:r w:rsidR="0054458D">
        <w:t>lednings</w:t>
      </w:r>
      <w:r>
        <w:t>typer. Risken för stora läckage och avbrott är därmed större i dessa</w:t>
      </w:r>
      <w:r w:rsidR="0054458D">
        <w:t xml:space="preserve"> (äldre)</w:t>
      </w:r>
      <w:r>
        <w:t xml:space="preserve"> delar, och när avbrott inträffar blir det mycket stora bebyggelseområden som drabbas.</w:t>
      </w:r>
      <w:r w:rsidRPr="00CD6C12">
        <w:t xml:space="preserve"> </w:t>
      </w:r>
      <w:r w:rsidR="008D411D">
        <w:t>I större nät</w:t>
      </w:r>
      <w:r>
        <w:t xml:space="preserve"> finns ofta relativt goda möjligheter till sektionering och rundmatning för de centrala delarna av nätet, något som kan begränsa antalet </w:t>
      </w:r>
      <w:r w:rsidR="00512365">
        <w:t xml:space="preserve">långvarigt </w:t>
      </w:r>
      <w:r>
        <w:t>drabbade vid skador och reparationsarbete.</w:t>
      </w:r>
      <w:r w:rsidR="008D411D">
        <w:t xml:space="preserve"> Detta gäller dock sällan för mindre nät.</w:t>
      </w:r>
      <w:r>
        <w:t xml:space="preserve"> </w:t>
      </w:r>
    </w:p>
    <w:p w:rsidR="00406D40" w:rsidRDefault="00406D40">
      <w:pPr>
        <w:pStyle w:val="Rubrik3"/>
      </w:pPr>
      <w:r>
        <w:t>Branschgemensamt arbete</w:t>
      </w:r>
    </w:p>
    <w:p w:rsidR="00406D40" w:rsidRDefault="008D411D" w:rsidP="00406D40">
      <w:pPr>
        <w:pStyle w:val="Brdtext"/>
      </w:pPr>
      <w:r>
        <w:t>Fjärrvärmeföretagen</w:t>
      </w:r>
      <w:r w:rsidR="00406D40">
        <w:t xml:space="preserve"> samverkar i hög grad genom branschföreningen Svensk Fjärrvärme. Föreningen driver en lång rad gemensamma frågor gentemot myndigheter, regering och riksdag. Svensk Fjärrvärme är också ett organ för informationsutbyte och utredningar av olika slag inom branschen. </w:t>
      </w:r>
    </w:p>
    <w:p w:rsidR="00406D40" w:rsidRDefault="00406D40" w:rsidP="00406D40">
      <w:pPr>
        <w:pStyle w:val="Brdtext"/>
      </w:pPr>
      <w:r>
        <w:t xml:space="preserve">När det gäller försörjningstrygghet arbetar föreningen aktivt med standardisering </w:t>
      </w:r>
      <w:r w:rsidR="0054458D">
        <w:t xml:space="preserve">nationellt och internationellt </w:t>
      </w:r>
      <w:r>
        <w:t xml:space="preserve">och tekniska bestämmelser, </w:t>
      </w:r>
      <w:r w:rsidR="00AC4F37">
        <w:t xml:space="preserve">exempelvis genom att </w:t>
      </w:r>
      <w:r>
        <w:t>beskriv</w:t>
      </w:r>
      <w:r w:rsidR="00AC4F37">
        <w:t>a</w:t>
      </w:r>
      <w:r>
        <w:t xml:space="preserve"> hur statusbedömningar av ledningar ska ske, visa på metoder för risk- och sårbarhetsbedömningar, samla in skadestatistik med mera. Därutöver initierar föreningen forskningsprojekt där de bedömer att kunskapsluckor finns. D</w:t>
      </w:r>
      <w:r w:rsidR="00D10D97">
        <w:t xml:space="preserve">e har också </w:t>
      </w:r>
      <w:r w:rsidR="0054458D">
        <w:t>tagit fram en underhållshandbok för fjärrvärmedistribution som publicerats i december 2015. Underhållshandboken beskriver hur fjärrvärmeföretagen arbetar med förebyggande och avhjälpande underhåll.</w:t>
      </w:r>
    </w:p>
    <w:p w:rsidR="00947278" w:rsidRPr="00947278" w:rsidRDefault="00947278" w:rsidP="00947278">
      <w:pPr>
        <w:pStyle w:val="Brdtext"/>
      </w:pPr>
      <w:r>
        <w:t>Många fjärrvärmeföretag är även medlemmar i d</w:t>
      </w:r>
      <w:r w:rsidRPr="00947278">
        <w:t>en ekonomisk</w:t>
      </w:r>
      <w:r>
        <w:t>a</w:t>
      </w:r>
      <w:r w:rsidRPr="00947278">
        <w:t xml:space="preserve"> förening</w:t>
      </w:r>
      <w:r>
        <w:t>en</w:t>
      </w:r>
      <w:r w:rsidRPr="00947278">
        <w:t xml:space="preserve"> </w:t>
      </w:r>
      <w:r>
        <w:t>VÄRMEK. Föreningens h</w:t>
      </w:r>
      <w:r w:rsidRPr="00947278">
        <w:t>uvudsyfte är att sköta upphandlingar av produkter och tjänster för försörjningssektorn</w:t>
      </w:r>
      <w:r>
        <w:t xml:space="preserve">. </w:t>
      </w:r>
    </w:p>
    <w:p w:rsidR="005C717D" w:rsidRDefault="005C717D" w:rsidP="005C717D">
      <w:pPr>
        <w:pStyle w:val="Rubrik3"/>
      </w:pPr>
      <w:bookmarkStart w:id="68" w:name="_Ref437434437"/>
      <w:r>
        <w:t>Avbrottsstatistik</w:t>
      </w:r>
      <w:r w:rsidR="00055321">
        <w:t xml:space="preserve"> och insamling av erfarenheter</w:t>
      </w:r>
      <w:r w:rsidR="008D411D">
        <w:t xml:space="preserve"> från företagen</w:t>
      </w:r>
      <w:bookmarkEnd w:id="68"/>
    </w:p>
    <w:p w:rsidR="005C717D" w:rsidRDefault="005C717D" w:rsidP="005C717D">
      <w:pPr>
        <w:pStyle w:val="Brdtext"/>
      </w:pPr>
      <w:r>
        <w:t xml:space="preserve">Branschen hade många år ett gemensamt register för skaderapportering. Detta har av olika skäl legat nere under ett tiotal år, men har helt nyligen tagits upp igen. Så med tiden kommer det sannolikt att finnas en relativt stor databas där branschen kan dra lärdomar från varandra på många nivåer. </w:t>
      </w:r>
      <w:r w:rsidR="00090D4C">
        <w:t xml:space="preserve">Detta är dock beroende </w:t>
      </w:r>
      <w:r w:rsidR="00363043">
        <w:t xml:space="preserve">av </w:t>
      </w:r>
      <w:r w:rsidR="00090D4C">
        <w:t>i vilken grad företagen kontinuerligt rapporterar in skador och incidenter.</w:t>
      </w:r>
    </w:p>
    <w:p w:rsidR="00E05A1D" w:rsidRDefault="00E05A1D" w:rsidP="005C717D">
      <w:pPr>
        <w:pStyle w:val="Brdtext"/>
      </w:pPr>
      <w:r>
        <w:lastRenderedPageBreak/>
        <w:t>Många företag upprättar någon form av dokume</w:t>
      </w:r>
      <w:r w:rsidR="004B5B8D">
        <w:t>ntation vid skador och olyckor. H</w:t>
      </w:r>
      <w:r>
        <w:t>ur många som faktiskt har interna incidentrapporteringssystem</w:t>
      </w:r>
      <w:r w:rsidR="004B5B8D">
        <w:t xml:space="preserve"> och vad som registreras i dessa har dock inte kartlagts inom ramen för denna utredning.</w:t>
      </w:r>
    </w:p>
    <w:p w:rsidR="005C717D" w:rsidRDefault="005C717D" w:rsidP="005C717D">
      <w:pPr>
        <w:pStyle w:val="Brdtext"/>
      </w:pPr>
      <w:r>
        <w:t>Energimarknadsinspektionen</w:t>
      </w:r>
      <w:r w:rsidR="008F6F33">
        <w:t xml:space="preserve"> (Ei)</w:t>
      </w:r>
      <w:r>
        <w:t xml:space="preserve"> </w:t>
      </w:r>
      <w:r w:rsidR="00B2013E">
        <w:t>samlar</w:t>
      </w:r>
      <w:r>
        <w:t xml:space="preserve"> in uppgifter om avbrottsfrekvens från alla fjärrvärmeföretag</w:t>
      </w:r>
      <w:r w:rsidR="00B2013E">
        <w:t>, som en del av drift- och affärsförhållanden</w:t>
      </w:r>
      <w:r>
        <w:t xml:space="preserve">. Eftersom det inte </w:t>
      </w:r>
      <w:r w:rsidR="00B2013E">
        <w:t xml:space="preserve">finns </w:t>
      </w:r>
      <w:r>
        <w:t xml:space="preserve">någon vedertagen definition av ett fjärrvärmeavbrott saknas uppgifter om exempelvis </w:t>
      </w:r>
      <w:r w:rsidR="008F6F33">
        <w:t>avbrottstider eller hur många slutanvändare som drabbades. Man kan anta att många av dessa avbrott knappast märks hos användarna över huvud taget. Antalet ger dock en indikation på hur ofta incidenter inträffar.</w:t>
      </w:r>
    </w:p>
    <w:p w:rsidR="00CD6F48" w:rsidRDefault="00CD6F48" w:rsidP="00CD6F48">
      <w:pPr>
        <w:pStyle w:val="Beskrivning"/>
        <w:keepNext/>
      </w:pPr>
      <w:r>
        <w:t xml:space="preserve">Tabell </w:t>
      </w:r>
      <w:r w:rsidR="008E24DA">
        <w:fldChar w:fldCharType="begin"/>
      </w:r>
      <w:r w:rsidR="008E24DA">
        <w:instrText xml:space="preserve"> SEQ Tabell \* ARABIC </w:instrText>
      </w:r>
      <w:r w:rsidR="008E24DA">
        <w:fldChar w:fldCharType="separate"/>
      </w:r>
      <w:r w:rsidR="000A5878">
        <w:rPr>
          <w:noProof/>
        </w:rPr>
        <w:t>3</w:t>
      </w:r>
      <w:r w:rsidR="008E24DA">
        <w:rPr>
          <w:noProof/>
        </w:rPr>
        <w:fldChar w:fldCharType="end"/>
      </w:r>
      <w:r>
        <w:t xml:space="preserve"> Statistik från E</w:t>
      </w:r>
      <w:r w:rsidR="00AC4F37">
        <w:t>nergimarknadsinspektionen</w:t>
      </w:r>
      <w:r>
        <w:t xml:space="preserve"> gällande avbrott i fjärrvärmen</w:t>
      </w:r>
      <w:r w:rsidR="00B2013E">
        <w:t xml:space="preserve"> åren 2009-2011</w:t>
      </w:r>
    </w:p>
    <w:tbl>
      <w:tblPr>
        <w:tblStyle w:val="Tabellrutnt"/>
        <w:tblW w:w="0" w:type="auto"/>
        <w:tblLook w:val="04A0" w:firstRow="1" w:lastRow="0" w:firstColumn="1" w:lastColumn="0" w:noHBand="0" w:noVBand="1"/>
      </w:tblPr>
      <w:tblGrid>
        <w:gridCol w:w="2240"/>
        <w:gridCol w:w="1970"/>
        <w:gridCol w:w="1971"/>
        <w:gridCol w:w="1971"/>
      </w:tblGrid>
      <w:tr w:rsidR="008F6F33" w:rsidTr="00880B30">
        <w:tc>
          <w:tcPr>
            <w:tcW w:w="2265" w:type="dxa"/>
          </w:tcPr>
          <w:p w:rsidR="008F6F33" w:rsidRPr="008F6F33" w:rsidRDefault="008F6F33" w:rsidP="00880B30">
            <w:pPr>
              <w:rPr>
                <w:i/>
              </w:rPr>
            </w:pPr>
            <w:r w:rsidRPr="008F6F33">
              <w:rPr>
                <w:i/>
              </w:rPr>
              <w:t>Antal avbrott i fjärrvärmekulvertar</w:t>
            </w:r>
          </w:p>
        </w:tc>
        <w:tc>
          <w:tcPr>
            <w:tcW w:w="2265" w:type="dxa"/>
          </w:tcPr>
          <w:p w:rsidR="008F6F33" w:rsidRPr="008F6F33" w:rsidRDefault="008F6F33" w:rsidP="00880B30">
            <w:pPr>
              <w:rPr>
                <w:b/>
                <w:i/>
              </w:rPr>
            </w:pPr>
            <w:r w:rsidRPr="008F6F33">
              <w:rPr>
                <w:b/>
                <w:i/>
              </w:rPr>
              <w:t>2009</w:t>
            </w:r>
          </w:p>
        </w:tc>
        <w:tc>
          <w:tcPr>
            <w:tcW w:w="2266" w:type="dxa"/>
          </w:tcPr>
          <w:p w:rsidR="008F6F33" w:rsidRPr="008F6F33" w:rsidRDefault="008F6F33" w:rsidP="00880B30">
            <w:pPr>
              <w:rPr>
                <w:b/>
                <w:i/>
              </w:rPr>
            </w:pPr>
            <w:r w:rsidRPr="008F6F33">
              <w:rPr>
                <w:b/>
                <w:i/>
              </w:rPr>
              <w:t>2010</w:t>
            </w:r>
          </w:p>
        </w:tc>
        <w:tc>
          <w:tcPr>
            <w:tcW w:w="2266" w:type="dxa"/>
          </w:tcPr>
          <w:p w:rsidR="008F6F33" w:rsidRPr="008F6F33" w:rsidRDefault="008F6F33" w:rsidP="00880B30">
            <w:pPr>
              <w:rPr>
                <w:b/>
                <w:i/>
              </w:rPr>
            </w:pPr>
            <w:r w:rsidRPr="008F6F33">
              <w:rPr>
                <w:b/>
                <w:i/>
              </w:rPr>
              <w:t>2011</w:t>
            </w:r>
          </w:p>
        </w:tc>
      </w:tr>
      <w:tr w:rsidR="008F6F33" w:rsidTr="00880B30">
        <w:tc>
          <w:tcPr>
            <w:tcW w:w="2265" w:type="dxa"/>
          </w:tcPr>
          <w:p w:rsidR="008F6F33" w:rsidRPr="008F6F33" w:rsidRDefault="008F6F33" w:rsidP="00880B30">
            <w:pPr>
              <w:rPr>
                <w:i/>
              </w:rPr>
            </w:pPr>
            <w:r w:rsidRPr="008F6F33">
              <w:rPr>
                <w:i/>
              </w:rPr>
              <w:t xml:space="preserve">Aviserade </w:t>
            </w:r>
          </w:p>
        </w:tc>
        <w:tc>
          <w:tcPr>
            <w:tcW w:w="2265" w:type="dxa"/>
          </w:tcPr>
          <w:p w:rsidR="008F6F33" w:rsidRPr="008F6F33" w:rsidRDefault="008F6F33" w:rsidP="00880B30">
            <w:pPr>
              <w:rPr>
                <w:i/>
              </w:rPr>
            </w:pPr>
            <w:r w:rsidRPr="008F6F33">
              <w:rPr>
                <w:i/>
              </w:rPr>
              <w:t>2446</w:t>
            </w:r>
          </w:p>
        </w:tc>
        <w:tc>
          <w:tcPr>
            <w:tcW w:w="2266" w:type="dxa"/>
          </w:tcPr>
          <w:p w:rsidR="008F6F33" w:rsidRPr="008F6F33" w:rsidRDefault="008F6F33" w:rsidP="00880B30">
            <w:pPr>
              <w:rPr>
                <w:i/>
              </w:rPr>
            </w:pPr>
            <w:r w:rsidRPr="008F6F33">
              <w:rPr>
                <w:i/>
              </w:rPr>
              <w:t>3189</w:t>
            </w:r>
          </w:p>
        </w:tc>
        <w:tc>
          <w:tcPr>
            <w:tcW w:w="2266" w:type="dxa"/>
          </w:tcPr>
          <w:p w:rsidR="008F6F33" w:rsidRPr="008F6F33" w:rsidRDefault="008F6F33" w:rsidP="00880B30">
            <w:pPr>
              <w:rPr>
                <w:i/>
              </w:rPr>
            </w:pPr>
            <w:r w:rsidRPr="008F6F33">
              <w:rPr>
                <w:i/>
              </w:rPr>
              <w:t>3386</w:t>
            </w:r>
          </w:p>
        </w:tc>
      </w:tr>
      <w:tr w:rsidR="008F6F33" w:rsidTr="00880B30">
        <w:tc>
          <w:tcPr>
            <w:tcW w:w="2265" w:type="dxa"/>
          </w:tcPr>
          <w:p w:rsidR="008F6F33" w:rsidRPr="008F6F33" w:rsidRDefault="008F6F33" w:rsidP="00880B30">
            <w:pPr>
              <w:rPr>
                <w:i/>
              </w:rPr>
            </w:pPr>
            <w:r w:rsidRPr="008F6F33">
              <w:rPr>
                <w:i/>
              </w:rPr>
              <w:t xml:space="preserve">Oaviserade </w:t>
            </w:r>
          </w:p>
        </w:tc>
        <w:tc>
          <w:tcPr>
            <w:tcW w:w="2265" w:type="dxa"/>
          </w:tcPr>
          <w:p w:rsidR="008F6F33" w:rsidRPr="008F6F33" w:rsidRDefault="008F6F33" w:rsidP="00880B30">
            <w:pPr>
              <w:rPr>
                <w:i/>
              </w:rPr>
            </w:pPr>
            <w:r w:rsidRPr="008F6F33">
              <w:rPr>
                <w:i/>
              </w:rPr>
              <w:t>493</w:t>
            </w:r>
          </w:p>
        </w:tc>
        <w:tc>
          <w:tcPr>
            <w:tcW w:w="2266" w:type="dxa"/>
          </w:tcPr>
          <w:p w:rsidR="008F6F33" w:rsidRPr="008F6F33" w:rsidRDefault="008F6F33" w:rsidP="00880B30">
            <w:pPr>
              <w:rPr>
                <w:i/>
              </w:rPr>
            </w:pPr>
            <w:r w:rsidRPr="008F6F33">
              <w:rPr>
                <w:i/>
              </w:rPr>
              <w:t>807</w:t>
            </w:r>
          </w:p>
        </w:tc>
        <w:tc>
          <w:tcPr>
            <w:tcW w:w="2266" w:type="dxa"/>
          </w:tcPr>
          <w:p w:rsidR="008F6F33" w:rsidRPr="008F6F33" w:rsidRDefault="008F6F33" w:rsidP="00880B30">
            <w:pPr>
              <w:rPr>
                <w:i/>
              </w:rPr>
            </w:pPr>
            <w:r w:rsidRPr="008F6F33">
              <w:rPr>
                <w:i/>
              </w:rPr>
              <w:t>943</w:t>
            </w:r>
          </w:p>
        </w:tc>
      </w:tr>
    </w:tbl>
    <w:p w:rsidR="00090D4C" w:rsidRPr="008F6F33" w:rsidRDefault="00090D4C" w:rsidP="00090D4C">
      <w:pPr>
        <w:pStyle w:val="Tabelltext"/>
      </w:pPr>
    </w:p>
    <w:p w:rsidR="008F6F33" w:rsidRDefault="008F6F33" w:rsidP="008F6F33">
      <w:pPr>
        <w:pStyle w:val="Brdtext"/>
      </w:pPr>
      <w:r w:rsidRPr="008F6F33">
        <w:t xml:space="preserve">Under åren 2011 – 2014 samlade Energimyndigheten in mer detaljerade uppgifter om avbrott och andra störningar i fjärrvärme. Totalt omfattade tiden tre uppvärmningssäsonger och två sommarperioder. Uppgifter samlades </w:t>
      </w:r>
      <w:r w:rsidR="00E05A1D">
        <w:t>endast</w:t>
      </w:r>
      <w:r w:rsidRPr="008F6F33">
        <w:t xml:space="preserve"> in för oaviserade avbrott och störningar</w:t>
      </w:r>
      <w:r>
        <w:t>,</w:t>
      </w:r>
      <w:r w:rsidRPr="008F6F33">
        <w:t xml:space="preserve"> och bara för sådana som blev rapporterade i media. Det handlar alltså om påtagliga störningar som kunderna och media har märkt. Insamlingen gjordes</w:t>
      </w:r>
      <w:r w:rsidR="00E05A1D">
        <w:t xml:space="preserve"> sedan</w:t>
      </w:r>
      <w:r w:rsidRPr="008F6F33">
        <w:t xml:space="preserve"> genom uppringning till varje fjärrvärmeföretag och frågor till driftpersonal. </w:t>
      </w:r>
    </w:p>
    <w:p w:rsidR="0057079C" w:rsidRDefault="00111490" w:rsidP="008F6F33">
      <w:pPr>
        <w:pStyle w:val="Brdtext"/>
      </w:pPr>
      <w:r>
        <w:t>Undersökningen indikerar bland annat</w:t>
      </w:r>
      <w:r w:rsidR="0057079C">
        <w:t xml:space="preserve"> att orsakerna till avbrott f</w:t>
      </w:r>
      <w:r>
        <w:t>i</w:t>
      </w:r>
      <w:r w:rsidR="0057079C">
        <w:t>nns lika ofta i produktionsledet som i distributionsledet, men att avbrottstiderna blev längre vid läckage i distributionen</w:t>
      </w:r>
      <w:r w:rsidR="00363043">
        <w:t>, vilket illustreras i figur 16 nedan</w:t>
      </w:r>
      <w:r w:rsidR="0057079C">
        <w:t>.</w:t>
      </w:r>
      <w:r>
        <w:t xml:space="preserve"> </w:t>
      </w:r>
    </w:p>
    <w:p w:rsidR="00CD6F48" w:rsidRPr="008F6F33" w:rsidRDefault="00CD6F48" w:rsidP="00CD6F48">
      <w:pPr>
        <w:pStyle w:val="Beskrivning"/>
        <w:keepNext/>
      </w:pPr>
      <w:r>
        <w:lastRenderedPageBreak/>
        <w:t xml:space="preserve">Figur </w:t>
      </w:r>
      <w:r w:rsidR="008E24DA">
        <w:fldChar w:fldCharType="begin"/>
      </w:r>
      <w:r w:rsidR="008E24DA">
        <w:instrText xml:space="preserve"> SEQ Figur \* ARABIC </w:instrText>
      </w:r>
      <w:r w:rsidR="008E24DA">
        <w:fldChar w:fldCharType="separate"/>
      </w:r>
      <w:r w:rsidR="000A5878">
        <w:rPr>
          <w:noProof/>
        </w:rPr>
        <w:t>15</w:t>
      </w:r>
      <w:r w:rsidR="008E24DA">
        <w:rPr>
          <w:noProof/>
        </w:rPr>
        <w:fldChar w:fldCharType="end"/>
      </w:r>
      <w:r w:rsidR="00363043">
        <w:rPr>
          <w:noProof/>
        </w:rPr>
        <w:t xml:space="preserve"> Avbrottstider och orsakernas fördelning</w:t>
      </w:r>
      <w:r w:rsidR="002F1EC0">
        <w:rPr>
          <w:noProof/>
        </w:rPr>
        <w:t>.</w:t>
      </w:r>
      <w:r>
        <w:t xml:space="preserve"> Från Energimyndighetens incidentrapportering i fjärrvärmen, 2011-2014</w:t>
      </w:r>
      <w:r w:rsidR="00474FB2">
        <w:t>. Underlag: totalt ca 210 st avbrott.</w:t>
      </w:r>
    </w:p>
    <w:p w:rsidR="003C08A2" w:rsidRPr="0057079C" w:rsidRDefault="0057079C" w:rsidP="00F40233">
      <w:pPr>
        <w:pStyle w:val="Brdtext"/>
      </w:pPr>
      <w:r>
        <w:rPr>
          <w:noProof/>
        </w:rPr>
        <w:drawing>
          <wp:inline distT="0" distB="0" distL="0" distR="0" wp14:anchorId="186B49C4" wp14:editId="66F9A1CB">
            <wp:extent cx="5039360" cy="3343143"/>
            <wp:effectExtent l="0" t="0" r="27940" b="10160"/>
            <wp:docPr id="47" name="Diagram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7079C" w:rsidRPr="0057079C" w:rsidRDefault="0057079C" w:rsidP="0057079C">
      <w:pPr>
        <w:pStyle w:val="Brdtext"/>
      </w:pPr>
    </w:p>
    <w:p w:rsidR="001E71EA" w:rsidRDefault="001E71EA" w:rsidP="001E71EA">
      <w:pPr>
        <w:pStyle w:val="Rubrik2"/>
      </w:pPr>
      <w:bookmarkStart w:id="69" w:name="_Toc438471439"/>
      <w:r>
        <w:t>Särskilda svagheter och sårbarheter</w:t>
      </w:r>
      <w:bookmarkEnd w:id="69"/>
    </w:p>
    <w:p w:rsidR="006E1835" w:rsidRDefault="006E1835" w:rsidP="0029230F">
      <w:pPr>
        <w:pStyle w:val="Rubrik3"/>
      </w:pPr>
      <w:r>
        <w:t>Risk- och sårbarhetsanalyser</w:t>
      </w:r>
      <w:r w:rsidR="00DF0941">
        <w:t xml:space="preserve"> (RSA)</w:t>
      </w:r>
    </w:p>
    <w:p w:rsidR="00B15F83" w:rsidRDefault="00B15F83" w:rsidP="00B15F83">
      <w:pPr>
        <w:pStyle w:val="Brdtext"/>
      </w:pPr>
      <w:r>
        <w:t>På detta område är bilden ganska mångfacetterad i fjärrvärmebranschen. Vissa företag har kommit relativt långt med ett strukturerat arbete för bedömning av risker och sårbarheter, på såväl strategisk som operativ nivå. Några låter dessa vara en av utgångspunkterna i företagets flerårsplaner för förebyggande underhåll och förnyelseplanering. Andra har en rudimentär nivå på sitt arbete med RSA. Det är inte ovanligt att någon form av RSA görs på relativt hög abstraktionsnivå i företaget – ofta med betoning på produktionsanläggningarna. Ofta görs ingen strukturerad riskbedömning av distributionsnäten.</w:t>
      </w:r>
    </w:p>
    <w:p w:rsidR="008D411D" w:rsidRDefault="008D411D" w:rsidP="00B15F83">
      <w:pPr>
        <w:pStyle w:val="Brdtext"/>
      </w:pPr>
      <w:r>
        <w:t>Det finns ett pågående arbete i branschen för att utveckla användningen av riskbedömningsverktyg</w:t>
      </w:r>
      <w:r w:rsidR="00071C82">
        <w:t>, bland annat inom ramen för forskningsprogrammet Fjärrsyn. Dessa projekt har ofta fokus på fjärrvärmeledningarna, deras ålder och status, behovet av förebyggande och avhjälpande underhåll mm. Den samlade riskbilden berörs sällan. Se vidare avsnitt</w:t>
      </w:r>
      <w:r w:rsidR="00A961C6">
        <w:t xml:space="preserve"> </w:t>
      </w:r>
      <w:r w:rsidR="00A961C6">
        <w:fldChar w:fldCharType="begin"/>
      </w:r>
      <w:r w:rsidR="00A961C6">
        <w:instrText xml:space="preserve"> REF _Ref437441023 \r \h </w:instrText>
      </w:r>
      <w:r w:rsidR="00A961C6">
        <w:fldChar w:fldCharType="separate"/>
      </w:r>
      <w:r w:rsidR="000A5878">
        <w:t>6.1</w:t>
      </w:r>
      <w:r w:rsidR="00A961C6">
        <w:fldChar w:fldCharType="end"/>
      </w:r>
      <w:r w:rsidR="00071C82">
        <w:t>.</w:t>
      </w:r>
    </w:p>
    <w:p w:rsidR="008A7B67" w:rsidRPr="00985A7B" w:rsidRDefault="00D4476E" w:rsidP="008A7B67">
      <w:pPr>
        <w:pStyle w:val="Rubrik3"/>
      </w:pPr>
      <w:r>
        <w:t xml:space="preserve">Säkerhetsskydd inklusive </w:t>
      </w:r>
      <w:r w:rsidR="008A7B67" w:rsidRPr="00985A7B">
        <w:t>IT-beroende och informationssäkerhet</w:t>
      </w:r>
    </w:p>
    <w:p w:rsidR="008A7B67" w:rsidRPr="00985A7B" w:rsidRDefault="008A7B67" w:rsidP="008A7B67">
      <w:pPr>
        <w:pStyle w:val="Brdtext"/>
      </w:pPr>
      <w:r w:rsidRPr="00985A7B">
        <w:t xml:space="preserve">Hela värmeförsörjningskedjan är även starkt beroende av IT (infrastruktur för datanätverk, programvaror och personal med IT-profil) på samma sätt som elförsörjning.  Utan fungerande IT kan det bli stora eller mindre störningar i </w:t>
      </w:r>
      <w:r w:rsidRPr="00985A7B">
        <w:lastRenderedPageBreak/>
        <w:t>produktion och distribution av fjärrvärme</w:t>
      </w:r>
      <w:r w:rsidR="00AC4F37">
        <w:t>, allt</w:t>
      </w:r>
      <w:r w:rsidRPr="00985A7B">
        <w:t xml:space="preserve"> beroende av vilken t</w:t>
      </w:r>
      <w:r>
        <w:t>yp av informationssäkerhetshändelse</w:t>
      </w:r>
      <w:r w:rsidRPr="00985A7B">
        <w:t xml:space="preserve"> som orsakar störningen. </w:t>
      </w:r>
    </w:p>
    <w:p w:rsidR="008A7B67" w:rsidRPr="00985A7B" w:rsidRDefault="008A7B67" w:rsidP="008A7B67">
      <w:pPr>
        <w:pStyle w:val="Brdtext"/>
      </w:pPr>
      <w:r w:rsidRPr="00985A7B">
        <w:t xml:space="preserve">IT krävs för att kunna styra de pannor, pumpar, ventiler etc. som behövs för produktion och distribution av fjärrvärme.  Exempel på vitala IT-system är olika tekniska styrsystem, drift- och kontrollsystem men även system för elektronisk kommunikation (såsom telefoni och e-post) samt IT-system av mer administrativ karaktär (exempelvis affärssystem).  IT på ett fjärrvärmeföretag drivs i regel av egen IT-funktion med stöd av leverantörer som ofta är experter på sin produkt/programapplikation. </w:t>
      </w:r>
    </w:p>
    <w:p w:rsidR="008A7B67" w:rsidRPr="00985A7B" w:rsidRDefault="008A7B67" w:rsidP="008A7B67">
      <w:pPr>
        <w:pStyle w:val="Punktlista"/>
        <w:numPr>
          <w:ilvl w:val="0"/>
          <w:numId w:val="0"/>
        </w:numPr>
      </w:pPr>
      <w:r w:rsidRPr="00985A7B">
        <w:t>Fjärrvärmeföretagen har generellt flera kritiska informationstillgångar som de är beroende av för att kunna upprätthålla den samhällsvik</w:t>
      </w:r>
      <w:r>
        <w:t>tiga verksamheten, d</w:t>
      </w:r>
      <w:r w:rsidR="00AC4F37">
        <w:t>vs</w:t>
      </w:r>
      <w:r>
        <w:t>. fjärrvärme</w:t>
      </w:r>
      <w:r w:rsidRPr="00985A7B">
        <w:t>försörjningen:</w:t>
      </w:r>
    </w:p>
    <w:p w:rsidR="008A7B67" w:rsidRPr="00985A7B" w:rsidRDefault="008A7B67" w:rsidP="008A7B67">
      <w:pPr>
        <w:pStyle w:val="Punktlista"/>
        <w:numPr>
          <w:ilvl w:val="0"/>
          <w:numId w:val="1"/>
        </w:numPr>
      </w:pPr>
      <w:r w:rsidRPr="00985A7B">
        <w:t>Industriella informations- och styrsystem för produktion och distribution av fjärrvärme</w:t>
      </w:r>
    </w:p>
    <w:p w:rsidR="008A7B67" w:rsidRPr="00985A7B" w:rsidRDefault="008A7B67" w:rsidP="008A7B67">
      <w:pPr>
        <w:pStyle w:val="Punktlista"/>
        <w:numPr>
          <w:ilvl w:val="0"/>
          <w:numId w:val="1"/>
        </w:numPr>
      </w:pPr>
      <w:r w:rsidRPr="00985A7B">
        <w:t>Mät- och styrvärden för övervakning av produktion och distribution av fjärrvärme</w:t>
      </w:r>
    </w:p>
    <w:p w:rsidR="008A7B67" w:rsidRPr="00985A7B" w:rsidRDefault="008A7B67" w:rsidP="008A7B67">
      <w:pPr>
        <w:pStyle w:val="Punktlista"/>
        <w:numPr>
          <w:ilvl w:val="0"/>
          <w:numId w:val="1"/>
        </w:numPr>
      </w:pPr>
      <w:r w:rsidRPr="00985A7B">
        <w:t xml:space="preserve">Nyckelpersoner (Experter på fjärrvärmeföretagets IT-funktion eller hos leverantör) </w:t>
      </w:r>
    </w:p>
    <w:p w:rsidR="008A7B67" w:rsidRPr="00985A7B" w:rsidRDefault="008A7B67" w:rsidP="008A7B67">
      <w:pPr>
        <w:pStyle w:val="Punktlista"/>
        <w:numPr>
          <w:ilvl w:val="0"/>
          <w:numId w:val="1"/>
        </w:numPr>
      </w:pPr>
      <w:r w:rsidRPr="00985A7B">
        <w:t>Elektroniska kommunikationssystem, inkluderande talkommunikation (även telefoni) och dataöverföring</w:t>
      </w:r>
      <w:r w:rsidR="00AC4F37">
        <w:t>.</w:t>
      </w:r>
    </w:p>
    <w:p w:rsidR="008A7B67" w:rsidRPr="00985A7B" w:rsidRDefault="008A7B67" w:rsidP="008A7B67">
      <w:pPr>
        <w:pStyle w:val="Brdtext"/>
      </w:pPr>
      <w:r w:rsidRPr="00985A7B">
        <w:t xml:space="preserve">Energimyndigheten har identifierat risker och sårbarheter gällande informationssäkerhet </w:t>
      </w:r>
      <w:r w:rsidR="00AC4F37">
        <w:t>hos</w:t>
      </w:r>
      <w:r w:rsidRPr="00985A7B">
        <w:t xml:space="preserve"> bl.a. fjärrvärmeföretag, </w:t>
      </w:r>
      <w:r w:rsidR="00AC4F37">
        <w:t>vilket</w:t>
      </w:r>
      <w:r w:rsidRPr="00985A7B">
        <w:t xml:space="preserve"> redovisas i ”</w:t>
      </w:r>
      <w:r w:rsidRPr="00985A7B">
        <w:rPr>
          <w:bCs/>
        </w:rPr>
        <w:t>Risk- och sårbarhets</w:t>
      </w:r>
      <w:r w:rsidRPr="00985A7B">
        <w:rPr>
          <w:bCs/>
        </w:rPr>
        <w:softHyphen/>
        <w:t>analys över energiförsörjningen i Sverige år 2015”</w:t>
      </w:r>
      <w:r w:rsidRPr="00985A7B">
        <w:rPr>
          <w:rStyle w:val="Fotnotsreferens"/>
          <w:bCs/>
        </w:rPr>
        <w:footnoteReference w:id="31"/>
      </w:r>
      <w:r w:rsidRPr="00985A7B">
        <w:rPr>
          <w:bCs/>
        </w:rPr>
        <w:t>. D</w:t>
      </w:r>
      <w:r w:rsidRPr="00985A7B">
        <w:t>et kan konstateras att lägesbilden</w:t>
      </w:r>
      <w:r w:rsidR="00F33108">
        <w:t xml:space="preserve"> för denna bransch</w:t>
      </w:r>
      <w:r w:rsidRPr="00985A7B">
        <w:t xml:space="preserve"> i stort stämmer med slutsatserna som presenteras i Riksrevisionens rapport ”Informationssäkerheten i den civila statsförvaltningen” (RIR 2014:23), nämligen att det finns brister i framför allt den systematiska delen av informationssäkerhetsarbetet. </w:t>
      </w:r>
    </w:p>
    <w:p w:rsidR="008A7B67" w:rsidRPr="00985A7B" w:rsidRDefault="008A7B67" w:rsidP="008A7B67">
      <w:pPr>
        <w:pStyle w:val="Brdtext"/>
      </w:pPr>
      <w:r w:rsidRPr="00985A7B">
        <w:t xml:space="preserve">Bedömingen av nuläget för fjärrvärmeföretagen avseende informationssäkerhetsarbete enligt standarderna i ISO 27000-serien är att man oftast är i ett inledande skede och </w:t>
      </w:r>
      <w:r w:rsidR="00D41F53">
        <w:t>att kunskapsnivån kring detta överlag är låg</w:t>
      </w:r>
      <w:r w:rsidRPr="00985A7B">
        <w:t>. Företagen har kommit olika långt i detta arbete.</w:t>
      </w:r>
    </w:p>
    <w:p w:rsidR="00F414CF" w:rsidRDefault="008A7B67" w:rsidP="008A7B67">
      <w:pPr>
        <w:pStyle w:val="Brdtext"/>
        <w:rPr>
          <w:bCs/>
        </w:rPr>
      </w:pPr>
      <w:r w:rsidRPr="00985A7B">
        <w:t>Identifierade risker och sårbarheter som redovisas i ”Risk- och sårbarhetsanalys över energif</w:t>
      </w:r>
      <w:r>
        <w:t>örsörjningen i Sverige år 2015”</w:t>
      </w:r>
      <w:r w:rsidRPr="00985A7B">
        <w:t xml:space="preserve"> visar på de tre huvudområden (Medarbetare, </w:t>
      </w:r>
      <w:r w:rsidRPr="00A47197">
        <w:t>Organisation och Teknik</w:t>
      </w:r>
      <w:r w:rsidRPr="00985A7B">
        <w:t>) som är viktiga exempel på informationssäkerrisker för fjärrvärmeföretag</w:t>
      </w:r>
      <w:r>
        <w:t>.</w:t>
      </w:r>
      <w:r w:rsidR="00F33108">
        <w:t xml:space="preserve"> </w:t>
      </w:r>
      <w:r w:rsidR="00F33108">
        <w:rPr>
          <w:bCs/>
        </w:rPr>
        <w:t>D</w:t>
      </w:r>
      <w:r w:rsidRPr="00985A7B">
        <w:rPr>
          <w:bCs/>
        </w:rPr>
        <w:t>essa informationssäkerhetsrisker liknar de riskbilder som finns för</w:t>
      </w:r>
      <w:r w:rsidR="00AC4F37">
        <w:rPr>
          <w:bCs/>
        </w:rPr>
        <w:t xml:space="preserve"> exempelvis</w:t>
      </w:r>
      <w:r w:rsidRPr="00985A7B">
        <w:rPr>
          <w:bCs/>
        </w:rPr>
        <w:t xml:space="preserve"> elnätsföretag.  </w:t>
      </w:r>
    </w:p>
    <w:p w:rsidR="0085477B" w:rsidRPr="004728E3" w:rsidRDefault="00D4476E" w:rsidP="00D8442F">
      <w:pPr>
        <w:pStyle w:val="Brdtext"/>
      </w:pPr>
      <w:r w:rsidRPr="00985A7B">
        <w:t xml:space="preserve">En viktig del i informationssäkerhetsarbetet är även att systematiskt arbeta med kontinuitetsplanering för att säkerställa drift av produktion och distribution. </w:t>
      </w:r>
    </w:p>
    <w:p w:rsidR="005E1F61" w:rsidRDefault="00727759" w:rsidP="0029230F">
      <w:pPr>
        <w:pStyle w:val="Rubrik3"/>
      </w:pPr>
      <w:r>
        <w:lastRenderedPageBreak/>
        <w:t>Elberoendet</w:t>
      </w:r>
    </w:p>
    <w:p w:rsidR="00727759" w:rsidRDefault="00727759" w:rsidP="00727759">
      <w:pPr>
        <w:pStyle w:val="Brdtext"/>
      </w:pPr>
      <w:r w:rsidRPr="00D10236">
        <w:t xml:space="preserve">Hela värmeförsörjningskedjan är starkt beroende av el. Utan fungerande elförsörjning </w:t>
      </w:r>
      <w:r>
        <w:t>fungerar som regel varken produktion, distribution eller värmemottagningsförmågan hos slutkunden. El krävs</w:t>
      </w:r>
      <w:r w:rsidRPr="00D10236">
        <w:t xml:space="preserve"> </w:t>
      </w:r>
      <w:r w:rsidRPr="00130FF4">
        <w:t>för att kunna driva pumpar, fläktar och pannor</w:t>
      </w:r>
      <w:r>
        <w:t xml:space="preserve"> såväl som styr-, drift- och kontrollsystem</w:t>
      </w:r>
      <w:r w:rsidRPr="00130FF4">
        <w:t>.</w:t>
      </w:r>
      <w:r>
        <w:t xml:space="preserve"> </w:t>
      </w:r>
      <w:r w:rsidRPr="00D10236">
        <w:t xml:space="preserve">Reservkraft </w:t>
      </w:r>
      <w:r>
        <w:t xml:space="preserve">i produktionsanläggningen </w:t>
      </w:r>
      <w:r w:rsidRPr="00D10236">
        <w:t>räcker ofta</w:t>
      </w:r>
      <w:r>
        <w:t>st endast</w:t>
      </w:r>
      <w:r w:rsidRPr="00D10236">
        <w:t xml:space="preserve"> till </w:t>
      </w:r>
      <w:r w:rsidR="00E05A1D">
        <w:t>en kontrollerad nedsläckning av</w:t>
      </w:r>
      <w:r w:rsidRPr="00D10236">
        <w:t xml:space="preserve"> </w:t>
      </w:r>
      <w:r>
        <w:t xml:space="preserve">de största </w:t>
      </w:r>
      <w:r w:rsidRPr="00D10236">
        <w:t>pannor</w:t>
      </w:r>
      <w:r>
        <w:t>na (oftast fastbränslepannor)</w:t>
      </w:r>
      <w:r w:rsidRPr="00D10236">
        <w:t xml:space="preserve"> </w:t>
      </w:r>
      <w:r>
        <w:t xml:space="preserve">i ett värmeverk </w:t>
      </w:r>
      <w:r w:rsidRPr="00D10236">
        <w:t xml:space="preserve">igång i syfte att utrustningen </w:t>
      </w:r>
      <w:r>
        <w:t xml:space="preserve">inte ska skadas. Ofta kan en reservpanna </w:t>
      </w:r>
      <w:r w:rsidR="00071C82">
        <w:t>och de största pumparna drivas med reservkraft. D</w:t>
      </w:r>
      <w:r>
        <w:t>et är</w:t>
      </w:r>
      <w:r w:rsidRPr="00D10236">
        <w:t xml:space="preserve"> sällsynt att hela produktionen kan hållas igång med reservkraft. </w:t>
      </w:r>
    </w:p>
    <w:p w:rsidR="0085477B" w:rsidRDefault="0085477B" w:rsidP="0085477B">
      <w:pPr>
        <w:pStyle w:val="Brdtext"/>
      </w:pPr>
      <w:r>
        <w:t>Incitamenten för fjärrvärmebolagen att skapa förmåga att även kunna leverera värme vid störningar i elförsörjningen har sin begränsning eftersom slutanvändarna som regel ändå inte har möjlighet att ta emot värme utan fungerande elförsörjning</w:t>
      </w:r>
      <w:r>
        <w:rPr>
          <w:rStyle w:val="Fotnotsreferens"/>
        </w:rPr>
        <w:footnoteReference w:id="32"/>
      </w:r>
      <w:r>
        <w:t>.</w:t>
      </w:r>
    </w:p>
    <w:p w:rsidR="00727759" w:rsidRDefault="00727759" w:rsidP="00727759">
      <w:pPr>
        <w:pStyle w:val="Brdtext"/>
      </w:pPr>
      <w:r>
        <w:t xml:space="preserve">Vissa </w:t>
      </w:r>
      <w:r w:rsidRPr="00D10236">
        <w:t>kraftvärmeverk (som producerar både el och värme) kan ha särskild utrustning för så kallad ”husdrift”, det vill säga att den el som genereras i den egna anläggningen kan matas tillbaka lokalt för att förhindra att värmepannor stängs av.</w:t>
      </w:r>
      <w:r>
        <w:t xml:space="preserve"> </w:t>
      </w:r>
      <w:r w:rsidR="00E05A1D">
        <w:t>Ett fåtal</w:t>
      </w:r>
      <w:r w:rsidRPr="001E5DFA">
        <w:t xml:space="preserve"> kraftvärmeverk kan, med hjälp av så kallad ö-drift, klara sin och</w:t>
      </w:r>
      <w:r w:rsidR="00071C82">
        <w:t xml:space="preserve"> delar av</w:t>
      </w:r>
      <w:r w:rsidRPr="001E5DFA">
        <w:t xml:space="preserve"> samhällets elförsörjning inom ett lokalt begränsat område (en ö) som förlorat elförsörjning </w:t>
      </w:r>
      <w:r>
        <w:t>på grund av</w:t>
      </w:r>
      <w:r w:rsidRPr="001E5DFA">
        <w:t xml:space="preserve"> störningar eller avbrott i stamnätet.</w:t>
      </w:r>
    </w:p>
    <w:p w:rsidR="0004004E" w:rsidRDefault="0004004E" w:rsidP="00727759">
      <w:pPr>
        <w:pStyle w:val="Brdtext"/>
      </w:pPr>
      <w:r>
        <w:t xml:space="preserve">Konsekvenser vid elavbrott blir stopp eller reducerad produktionsförmåga och oförmåga att leverera vid tillräcklig temperatur.  </w:t>
      </w:r>
    </w:p>
    <w:p w:rsidR="00DF5D9E" w:rsidRDefault="0029230F" w:rsidP="0029230F">
      <w:pPr>
        <w:pStyle w:val="Rubrik3"/>
      </w:pPr>
      <w:r>
        <w:t xml:space="preserve">Samhällsviktig </w:t>
      </w:r>
      <w:r w:rsidR="00D4476E">
        <w:t>verksamhet</w:t>
      </w:r>
    </w:p>
    <w:p w:rsidR="00B030B5" w:rsidRDefault="00B030B5" w:rsidP="00B030B5">
      <w:pPr>
        <w:pStyle w:val="Brdtext"/>
      </w:pPr>
      <w:r>
        <w:t xml:space="preserve">I branschen används begreppet ”känsliga kunder”, vilket ofta, men inte alltid, kan sammanfalla med samhällsviktiga verksamheter. </w:t>
      </w:r>
      <w:r w:rsidR="00907B73">
        <w:t>Det finns o</w:t>
      </w:r>
      <w:r>
        <w:t xml:space="preserve">ftast en särskild beredskap för att värmeförsörja åtminstone sjukhusen vid värmestörningar genom exempelvis en stationär eller mobil oljepanna som kan kopplas in lokalt. Denna beredskap bygger inte sällan på god vilja och samhällsansvar hos företagen, snarare än reglering genom särskilda avtal. </w:t>
      </w:r>
    </w:p>
    <w:p w:rsidR="00876A6C" w:rsidRDefault="00876A6C" w:rsidP="00876A6C">
      <w:pPr>
        <w:pStyle w:val="Rubrik3"/>
      </w:pPr>
      <w:r>
        <w:t>Reservdelar och reservresurser</w:t>
      </w:r>
    </w:p>
    <w:p w:rsidR="00D602D8" w:rsidRDefault="00D602D8" w:rsidP="00D602D8">
      <w:pPr>
        <w:pStyle w:val="Brdtext"/>
      </w:pPr>
      <w:r>
        <w:t>Fjärrvärmesystemen består rent fysiskt av tekniska komponenter av mycket skiftande slag med olika livslängd, olika grad av sli</w:t>
      </w:r>
      <w:r w:rsidR="00DA7751">
        <w:t>tage och annan påverkan etc. Dessa</w:t>
      </w:r>
      <w:r>
        <w:t xml:space="preserve"> kräver ett löpande arbete av bland annat förebyggande underhåll och förnyelse. Men ibland går saker sönder, vilket kan kräva mycket snabba reparationsinsatser</w:t>
      </w:r>
      <w:r w:rsidR="00D41F53" w:rsidRPr="00D41F53">
        <w:t xml:space="preserve"> </w:t>
      </w:r>
      <w:r w:rsidR="00D41F53">
        <w:t>i form av avhjälpande underhåll</w:t>
      </w:r>
      <w:r>
        <w:t xml:space="preserve">. För de ”vardagliga” haverierna har de flesta fjärrvärmeföretag en god beredskap. En komponent i denna beredskap är tillgången till </w:t>
      </w:r>
      <w:r w:rsidR="00D4476E">
        <w:t>reservmateriel</w:t>
      </w:r>
      <w:r>
        <w:t xml:space="preserve">. </w:t>
      </w:r>
    </w:p>
    <w:p w:rsidR="00FF6DAC" w:rsidRDefault="00FF6DAC" w:rsidP="00FF6DAC">
      <w:pPr>
        <w:pStyle w:val="Rubrik4"/>
      </w:pPr>
      <w:r>
        <w:lastRenderedPageBreak/>
        <w:t>Produktion</w:t>
      </w:r>
    </w:p>
    <w:p w:rsidR="00212DDD" w:rsidRDefault="0006429F" w:rsidP="00732C5D">
      <w:pPr>
        <w:pStyle w:val="Brdtext"/>
      </w:pPr>
      <w:r>
        <w:t>Inte sällan är vissa kritiska komponenter i produktionsanläggningen dubblerade</w:t>
      </w:r>
      <w:r w:rsidR="00DA7751">
        <w:t xml:space="preserve"> – dock inte alla</w:t>
      </w:r>
      <w:r>
        <w:t>.</w:t>
      </w:r>
      <w:r w:rsidR="00212DDD">
        <w:t xml:space="preserve"> </w:t>
      </w:r>
      <w:r w:rsidR="00EE034D">
        <w:t xml:space="preserve">Det har hänt att kritiska komponenter med långa leveranstider såsom matarskruv för biobränsle gått sönder. Sådant kan medföra mycket långa produktionsstopp. </w:t>
      </w:r>
      <w:r w:rsidR="00034BC2">
        <w:t xml:space="preserve">Produktionsanläggningar </w:t>
      </w:r>
      <w:r w:rsidR="00907B73">
        <w:t>är</w:t>
      </w:r>
      <w:r w:rsidR="00034BC2">
        <w:t xml:space="preserve"> sinsemellan</w:t>
      </w:r>
      <w:r w:rsidR="00907B73">
        <w:t xml:space="preserve"> olika</w:t>
      </w:r>
      <w:r w:rsidR="00034BC2">
        <w:t xml:space="preserve"> i många </w:t>
      </w:r>
      <w:r w:rsidR="00907B73">
        <w:t>avseenden</w:t>
      </w:r>
      <w:r w:rsidR="00034BC2">
        <w:t>, vilket gör det svårt att hämta reservdelar från närliggande företag eller från annan anläggning inom det egna företaget.</w:t>
      </w:r>
    </w:p>
    <w:p w:rsidR="00FF6DAC" w:rsidRDefault="00FF6DAC" w:rsidP="00FF6DAC">
      <w:pPr>
        <w:pStyle w:val="Rubrik4"/>
      </w:pPr>
      <w:r>
        <w:t>Distribution</w:t>
      </w:r>
    </w:p>
    <w:p w:rsidR="00FF6DAC" w:rsidRDefault="00FF6DAC" w:rsidP="00FF6DAC">
      <w:pPr>
        <w:pStyle w:val="Brdtext"/>
      </w:pPr>
      <w:r>
        <w:t>Läckor och skador i distributionsnätet inträffar av och ti</w:t>
      </w:r>
      <w:r w:rsidR="00C12589">
        <w:t>ll i de flesta fjärrvärmenät</w:t>
      </w:r>
      <w:r>
        <w:t>, något som beskrivits ovan</w:t>
      </w:r>
      <w:r w:rsidR="008A7B67">
        <w:t xml:space="preserve"> (se avsnitt </w:t>
      </w:r>
      <w:r w:rsidR="008A7B67">
        <w:fldChar w:fldCharType="begin"/>
      </w:r>
      <w:r w:rsidR="008A7B67">
        <w:instrText xml:space="preserve"> REF _Ref437434437 \r \h </w:instrText>
      </w:r>
      <w:r w:rsidR="008A7B67">
        <w:fldChar w:fldCharType="separate"/>
      </w:r>
      <w:r w:rsidR="000A5878">
        <w:t>5.2.4</w:t>
      </w:r>
      <w:r w:rsidR="008A7B67">
        <w:fldChar w:fldCharType="end"/>
      </w:r>
      <w:r w:rsidR="008A7B67">
        <w:t>)</w:t>
      </w:r>
      <w:r>
        <w:t xml:space="preserve">. </w:t>
      </w:r>
      <w:r w:rsidR="00C12589">
        <w:t>De som inträffar i de delar av nätet som har de grövsta rördimensionerna medför störst störning eftersom det drabbar många kunder, samtidigt som reparationstiden i regel är längre i dessa delar.</w:t>
      </w:r>
      <w:r w:rsidR="00767CEA">
        <w:t xml:space="preserve"> Energimyndighetens uppföljning av incidenter visar också att grova rör läcker oftare eftersom de ofta är gamla.</w:t>
      </w:r>
      <w:r w:rsidR="00C12589">
        <w:t xml:space="preserve"> Tillgången till reservdelar är då en kritisk komponent i återställandet av felet. </w:t>
      </w:r>
    </w:p>
    <w:p w:rsidR="00C12589" w:rsidRDefault="00C12589" w:rsidP="00FF6DAC">
      <w:pPr>
        <w:pStyle w:val="Brdtext"/>
      </w:pPr>
      <w:r>
        <w:t>Att ha reservdelar i lager är givetvis en kostnad</w:t>
      </w:r>
      <w:r w:rsidR="00732C5D">
        <w:t xml:space="preserve"> i och med att de binder kapital och kräver utrymme</w:t>
      </w:r>
      <w:r w:rsidR="00767CEA">
        <w:t xml:space="preserve">. Komponenter i mindre dimensioner finns </w:t>
      </w:r>
      <w:r w:rsidR="002F1EC0">
        <w:t>ofta</w:t>
      </w:r>
      <w:r w:rsidR="00767CEA">
        <w:t xml:space="preserve"> att hämta från pågående utbyggnads- eller förnyelseprojekt i det egna företaget eller hos något närbeläget fjärrvärmeföretag. Det finns en tradition av sådant samarbete i branschen. </w:t>
      </w:r>
      <w:r w:rsidR="00732C5D">
        <w:t>Komponenter för nätets grövsta dimensioner (rör, rörböjar, ventiler, expansionsbälgar etc.) finns däremot sällan.</w:t>
      </w:r>
      <w:r w:rsidR="00650818">
        <w:t xml:space="preserve"> Det är också tveksamt om det är rimligt att varje företag sitter med en mängd sådana kostsamma komponenter i tiotals år. </w:t>
      </w:r>
      <w:r w:rsidR="00D41F53">
        <w:t xml:space="preserve">Företagen gör i regel en bedömning av risk och konsekvens för olika komponenter. </w:t>
      </w:r>
      <w:r w:rsidR="00650818">
        <w:t xml:space="preserve">Å andra sidan förefaller </w:t>
      </w:r>
      <w:r w:rsidR="00D41F53">
        <w:t xml:space="preserve">vissa </w:t>
      </w:r>
      <w:r w:rsidR="00650818">
        <w:t>företag leva i en förhoppning om att de i det akuta skedet</w:t>
      </w:r>
      <w:r w:rsidR="00736D39">
        <w:t xml:space="preserve"> exempelvis</w:t>
      </w:r>
      <w:r w:rsidR="00650818">
        <w:t xml:space="preserve"> kan hitta en ventil i en viss grov dimension hos någon kollega eller i lager hos en leverantör, något som inte alls är självklart.</w:t>
      </w:r>
      <w:r w:rsidR="00736D39">
        <w:t xml:space="preserve"> De regionala samarbeten som finns är sällan formaliserade eller dokumenterade.</w:t>
      </w:r>
    </w:p>
    <w:p w:rsidR="00650818" w:rsidRPr="00C12589" w:rsidRDefault="00650818" w:rsidP="00FF6DAC">
      <w:pPr>
        <w:pStyle w:val="Brdtext"/>
        <w:rPr>
          <w:i/>
        </w:rPr>
      </w:pPr>
      <w:r>
        <w:t xml:space="preserve">Fram tills nyligen fanns några reservdelspooler i landet. Dessa utnyttjades </w:t>
      </w:r>
      <w:r w:rsidR="00736D39">
        <w:t xml:space="preserve">i ganska liten grad, och har nu lagts ner. </w:t>
      </w:r>
    </w:p>
    <w:p w:rsidR="00876A6C" w:rsidRDefault="000E0E85" w:rsidP="00876A6C">
      <w:pPr>
        <w:pStyle w:val="Rubrik3"/>
      </w:pPr>
      <w:r>
        <w:t>Organisering och entreprenörer</w:t>
      </w:r>
    </w:p>
    <w:p w:rsidR="000E0E85" w:rsidRDefault="000E0E85" w:rsidP="000E0E85">
      <w:pPr>
        <w:pStyle w:val="Brdtext"/>
      </w:pPr>
      <w:r>
        <w:t xml:space="preserve">Fjärrvärmekedjan består även av personer – juridiska och fysiska. </w:t>
      </w:r>
    </w:p>
    <w:p w:rsidR="000E0E85" w:rsidRDefault="000E0E85" w:rsidP="000E0E85">
      <w:pPr>
        <w:pStyle w:val="Brdtext"/>
      </w:pPr>
      <w:r>
        <w:t>Driftpersonal utgör en viktig resurs för att hålla produktionen igång, vilket framförallt gäller små fjärrvärmeföretag som är mer sårbara för bortfall av personella resurser. Obemannad drift är vanlig, men personella resurser är kritiskt när automatiken fallerar.</w:t>
      </w:r>
    </w:p>
    <w:p w:rsidR="000E0E85" w:rsidRDefault="000E0E85" w:rsidP="000E0E85">
      <w:pPr>
        <w:pStyle w:val="Brdtext"/>
      </w:pPr>
      <w:r>
        <w:t xml:space="preserve">För större utbyggnads- och förnyelseprojekt upphandlas oftast entreprenörer. Vissa företag upphandlar även förebyggande och avhjälpande underhåll, medan andra har egen personal för sådant. </w:t>
      </w:r>
    </w:p>
    <w:p w:rsidR="000E0E85" w:rsidRDefault="000E0E85" w:rsidP="000E0E85">
      <w:pPr>
        <w:pStyle w:val="Brdtext"/>
      </w:pPr>
      <w:r>
        <w:t xml:space="preserve">De mindre företagen avtalar som regel inga särskilda beredskapskrav på sina entreprenörer. Ofta anges </w:t>
      </w:r>
      <w:r w:rsidRPr="0072736F">
        <w:t>personliga kontakter och upplevd servicevilja</w:t>
      </w:r>
      <w:r>
        <w:t xml:space="preserve"> hos berörda entreprenörer som skäl till att krav inte är inarbetade i avtalen. Vidare </w:t>
      </w:r>
      <w:r>
        <w:lastRenderedPageBreak/>
        <w:t>anger fjärrvärmebolagen att de av erfarenhet vet att entreprenörerna snabbt är på plats om exempelvis en störning skulle uppstå i en fjärrvärmeledning. Större fjärrvärmebolag har som regel inarbetade krav kring inställelsetider och jour eller beredskap i avtalen.</w:t>
      </w:r>
    </w:p>
    <w:p w:rsidR="000E0E85" w:rsidRDefault="000E0E85" w:rsidP="000E0E85">
      <w:pPr>
        <w:pStyle w:val="Rubrik3"/>
      </w:pPr>
      <w:r>
        <w:t>Bränsleförsörjning</w:t>
      </w:r>
    </w:p>
    <w:p w:rsidR="00BB0315" w:rsidRDefault="00BB0315" w:rsidP="00BB0315">
      <w:pPr>
        <w:pStyle w:val="Brdtext"/>
      </w:pPr>
      <w:r>
        <w:t>Leveranser av bränsle</w:t>
      </w:r>
      <w:r w:rsidRPr="00676305">
        <w:t xml:space="preserve"> </w:t>
      </w:r>
      <w:r>
        <w:t>till fjärrvärmeanläggningen sker på olika sätt, och har olika sårbarheter som bara delvis tas upp i företagens risk- och sårbarhetsbedömningar. Exempelvis behöver känsligheten för yttre störningar av leveranserna värderas, såsom transportstrejk eller störningar i drivmedelsförsörjningen. Hur länge fjärrvärmebolagens bränslelager</w:t>
      </w:r>
      <w:r w:rsidR="0020147C" w:rsidRPr="0020147C">
        <w:t xml:space="preserve"> </w:t>
      </w:r>
      <w:r w:rsidR="0020147C">
        <w:t>räcker</w:t>
      </w:r>
      <w:r>
        <w:t>, både avseende basbränsle och spets-/reservbränsle</w:t>
      </w:r>
      <w:r w:rsidR="0020147C">
        <w:t xml:space="preserve">, </w:t>
      </w:r>
      <w:r>
        <w:t>skiljer sig</w:t>
      </w:r>
      <w:r w:rsidR="00DA7751">
        <w:t xml:space="preserve"> också</w:t>
      </w:r>
      <w:r>
        <w:t xml:space="preserve"> åt mellan olika fjärrvärmebolag</w:t>
      </w:r>
      <w:r w:rsidR="0020147C">
        <w:t>.</w:t>
      </w:r>
    </w:p>
    <w:p w:rsidR="00BB0315" w:rsidRDefault="00BB0315" w:rsidP="00BB0315">
      <w:pPr>
        <w:pStyle w:val="Brdtext"/>
      </w:pPr>
      <w:r>
        <w:t>G</w:t>
      </w:r>
      <w:r w:rsidRPr="00431F3A">
        <w:t>enerellt gäller</w:t>
      </w:r>
      <w:r w:rsidR="0020147C">
        <w:t xml:space="preserve"> dock</w:t>
      </w:r>
      <w:r w:rsidRPr="00431F3A">
        <w:t xml:space="preserve"> att störningar i </w:t>
      </w:r>
      <w:r>
        <w:t xml:space="preserve">tillförseln av </w:t>
      </w:r>
      <w:r w:rsidRPr="00431F3A">
        <w:t>bränslen oftast har ett relativt långsamt förlopp</w:t>
      </w:r>
      <w:r w:rsidR="008A7B67">
        <w:t xml:space="preserve"> (dagar upp till veckor)</w:t>
      </w:r>
      <w:r w:rsidRPr="00431F3A">
        <w:t xml:space="preserve"> innan det orsakar problem för slutanvändaren.  </w:t>
      </w:r>
    </w:p>
    <w:p w:rsidR="00212DDD" w:rsidRDefault="00212DDD" w:rsidP="00553241">
      <w:pPr>
        <w:pStyle w:val="Rubrik3"/>
      </w:pPr>
      <w:r>
        <w:t>Lokalisering av produktionsanläggningarna</w:t>
      </w:r>
    </w:p>
    <w:p w:rsidR="00212DDD" w:rsidRPr="00732C5D" w:rsidRDefault="00212DDD" w:rsidP="00212DDD">
      <w:pPr>
        <w:pStyle w:val="Brdtext"/>
      </w:pPr>
      <w:r>
        <w:t xml:space="preserve">Baslast- och reservpannor är oftast lokaliserade intill varandra – </w:t>
      </w:r>
      <w:r w:rsidR="00F1620C">
        <w:t>ibland</w:t>
      </w:r>
      <w:r>
        <w:t xml:space="preserve"> inom samma byggnad. Stora olyckor, trafikstörningar, naturolyckor, antagonistiska angrepp och annat kan potentiellt förhindra produktionen på området, vilket i sin tur skulle kunna leda till mycket långa avbrott. </w:t>
      </w:r>
    </w:p>
    <w:p w:rsidR="00553241" w:rsidRDefault="00553241" w:rsidP="00553241">
      <w:pPr>
        <w:pStyle w:val="Rubrik3"/>
      </w:pPr>
      <w:r>
        <w:t>Brand</w:t>
      </w:r>
    </w:p>
    <w:p w:rsidR="00034BC2" w:rsidRDefault="00553241" w:rsidP="00034BC2">
      <w:pPr>
        <w:pStyle w:val="Brdtext"/>
      </w:pPr>
      <w:r>
        <w:t>Brandriskerna i fjärrvärme har ökat väsentligt i och med övergången frå</w:t>
      </w:r>
      <w:r w:rsidR="00034BC2">
        <w:t>n oljeeldning till biobränslen.</w:t>
      </w:r>
      <w:r w:rsidR="00F1620C" w:rsidRPr="00F1620C">
        <w:t xml:space="preserve"> </w:t>
      </w:r>
      <w:r w:rsidR="00F1620C">
        <w:t>Bränder utgör också en stor andel av incidenter</w:t>
      </w:r>
      <w:r w:rsidR="00F1620C">
        <w:rPr>
          <w:rStyle w:val="Fotnotsreferens"/>
        </w:rPr>
        <w:footnoteReference w:id="33"/>
      </w:r>
      <w:r w:rsidR="00F1620C">
        <w:t xml:space="preserve"> men i regel hinner de stoppas innan de utvecklas till stora katastrofer, något som i sin tur ofta bygger på ett gott samarbete med lokal räddningstjänst, och</w:t>
      </w:r>
      <w:r w:rsidR="00D8442F">
        <w:t xml:space="preserve"> på</w:t>
      </w:r>
      <w:r w:rsidR="00F1620C">
        <w:t xml:space="preserve"> att räddningstjänsten genomför tillsyn och viss övningsverksamhet.</w:t>
      </w:r>
    </w:p>
    <w:p w:rsidR="00FE25E9" w:rsidRPr="00FE25E9" w:rsidRDefault="00FE25E9" w:rsidP="00FE25E9">
      <w:pPr>
        <w:pStyle w:val="Rubrik3"/>
      </w:pPr>
      <w:r>
        <w:t>Krisberedskap, övningar mm</w:t>
      </w:r>
    </w:p>
    <w:p w:rsidR="00876A6C" w:rsidRPr="00876A6C" w:rsidRDefault="00CC0FB6" w:rsidP="00876A6C">
      <w:pPr>
        <w:pStyle w:val="Brdtext"/>
      </w:pPr>
      <w:r>
        <w:t xml:space="preserve">För </w:t>
      </w:r>
      <w:r w:rsidR="00F1620C">
        <w:t>de vanligt förekommande</w:t>
      </w:r>
      <w:r>
        <w:t xml:space="preserve"> tekniska störningar och olyckor</w:t>
      </w:r>
      <w:r w:rsidR="00F1620C">
        <w:t xml:space="preserve"> som sker</w:t>
      </w:r>
      <w:r>
        <w:t xml:space="preserve"> i produktions- eller distributionsanläggningar har företagen över lag en god beredskap. </w:t>
      </w:r>
    </w:p>
    <w:p w:rsidR="00727759" w:rsidRPr="00727759" w:rsidRDefault="00727759" w:rsidP="00727759">
      <w:pPr>
        <w:pStyle w:val="Brdtext"/>
      </w:pPr>
    </w:p>
    <w:p w:rsidR="00EC675B" w:rsidRDefault="00696D8E" w:rsidP="00EC675B">
      <w:pPr>
        <w:pStyle w:val="Rubrik1"/>
      </w:pPr>
      <w:bookmarkStart w:id="70" w:name="_Ref438019388"/>
      <w:bookmarkStart w:id="71" w:name="_Ref438106726"/>
      <w:bookmarkStart w:id="72" w:name="_Toc438471440"/>
      <w:r>
        <w:lastRenderedPageBreak/>
        <w:t>Analys och reflektioner</w:t>
      </w:r>
      <w:bookmarkEnd w:id="70"/>
      <w:bookmarkEnd w:id="71"/>
      <w:bookmarkEnd w:id="72"/>
    </w:p>
    <w:p w:rsidR="001507CD" w:rsidRDefault="005F3774" w:rsidP="001507CD">
      <w:pPr>
        <w:pStyle w:val="Nummerlista"/>
        <w:numPr>
          <w:ilvl w:val="0"/>
          <w:numId w:val="0"/>
        </w:numPr>
      </w:pPr>
      <w:r>
        <w:t xml:space="preserve">I detta avsnitt analyseras och diskuteras </w:t>
      </w:r>
      <w:r w:rsidR="003A121E">
        <w:t xml:space="preserve">några väsentliga aspekter av fjärrvärmeföretagens förmåga att förebygga och åtgärda avbrott. Sist i avsnittet diskuteras en </w:t>
      </w:r>
      <w:r w:rsidR="00352E5A">
        <w:t>mål</w:t>
      </w:r>
      <w:r w:rsidR="003A121E">
        <w:t>struktur</w:t>
      </w:r>
      <w:r w:rsidR="00474FB2">
        <w:t xml:space="preserve"> för fjärrvärmens försörjningstrygghet</w:t>
      </w:r>
      <w:r w:rsidR="003A121E">
        <w:t>. Analysen ligger som grund för slutsatser som finns i nästföljande avsnitt.</w:t>
      </w:r>
    </w:p>
    <w:p w:rsidR="00880B30" w:rsidRDefault="00880B30" w:rsidP="001A44E8">
      <w:pPr>
        <w:pStyle w:val="Rubrik2"/>
      </w:pPr>
      <w:bookmarkStart w:id="73" w:name="_Ref437431114"/>
      <w:bookmarkStart w:id="74" w:name="_Ref437441023"/>
      <w:bookmarkStart w:id="75" w:name="_Toc438471441"/>
      <w:r>
        <w:t>Risk- och sårbarhetsanalyser utgör ett fundament</w:t>
      </w:r>
      <w:bookmarkEnd w:id="73"/>
      <w:bookmarkEnd w:id="74"/>
      <w:bookmarkEnd w:id="75"/>
    </w:p>
    <w:p w:rsidR="00880B30" w:rsidRDefault="00880B30" w:rsidP="0029230F">
      <w:pPr>
        <w:pStyle w:val="Brdtext"/>
      </w:pPr>
      <w:r>
        <w:t>För att kunna göra rätt avvägningar inför en mängd beslut behöver företagen ha en god bild av både risker och sårbarheter. Många företag förefaller endast göra rudimentära riskbedömningar.</w:t>
      </w:r>
      <w:r w:rsidR="00FE3413">
        <w:t xml:space="preserve"> Företag med kraftvärmeproduktion gör risk- och sårbarhetsanalyser (RSA) </w:t>
      </w:r>
      <w:r w:rsidR="00FE3413" w:rsidRPr="00FE3413">
        <w:rPr>
          <w:i/>
        </w:rPr>
        <w:t>avseende elproduktionen</w:t>
      </w:r>
      <w:r w:rsidR="00FE3413">
        <w:t xml:space="preserve"> enligt krav i författning.</w:t>
      </w:r>
    </w:p>
    <w:p w:rsidR="00880B30" w:rsidRDefault="0029230F" w:rsidP="0029230F">
      <w:pPr>
        <w:pStyle w:val="Brdtext"/>
      </w:pPr>
      <w:r>
        <w:t xml:space="preserve">Energimyndighetens </w:t>
      </w:r>
      <w:r w:rsidR="00352E5A">
        <w:t xml:space="preserve">slutsats </w:t>
      </w:r>
      <w:r>
        <w:t xml:space="preserve">är att de fjärrvärmeföretag som genomför riskanalyser avseende leveransavbrott till allra största delen gör detta utifrån tekniska, fysiska parametrar såsom ålder, ledningstyp och </w:t>
      </w:r>
      <w:r w:rsidR="00907B73">
        <w:t>lednings</w:t>
      </w:r>
      <w:r>
        <w:t>dimensioner, förläggningssätt, bränder, miljörisker, möjligheter till skadebegränsade åtgärder m.m. Detta är definitivt viktiga aspekter vid bedömningen av risken för leveransavbrott</w:t>
      </w:r>
      <w:r w:rsidR="00031825">
        <w:t>, men är inte tillräckliga</w:t>
      </w:r>
      <w:r>
        <w:t xml:space="preserve">. </w:t>
      </w:r>
    </w:p>
    <w:p w:rsidR="00031825" w:rsidRDefault="00031825" w:rsidP="00031825">
      <w:pPr>
        <w:pStyle w:val="Brdtext"/>
      </w:pPr>
      <w:r>
        <w:t xml:space="preserve">Parametrar som riskerar att förbises i de riskanalyser som genomförs kan exempelvis vara </w:t>
      </w:r>
    </w:p>
    <w:p w:rsidR="00031825" w:rsidRDefault="00031825" w:rsidP="00031825">
      <w:pPr>
        <w:pStyle w:val="Brdtext"/>
        <w:numPr>
          <w:ilvl w:val="0"/>
          <w:numId w:val="14"/>
        </w:numPr>
      </w:pPr>
      <w:r>
        <w:t xml:space="preserve">värmesystemens beroende av elförsörjning, </w:t>
      </w:r>
    </w:p>
    <w:p w:rsidR="00031825" w:rsidRDefault="00031825" w:rsidP="00031825">
      <w:pPr>
        <w:pStyle w:val="Brdtext"/>
        <w:numPr>
          <w:ilvl w:val="0"/>
          <w:numId w:val="14"/>
        </w:numPr>
      </w:pPr>
      <w:r>
        <w:t>känsligheten för långvariga störningar i den kontinuerliga bränsleförsörjningen,</w:t>
      </w:r>
    </w:p>
    <w:p w:rsidR="00031825" w:rsidRDefault="00031825" w:rsidP="00031825">
      <w:pPr>
        <w:pStyle w:val="Brdtext"/>
        <w:numPr>
          <w:ilvl w:val="0"/>
          <w:numId w:val="14"/>
        </w:numPr>
      </w:pPr>
      <w:r>
        <w:t>störningar i elektroniska kommunikationer inklusive risker relaterade til</w:t>
      </w:r>
      <w:r w:rsidR="00935FDE">
        <w:t>l informationssäkerhetsområdet,</w:t>
      </w:r>
    </w:p>
    <w:p w:rsidR="00031825" w:rsidRDefault="00031825" w:rsidP="00031825">
      <w:pPr>
        <w:pStyle w:val="Brdtext"/>
        <w:numPr>
          <w:ilvl w:val="0"/>
          <w:numId w:val="14"/>
        </w:numPr>
      </w:pPr>
      <w:r>
        <w:t>risker kopplande till organisation och resurser att hantera inträffade störningarna</w:t>
      </w:r>
      <w:r w:rsidR="00935FDE">
        <w:t>,</w:t>
      </w:r>
    </w:p>
    <w:p w:rsidR="00031825" w:rsidRDefault="00935FDE" w:rsidP="00031825">
      <w:pPr>
        <w:pStyle w:val="Brdtext"/>
        <w:numPr>
          <w:ilvl w:val="0"/>
          <w:numId w:val="14"/>
        </w:numPr>
      </w:pPr>
      <w:r>
        <w:t>bredare riskperspektiv som inkluderar</w:t>
      </w:r>
      <w:r w:rsidR="00031825">
        <w:t xml:space="preserve"> </w:t>
      </w:r>
      <w:r w:rsidR="00416A2E">
        <w:t xml:space="preserve">säkerhetsskydd eller </w:t>
      </w:r>
      <w:r w:rsidR="00031825">
        <w:t>fjärrvärmeanläggningars fysiska omgivning, t.ex. trafikmiljö, förekomsten av annan riskfylld (exempelvis brandfarlig) verksamhet, närheten till vattendrag som kan översvämmas</w:t>
      </w:r>
      <w:r w:rsidR="00416A2E">
        <w:t xml:space="preserve"> och</w:t>
      </w:r>
      <w:r w:rsidR="00156BEE">
        <w:t xml:space="preserve"> andra naturfenomen</w:t>
      </w:r>
      <w:r w:rsidR="00031825">
        <w:t>.</w:t>
      </w:r>
    </w:p>
    <w:p w:rsidR="00286F1E" w:rsidRDefault="00286F1E" w:rsidP="00880B30">
      <w:pPr>
        <w:pStyle w:val="Brdtext"/>
      </w:pPr>
      <w:r>
        <w:t>Det faktum att många fjärrvärmesystem har huvuddelen, eller hela, värmeproduktionen lokaliserad till samma område eller</w:t>
      </w:r>
      <w:r w:rsidR="00167851">
        <w:t xml:space="preserve"> ibland inom</w:t>
      </w:r>
      <w:r>
        <w:t xml:space="preserve"> samma byggnad medför risker som</w:t>
      </w:r>
      <w:r w:rsidR="00167851">
        <w:t xml:space="preserve"> också</w:t>
      </w:r>
      <w:r>
        <w:t xml:space="preserve"> </w:t>
      </w:r>
      <w:r w:rsidR="00907B73">
        <w:t xml:space="preserve">riskerar att </w:t>
      </w:r>
      <w:r>
        <w:t xml:space="preserve">förbises. </w:t>
      </w:r>
    </w:p>
    <w:p w:rsidR="001A44E8" w:rsidRDefault="001A44E8" w:rsidP="00B030B5">
      <w:pPr>
        <w:pStyle w:val="Rubrik3"/>
      </w:pPr>
      <w:r>
        <w:t>Skydd av samhällsviktig</w:t>
      </w:r>
      <w:r w:rsidR="00416A2E">
        <w:t xml:space="preserve"> verksamhet </w:t>
      </w:r>
    </w:p>
    <w:p w:rsidR="00031825" w:rsidRDefault="00031825" w:rsidP="00031825">
      <w:pPr>
        <w:pStyle w:val="Brdtext"/>
      </w:pPr>
      <w:r>
        <w:t>I företagens riskanalyser vägs i dag in vilka kunder som kan drabbas</w:t>
      </w:r>
      <w:r w:rsidR="00167851">
        <w:t xml:space="preserve"> vid störningar</w:t>
      </w:r>
      <w:r>
        <w:t xml:space="preserve">. Ett begrepp som då används är ”känsliga kunder”, vilket ibland </w:t>
      </w:r>
      <w:r>
        <w:lastRenderedPageBreak/>
        <w:t>naturligtvis sammanfaller med vad som skulle kunna anses vara samhällsviktig</w:t>
      </w:r>
      <w:r w:rsidR="00416A2E">
        <w:t xml:space="preserve"> verksamhet</w:t>
      </w:r>
      <w:r>
        <w:t>. Men ”känsliga kunder” avser också de som i sin verksamhet är känslig</w:t>
      </w:r>
      <w:r w:rsidR="006B6D73">
        <w:t>a</w:t>
      </w:r>
      <w:r>
        <w:t xml:space="preserve"> mot avbrott eller kvalitetssänkning i värmeleveransen utan att bedriva verksamhet som synes vara skyddsvärd avseende liv, hälsa eller samhällets</w:t>
      </w:r>
      <w:r w:rsidR="006B6D73">
        <w:t xml:space="preserve"> funktionalitet. Risken är </w:t>
      </w:r>
      <w:r>
        <w:t>stor att företagen inte identifierar all samhällsviktig verksamhet</w:t>
      </w:r>
      <w:r w:rsidR="006B6D73">
        <w:t xml:space="preserve"> bland sina kunder</w:t>
      </w:r>
      <w:r>
        <w:t>.</w:t>
      </w:r>
    </w:p>
    <w:p w:rsidR="006B6D73" w:rsidRDefault="001A44E8" w:rsidP="001A44E8">
      <w:pPr>
        <w:pStyle w:val="Brdtext"/>
      </w:pPr>
      <w:r>
        <w:t>Risk- och sårbarhetsanalyser ger viktig kunskap och underlag till det enskilda fjärrvärmeföretaget</w:t>
      </w:r>
      <w:r w:rsidR="00416A2E">
        <w:t xml:space="preserve"> och sammanhängande fjärrvärmesystem</w:t>
      </w:r>
      <w:r>
        <w:t>, men också till branschen som helhet, de geografiskt områdesansvariga, centrala myndigheter, användare m.fl. De</w:t>
      </w:r>
      <w:r w:rsidR="00416A2E">
        <w:t>ssa</w:t>
      </w:r>
      <w:r>
        <w:t xml:space="preserve"> får kunskap om riskbilden och därmed underlag för att prioritera åtgärder för att förebygga, förbereda sig inför och hantera värmekriser.</w:t>
      </w:r>
      <w:r w:rsidR="00B50773">
        <w:t xml:space="preserve"> Huvudmän för samhällsviktig ve</w:t>
      </w:r>
      <w:r w:rsidR="006B6D73">
        <w:t xml:space="preserve">rksamhet </w:t>
      </w:r>
      <w:r w:rsidR="00907B73">
        <w:t xml:space="preserve">skulle exempelvis med utgångspunkt från fjärrvärmeföretagens och egna riskanalyser kunna identifiera behov av att </w:t>
      </w:r>
      <w:r w:rsidR="006B6D73">
        <w:t xml:space="preserve">se över avtalen med fjärrvärmeföretaget och föra samtal kring eventuella klausuler om leveranskvalitet, kontinuitet, reservresurser etc. </w:t>
      </w:r>
    </w:p>
    <w:p w:rsidR="001A44E8" w:rsidRDefault="001A44E8" w:rsidP="001A44E8">
      <w:pPr>
        <w:pStyle w:val="Brdtext"/>
      </w:pPr>
      <w:r>
        <w:t xml:space="preserve">Genomförande av regelbundna och systematiska risk- och sårbarhetsanalyser är därmed en förutsättning för att etablera och vidmakthålla en tillräckligt bra förmåga att förebygga och hantera störningar i värmeleveranser. Med det avses här störningar såväl </w:t>
      </w:r>
      <w:r w:rsidRPr="00EA4C86">
        <w:t>inom</w:t>
      </w:r>
      <w:r>
        <w:t xml:space="preserve"> fjärrvärmeverksamheten, som störningar i verksamheter (funktioner) i andra samhällssektorer. </w:t>
      </w:r>
    </w:p>
    <w:p w:rsidR="00B50773" w:rsidRDefault="00B030B5" w:rsidP="00B50773">
      <w:pPr>
        <w:pStyle w:val="Brdtext"/>
      </w:pPr>
      <w:r>
        <w:t>Vid beslut om åtgärder för att förebygga alternativt att hantera uppkommen störning bör</w:t>
      </w:r>
      <w:r w:rsidR="006B6D73">
        <w:t xml:space="preserve"> alltså</w:t>
      </w:r>
      <w:r>
        <w:t xml:space="preserve"> samhällsviktig </w:t>
      </w:r>
      <w:r w:rsidR="00416A2E">
        <w:t xml:space="preserve">verksamhet </w:t>
      </w:r>
      <w:r>
        <w:t xml:space="preserve">särskilt uppmärksammas. Detta kräver i sin tur att ett system för identifiering och prioritering av användare etableras. </w:t>
      </w:r>
    </w:p>
    <w:p w:rsidR="00B030B5" w:rsidRDefault="00B030B5" w:rsidP="00B030B5">
      <w:pPr>
        <w:pStyle w:val="Brdtext"/>
      </w:pPr>
      <w:r>
        <w:t>Förebyggande av störningar innefattar exempelvis frågor rörande</w:t>
      </w:r>
      <w:r w:rsidR="00416A2E">
        <w:t xml:space="preserve"> säkerhetsskydd,</w:t>
      </w:r>
      <w:r>
        <w:t xml:space="preserve"> IT- och informationssäkerhet, tillgången till reservdelar, säkerställa bränsleförsörjning och en trygg elförsörjning, anläggningars placering, kravställning på entreprenörer och leverantörer. Även förmåga att hantera störningar kan delas upp i flera frågeställningar, exempelvis</w:t>
      </w:r>
      <w:r w:rsidR="00907B73">
        <w:t xml:space="preserve"> etablering och övning av</w:t>
      </w:r>
      <w:r>
        <w:t xml:space="preserve"> krisorganisation, </w:t>
      </w:r>
      <w:r w:rsidR="00907B73">
        <w:t xml:space="preserve">upprättande av </w:t>
      </w:r>
      <w:r>
        <w:t>krisplaner,</w:t>
      </w:r>
      <w:r w:rsidR="00416A2E">
        <w:t xml:space="preserve"> förmågan att samarbeta med andra,</w:t>
      </w:r>
      <w:r>
        <w:t xml:space="preserve"> </w:t>
      </w:r>
      <w:r w:rsidR="00907B73">
        <w:t xml:space="preserve">utveckling av </w:t>
      </w:r>
      <w:r>
        <w:t>personalens kompetens och tillgång till förstärkningsresurser.</w:t>
      </w:r>
    </w:p>
    <w:p w:rsidR="0033313C" w:rsidRDefault="0033313C" w:rsidP="0033313C">
      <w:pPr>
        <w:pStyle w:val="Rubrik2"/>
      </w:pPr>
      <w:bookmarkStart w:id="76" w:name="_Ref437955974"/>
      <w:bookmarkStart w:id="77" w:name="_Toc438471442"/>
      <w:r>
        <w:t>Säkerhetsskydd</w:t>
      </w:r>
      <w:bookmarkEnd w:id="76"/>
      <w:bookmarkEnd w:id="77"/>
      <w:r>
        <w:t xml:space="preserve"> </w:t>
      </w:r>
    </w:p>
    <w:p w:rsidR="009C67BC" w:rsidRDefault="00352E5A" w:rsidP="009C67BC">
      <w:pPr>
        <w:pStyle w:val="Brdtext"/>
      </w:pPr>
      <w:r>
        <w:rPr>
          <w:bCs/>
        </w:rPr>
        <w:t>Energimyndigheten b</w:t>
      </w:r>
      <w:r w:rsidR="009C67BC" w:rsidRPr="00985A7B">
        <w:rPr>
          <w:bCs/>
        </w:rPr>
        <w:t>edöm</w:t>
      </w:r>
      <w:r>
        <w:rPr>
          <w:bCs/>
        </w:rPr>
        <w:t>er</w:t>
      </w:r>
      <w:r w:rsidR="009C67BC" w:rsidRPr="00985A7B">
        <w:rPr>
          <w:bCs/>
        </w:rPr>
        <w:t xml:space="preserve"> att fjärrvärmeföretagen är måna om hög tillgänglighet för fjärrvärmesystemen, något som idag löses med stort engagemang från ansvarig personal och leverantörer.</w:t>
      </w:r>
      <w:r w:rsidR="00C51E26">
        <w:rPr>
          <w:bCs/>
        </w:rPr>
        <w:t xml:space="preserve"> Detta är centralt både för företagens ekonomi och för branschens förtroende hos kunderna.</w:t>
      </w:r>
      <w:r w:rsidR="009C67BC" w:rsidRPr="00985A7B">
        <w:rPr>
          <w:bCs/>
        </w:rPr>
        <w:t xml:space="preserve"> Det systematiska arbetet med k</w:t>
      </w:r>
      <w:r w:rsidR="009C67BC" w:rsidRPr="00985A7B">
        <w:t>ontinuitetsplanering</w:t>
      </w:r>
      <w:r w:rsidR="00167851">
        <w:rPr>
          <w:rStyle w:val="Fotnotsreferens"/>
        </w:rPr>
        <w:footnoteReference w:id="34"/>
      </w:r>
      <w:r w:rsidR="009C67BC" w:rsidRPr="00985A7B">
        <w:t xml:space="preserve"> måste dock bedömas som fragmentariskt.</w:t>
      </w:r>
    </w:p>
    <w:p w:rsidR="009C67BC" w:rsidRPr="00F33108" w:rsidRDefault="009C67BC" w:rsidP="009C67BC">
      <w:pPr>
        <w:pStyle w:val="Brdtext"/>
      </w:pPr>
      <w:r w:rsidRPr="00985A7B">
        <w:rPr>
          <w:bCs/>
        </w:rPr>
        <w:lastRenderedPageBreak/>
        <w:t>Det är även viktigt att påpeka att risker kopplade till cyberattacker eller andra antagonistiska hot</w:t>
      </w:r>
      <w:r>
        <w:rPr>
          <w:bCs/>
        </w:rPr>
        <w:t xml:space="preserve"> (dvs. även på andra områden än IT-relaterade)</w:t>
      </w:r>
      <w:r w:rsidRPr="00985A7B">
        <w:rPr>
          <w:bCs/>
        </w:rPr>
        <w:t xml:space="preserve"> bedöms som alltmer aktuella med tanke på utvecklingen i omvärlden. </w:t>
      </w:r>
      <w:r>
        <w:rPr>
          <w:bCs/>
        </w:rPr>
        <w:t xml:space="preserve">Störningar pga. ett antagonistiskt angrepp är </w:t>
      </w:r>
      <w:r w:rsidR="00155327">
        <w:rPr>
          <w:bCs/>
        </w:rPr>
        <w:t>initialt</w:t>
      </w:r>
      <w:r>
        <w:rPr>
          <w:bCs/>
        </w:rPr>
        <w:t xml:space="preserve"> svårt att skilja från störningar orsakade av tekniska fel eller handhavandefel.</w:t>
      </w:r>
      <w:r w:rsidR="00C51E26">
        <w:rPr>
          <w:bCs/>
        </w:rPr>
        <w:t xml:space="preserve"> </w:t>
      </w:r>
      <w:r w:rsidR="00155327">
        <w:rPr>
          <w:bCs/>
        </w:rPr>
        <w:t>Cyberattacker och antagonistiska hot sker troligtvis sällan, och är mycket svårbedömda gällande ursprung</w:t>
      </w:r>
      <w:r>
        <w:rPr>
          <w:bCs/>
        </w:rPr>
        <w:t>,</w:t>
      </w:r>
      <w:r w:rsidRPr="00985A7B">
        <w:rPr>
          <w:bCs/>
        </w:rPr>
        <w:t xml:space="preserve"> men</w:t>
      </w:r>
      <w:r>
        <w:rPr>
          <w:bCs/>
        </w:rPr>
        <w:t xml:space="preserve"> kan</w:t>
      </w:r>
      <w:r w:rsidRPr="00985A7B">
        <w:rPr>
          <w:bCs/>
        </w:rPr>
        <w:t xml:space="preserve"> medför</w:t>
      </w:r>
      <w:r>
        <w:rPr>
          <w:bCs/>
        </w:rPr>
        <w:t>a</w:t>
      </w:r>
      <w:r w:rsidRPr="00985A7B">
        <w:rPr>
          <w:bCs/>
        </w:rPr>
        <w:t xml:space="preserve"> </w:t>
      </w:r>
      <w:r w:rsidR="00352E5A">
        <w:rPr>
          <w:bCs/>
        </w:rPr>
        <w:t>betydande</w:t>
      </w:r>
      <w:r w:rsidRPr="00985A7B">
        <w:rPr>
          <w:bCs/>
        </w:rPr>
        <w:t xml:space="preserve"> konsekvenser för fjärrvärmeföretagens verksamhet, och därmed för samhället.</w:t>
      </w:r>
      <w:r>
        <w:rPr>
          <w:bCs/>
        </w:rPr>
        <w:t xml:space="preserve"> </w:t>
      </w:r>
      <w:r w:rsidR="00167851">
        <w:rPr>
          <w:bCs/>
        </w:rPr>
        <w:t>Att förstärka skyddet är därför av stor vikt.</w:t>
      </w:r>
    </w:p>
    <w:p w:rsidR="009C67BC" w:rsidRDefault="009C67BC" w:rsidP="009C67BC">
      <w:pPr>
        <w:pStyle w:val="Brdtext"/>
        <w:rPr>
          <w:bCs/>
        </w:rPr>
      </w:pPr>
      <w:r>
        <w:t xml:space="preserve">Fjärrvärmebranschens förmåga att bedöma och hantera denna utveckling lämnar stora luckor. Dessvärre saknar branschen idag </w:t>
      </w:r>
      <w:r w:rsidR="00C51E26">
        <w:t xml:space="preserve">också </w:t>
      </w:r>
      <w:r>
        <w:t>ett formaliserat stöd på detta område från branschkunnig myndighet.</w:t>
      </w:r>
    </w:p>
    <w:p w:rsidR="00167851" w:rsidRDefault="0033313C" w:rsidP="00167851">
      <w:pPr>
        <w:pStyle w:val="Brdtext"/>
      </w:pPr>
      <w:r>
        <w:t xml:space="preserve">Det är tänkbart att fjärrvärmeverksamheten skulle kunna falla inom ramen för </w:t>
      </w:r>
      <w:r w:rsidR="00C26943">
        <w:t>S</w:t>
      </w:r>
      <w:r w:rsidR="00C26943" w:rsidRPr="00891575">
        <w:t>äkerhetsskyddslag</w:t>
      </w:r>
      <w:r w:rsidR="00C26943">
        <w:t>en</w:t>
      </w:r>
      <w:r w:rsidR="00C26943" w:rsidRPr="00891575">
        <w:t xml:space="preserve"> </w:t>
      </w:r>
      <w:r w:rsidRPr="00891575">
        <w:t>(1996:627) och säkerhetskyddsförordning (1996:633)</w:t>
      </w:r>
      <w:r>
        <w:t xml:space="preserve">. </w:t>
      </w:r>
      <w:r w:rsidR="00167851">
        <w:t xml:space="preserve">Med säkerhetsskydd avses skydd mot spioneri, sabotage, terrorism och uppgifter som kan hota rikets säkerhet. Säkerhetsskyddslagen (1996:627) ger möjlighet att ställa krav vid upphandling, på informationssäkerhet, tillträdesbegränsning och ger möjlighet till säkerhetsprövning av personal eller annan som deltar i verksamhet. </w:t>
      </w:r>
    </w:p>
    <w:p w:rsidR="0033313C" w:rsidRDefault="0033313C" w:rsidP="0033313C">
      <w:pPr>
        <w:pStyle w:val="Brdtext"/>
      </w:pPr>
      <w:r>
        <w:t xml:space="preserve">Under år 2014 </w:t>
      </w:r>
      <w:r w:rsidR="00352E5A">
        <w:t xml:space="preserve">presenterades </w:t>
      </w:r>
      <w:r>
        <w:t xml:space="preserve">en utredning om en ny säkerhetsskyddslag. I förslaget anges att en påverkan på verksamheterna ska innebära allvarliga nationella konsekvenser för att kunna omfattas av lagen. Energimyndigheten skrev i sitt remissyttrande bland annat att:  </w:t>
      </w:r>
    </w:p>
    <w:p w:rsidR="0033313C" w:rsidRPr="00DA178B" w:rsidRDefault="0033313C" w:rsidP="00D8442F">
      <w:pPr>
        <w:pStyle w:val="Brdtext"/>
        <w:ind w:left="397"/>
      </w:pPr>
      <w:r w:rsidRPr="00C657C8">
        <w:rPr>
          <w:i/>
        </w:rPr>
        <w:t>Fjärrvärmeförsörjningen har ett skyddsvärde utifrån att konsekvenserna av ett längre värmeavbrott, särskilt i storstäderna, blir så omfattande att det innebär allvarliga nationella konsekvenser. Ett långvarigt avbrott vid minusgrader leder till behov av omfattande omflyttning samt sönderfrysning av fastigheter.</w:t>
      </w:r>
    </w:p>
    <w:p w:rsidR="0033313C" w:rsidRDefault="0033313C" w:rsidP="0033313C">
      <w:pPr>
        <w:pStyle w:val="Punktlista"/>
        <w:numPr>
          <w:ilvl w:val="0"/>
          <w:numId w:val="0"/>
        </w:numPr>
      </w:pPr>
      <w:r w:rsidRPr="00D47373">
        <w:t>Ett sätt att hantera dessa risker skulle kunna vara att införa en</w:t>
      </w:r>
      <w:r w:rsidR="00167851">
        <w:t xml:space="preserve"> ny</w:t>
      </w:r>
      <w:r w:rsidRPr="00D47373">
        <w:t xml:space="preserve"> reglering i analogi med Svenska kraftnäts reglering inom elförsörjningen </w:t>
      </w:r>
      <w:r w:rsidRPr="005611B0">
        <w:t>(SvKFS 2013:1, föreskrifter och allmänna råd om säkerhetsskydd), som baseras på säkerhetsskyddslagen.</w:t>
      </w:r>
      <w:r w:rsidRPr="00D47373">
        <w:t xml:space="preserve">  </w:t>
      </w:r>
    </w:p>
    <w:p w:rsidR="0033313C" w:rsidRPr="0033313C" w:rsidRDefault="00C51E26" w:rsidP="00D8442F">
      <w:pPr>
        <w:pStyle w:val="Brdtext"/>
      </w:pPr>
      <w:r>
        <w:t xml:space="preserve">Ett beslut om att en verksamhet är skyddsobjekt enligt </w:t>
      </w:r>
      <w:r w:rsidR="00D8442F">
        <w:t xml:space="preserve">Skyddslagen </w:t>
      </w:r>
      <w:r>
        <w:t>(2010:305) innebär</w:t>
      </w:r>
      <w:r w:rsidR="00167851">
        <w:t xml:space="preserve"> exempelvis</w:t>
      </w:r>
      <w:r>
        <w:t xml:space="preserve"> att obehöriga inte har tillträde till skyddsobjektet samt i vissa fall avbildningsförbud. Identifierande av s</w:t>
      </w:r>
      <w:r w:rsidR="0033313C">
        <w:t>kyddsobjekt ger en ökad möjlighet att skydda verksamheten och skulle kunna vara tillämpligt för delar av fjärrvärmeverksamheten. I flera fall</w:t>
      </w:r>
      <w:r w:rsidR="00D418BE">
        <w:t xml:space="preserve"> där fjärrvärmeföretag har kraftvärmeverk</w:t>
      </w:r>
      <w:r w:rsidR="0033313C">
        <w:t xml:space="preserve"> sammanfall</w:t>
      </w:r>
      <w:r w:rsidR="00167851">
        <w:t>e</w:t>
      </w:r>
      <w:r w:rsidR="0033313C">
        <w:t xml:space="preserve">r verksamheterna med Svenska kraftnäts reglering och ansvarsområde, men skulle även kunna omfatta </w:t>
      </w:r>
      <w:r w:rsidR="00D418BE">
        <w:t>andra delar av företagen och flera delar av branschen.</w:t>
      </w:r>
    </w:p>
    <w:p w:rsidR="0028197C" w:rsidRDefault="00A66D7E" w:rsidP="00D8442F">
      <w:pPr>
        <w:pStyle w:val="Rubrik3"/>
      </w:pPr>
      <w:r>
        <w:t xml:space="preserve">IT och </w:t>
      </w:r>
      <w:r w:rsidR="0028197C">
        <w:t>Informationssäkerhet</w:t>
      </w:r>
    </w:p>
    <w:p w:rsidR="00A47197" w:rsidRDefault="00985A7B" w:rsidP="00E46D48">
      <w:pPr>
        <w:pStyle w:val="Punktlista"/>
        <w:numPr>
          <w:ilvl w:val="0"/>
          <w:numId w:val="0"/>
        </w:numPr>
      </w:pPr>
      <w:r w:rsidRPr="00031825">
        <w:t>Fjärr</w:t>
      </w:r>
      <w:r w:rsidR="00E46D48" w:rsidRPr="00031825">
        <w:t>värmeföretagen har börjat komma till insikt om hur beroende de är av IT-infrastrukturen o</w:t>
      </w:r>
      <w:r w:rsidR="00891575">
        <w:t>ch elektroniska kommunikationer. Energimyndigheten bedömer dock att</w:t>
      </w:r>
      <w:r w:rsidR="00E46D48" w:rsidRPr="00031825">
        <w:t xml:space="preserve"> de inte</w:t>
      </w:r>
      <w:r w:rsidR="00891575">
        <w:t xml:space="preserve"> är</w:t>
      </w:r>
      <w:r w:rsidR="00E46D48" w:rsidRPr="00031825">
        <w:t xml:space="preserve"> på det klara med hur detta ska hanteras. Fjärrvärmeföretagen </w:t>
      </w:r>
      <w:r w:rsidR="00352E5A">
        <w:lastRenderedPageBreak/>
        <w:t xml:space="preserve">har generellt inte kommit särskilt långt avseende </w:t>
      </w:r>
      <w:r w:rsidR="00E46D48" w:rsidRPr="00031825">
        <w:t>vissa risker kop</w:t>
      </w:r>
      <w:r w:rsidR="00891575">
        <w:t>plade till informationssäkerhet. Detta gäller</w:t>
      </w:r>
      <w:r w:rsidR="00E46D48" w:rsidRPr="00031825">
        <w:t xml:space="preserve"> framförallt risker kopplade till</w:t>
      </w:r>
      <w:r w:rsidR="00352E5A">
        <w:t xml:space="preserve"> att</w:t>
      </w:r>
      <w:r w:rsidR="00E46D48" w:rsidRPr="00031825">
        <w:t xml:space="preserve"> skydda information </w:t>
      </w:r>
      <w:r w:rsidR="00274FA4" w:rsidRPr="00031825">
        <w:t>f</w:t>
      </w:r>
      <w:r w:rsidR="00274FA4">
        <w:t>ör</w:t>
      </w:r>
      <w:r w:rsidR="00274FA4" w:rsidRPr="00031825">
        <w:t xml:space="preserve"> </w:t>
      </w:r>
      <w:r w:rsidR="00E46D48" w:rsidRPr="00031825">
        <w:t>obehöriga (konf</w:t>
      </w:r>
      <w:r w:rsidR="00891575">
        <w:t>iden</w:t>
      </w:r>
      <w:r w:rsidR="00E46D48" w:rsidRPr="00031825">
        <w:t>tialitet</w:t>
      </w:r>
      <w:r w:rsidR="00416A2E">
        <w:t>, sekretess och spårbarhet</w:t>
      </w:r>
      <w:r w:rsidR="00E46D48" w:rsidRPr="00031825">
        <w:t>) och risker</w:t>
      </w:r>
      <w:r w:rsidR="00D418BE">
        <w:t xml:space="preserve"> för händelser</w:t>
      </w:r>
      <w:r w:rsidR="00E46D48" w:rsidRPr="00031825">
        <w:t xml:space="preserve"> med </w:t>
      </w:r>
      <w:r w:rsidR="00891575">
        <w:t>låg sannolikhet och mycket stora konsekvenser</w:t>
      </w:r>
      <w:r w:rsidR="00E46D48" w:rsidRPr="00031825">
        <w:t>.</w:t>
      </w:r>
      <w:r w:rsidR="00E46D48">
        <w:t xml:space="preserve">   </w:t>
      </w:r>
    </w:p>
    <w:p w:rsidR="00891575" w:rsidRDefault="00DA178B" w:rsidP="00891575">
      <w:pPr>
        <w:pStyle w:val="Brdtext"/>
      </w:pPr>
      <w:r w:rsidRPr="00891575">
        <w:t>De större och medelstora företagen förefaller ha kommit en bit på väg inom</w:t>
      </w:r>
      <w:r w:rsidR="00416A2E">
        <w:t xml:space="preserve"> vi</w:t>
      </w:r>
      <w:r w:rsidR="00D418BE">
        <w:t>ktiga</w:t>
      </w:r>
      <w:r w:rsidR="00416A2E">
        <w:t xml:space="preserve"> aspekter (exempelvis</w:t>
      </w:r>
      <w:r w:rsidR="0033313C">
        <w:t xml:space="preserve"> </w:t>
      </w:r>
      <w:r w:rsidR="00D418BE">
        <w:t>hanteringen av</w:t>
      </w:r>
      <w:r w:rsidR="00416A2E">
        <w:t xml:space="preserve"> tillgänglighet</w:t>
      </w:r>
      <w:r w:rsidR="0033313C">
        <w:t xml:space="preserve"> till styr- och övervakningssystem</w:t>
      </w:r>
      <w:r w:rsidR="00D418BE">
        <w:t xml:space="preserve"> mm.</w:t>
      </w:r>
      <w:r w:rsidR="00416A2E">
        <w:t>)</w:t>
      </w:r>
      <w:r w:rsidR="00CD6F48">
        <w:t xml:space="preserve">, </w:t>
      </w:r>
      <w:r w:rsidRPr="00891575">
        <w:t xml:space="preserve">men det tycks finnas stora brister inom </w:t>
      </w:r>
      <w:r w:rsidR="0033313C">
        <w:t>andra</w:t>
      </w:r>
      <w:r w:rsidRPr="00891575">
        <w:t>, inklusive utbildning av personal. Exempel på områd</w:t>
      </w:r>
      <w:r w:rsidR="006B6D73">
        <w:t>en för utbildningsbehov kan röra</w:t>
      </w:r>
      <w:r w:rsidRPr="00891575">
        <w:t xml:space="preserve"> till synes enkla saker som lösenordshantering och </w:t>
      </w:r>
      <w:r w:rsidR="006B6D73">
        <w:t xml:space="preserve">anställdas </w:t>
      </w:r>
      <w:r w:rsidRPr="00891575">
        <w:t xml:space="preserve">telefonsamtal i publik miljö. </w:t>
      </w:r>
    </w:p>
    <w:p w:rsidR="0033313C" w:rsidRDefault="00155327" w:rsidP="00E46D48">
      <w:pPr>
        <w:pStyle w:val="Punktlista"/>
        <w:numPr>
          <w:ilvl w:val="0"/>
          <w:numId w:val="0"/>
        </w:numPr>
      </w:pPr>
      <w:r>
        <w:t>Behov av reglering</w:t>
      </w:r>
      <w:r w:rsidR="0033313C">
        <w:t xml:space="preserve"> på samma sätt som</w:t>
      </w:r>
      <w:r>
        <w:t xml:space="preserve"> för</w:t>
      </w:r>
      <w:r w:rsidR="0033313C">
        <w:t xml:space="preserve"> säkerhetsskydd (se avsnitt </w:t>
      </w:r>
      <w:r w:rsidR="0033313C">
        <w:fldChar w:fldCharType="begin"/>
      </w:r>
      <w:r w:rsidR="0033313C">
        <w:instrText xml:space="preserve"> REF _Ref437955974 \r \h </w:instrText>
      </w:r>
      <w:r w:rsidR="0033313C">
        <w:fldChar w:fldCharType="separate"/>
      </w:r>
      <w:r w:rsidR="000A5878">
        <w:t>6.2</w:t>
      </w:r>
      <w:r w:rsidR="0033313C">
        <w:fldChar w:fldCharType="end"/>
      </w:r>
      <w:r w:rsidR="0033313C">
        <w:t xml:space="preserve"> ovan)</w:t>
      </w:r>
      <w:r>
        <w:t xml:space="preserve"> kan finnas</w:t>
      </w:r>
      <w:r w:rsidR="0033313C">
        <w:t>.</w:t>
      </w:r>
      <w:r w:rsidR="001B5FDA">
        <w:t xml:space="preserve"> En sådan reglering skulle eventuellt även kunna omfatta krav på</w:t>
      </w:r>
      <w:r>
        <w:t>,</w:t>
      </w:r>
      <w:r w:rsidR="001B5FDA">
        <w:t xml:space="preserve"> </w:t>
      </w:r>
      <w:r w:rsidR="00F414CF">
        <w:t>och/</w:t>
      </w:r>
      <w:r>
        <w:t xml:space="preserve">eller införande av system för </w:t>
      </w:r>
      <w:r w:rsidR="001B5FDA">
        <w:t>rapportering av IT-incidenter.</w:t>
      </w:r>
      <w:r w:rsidR="00F414CF">
        <w:t xml:space="preserve"> </w:t>
      </w:r>
      <w:r w:rsidR="00F414CF" w:rsidRPr="00F414CF">
        <w:rPr>
          <w:rStyle w:val="BrdtextChar"/>
        </w:rPr>
        <w:t xml:space="preserve">Syftet med ett sådant system </w:t>
      </w:r>
      <w:r w:rsidR="00F414CF">
        <w:rPr>
          <w:rStyle w:val="BrdtextChar"/>
        </w:rPr>
        <w:t>skulle vara</w:t>
      </w:r>
      <w:r w:rsidR="00F414CF" w:rsidRPr="00F414CF">
        <w:rPr>
          <w:rStyle w:val="BrdtextChar"/>
        </w:rPr>
        <w:t xml:space="preserve"> att möjliggöra en förbättrad lägesbild över informationssäkerheten</w:t>
      </w:r>
      <w:r w:rsidR="00F414CF">
        <w:rPr>
          <w:rStyle w:val="BrdtextChar"/>
        </w:rPr>
        <w:t>, i likhet med det nyligen beslutade kravet riktat till statliga myndigheter</w:t>
      </w:r>
      <w:r w:rsidR="00F414CF">
        <w:rPr>
          <w:rStyle w:val="Fotnotsreferens"/>
        </w:rPr>
        <w:footnoteReference w:id="35"/>
      </w:r>
      <w:r w:rsidR="00F414CF">
        <w:rPr>
          <w:rStyle w:val="BrdtextChar"/>
        </w:rPr>
        <w:t>.</w:t>
      </w:r>
    </w:p>
    <w:p w:rsidR="009B2562" w:rsidRDefault="001B5FDA" w:rsidP="00D8442F">
      <w:pPr>
        <w:pStyle w:val="Brdtext"/>
      </w:pPr>
      <w:r w:rsidRPr="00D47373">
        <w:t xml:space="preserve">Andra </w:t>
      </w:r>
      <w:r>
        <w:t xml:space="preserve">och eventuellt kompletterande </w:t>
      </w:r>
      <w:r w:rsidRPr="00D47373">
        <w:t>sätt att hantera informationssäkerhetsrisker är att informera</w:t>
      </w:r>
      <w:r>
        <w:t xml:space="preserve">, </w:t>
      </w:r>
      <w:r w:rsidRPr="00D47373">
        <w:t>utbild</w:t>
      </w:r>
      <w:r>
        <w:t xml:space="preserve">a och på andra sätt </w:t>
      </w:r>
      <w:r w:rsidRPr="00D47373">
        <w:t>främja specifika risk- och sårbarhetsanalyser med fokus på informationssäkerhet</w:t>
      </w:r>
      <w:r>
        <w:t xml:space="preserve">. </w:t>
      </w:r>
    </w:p>
    <w:p w:rsidR="00A961C6" w:rsidRDefault="00A961C6">
      <w:pPr>
        <w:pStyle w:val="Rubrik2"/>
      </w:pPr>
      <w:bookmarkStart w:id="78" w:name="_Toc438471443"/>
      <w:r>
        <w:t>Mått på distributionsnätets robusthet</w:t>
      </w:r>
      <w:bookmarkEnd w:id="78"/>
    </w:p>
    <w:p w:rsidR="00A961C6" w:rsidRDefault="00A961C6" w:rsidP="00A961C6">
      <w:pPr>
        <w:pStyle w:val="Brdtext"/>
      </w:pPr>
      <w:r>
        <w:t xml:space="preserve">För att kunna </w:t>
      </w:r>
      <w:r w:rsidR="009B2562">
        <w:t>bedöma</w:t>
      </w:r>
      <w:r>
        <w:t xml:space="preserve"> nivån på ett fjärrvärmeföretags förmåga att förebygga avbrott behövs ett antal parametrar. En viktig del handlar om nyckeltal eller indikatorer för hur robust distributionsnätet är.</w:t>
      </w:r>
      <w:r w:rsidR="00A66D7E">
        <w:t xml:space="preserve"> Detta är något som det enskilda företaget behöver</w:t>
      </w:r>
      <w:r w:rsidR="00274FA4">
        <w:t xml:space="preserve"> exempelvis</w:t>
      </w:r>
      <w:r w:rsidR="00A66D7E">
        <w:t xml:space="preserve"> för sina risk- och sårbarhetsanalyser, sin underhållsplanering. Branschen som helhet kan behöva det för kvalitets- och utvecklingsarbete. </w:t>
      </w:r>
      <w:r w:rsidR="00E052C3">
        <w:t>Kommun</w:t>
      </w:r>
      <w:r w:rsidR="00C52D22">
        <w:t xml:space="preserve">, länsstyrelser och </w:t>
      </w:r>
      <w:r w:rsidR="00155327">
        <w:t xml:space="preserve">centrala </w:t>
      </w:r>
      <w:r w:rsidR="00C52D22">
        <w:t>myndigheter</w:t>
      </w:r>
      <w:r w:rsidR="00155327">
        <w:t xml:space="preserve"> </w:t>
      </w:r>
      <w:r w:rsidR="00E052C3">
        <w:t>kan ha behov för bland annat si</w:t>
      </w:r>
      <w:r w:rsidR="006B6D73">
        <w:t>na risk- och sårbarhetsanalyser.</w:t>
      </w:r>
    </w:p>
    <w:p w:rsidR="00A961C6" w:rsidRDefault="00A961C6" w:rsidP="00A961C6">
      <w:pPr>
        <w:pStyle w:val="Brdtext"/>
      </w:pPr>
      <w:r>
        <w:t xml:space="preserve">Ett visst läckage finns i alla fjärrvärmenät. Detta kompenseras kontinuerligt genom påfyllning av mediavatten – s.k. spädmatning. </w:t>
      </w:r>
      <w:r w:rsidR="00A66D7E">
        <w:t>Hur stor spädmatning som kontinuerligt krävs är en indikator på nätets status. En annan indikator handlar om hur stora värmeförluster som sker i nätet. Ökad värmeförlust kan bland annat tyda på ökad mängd fukt i isoleringen kring rören.</w:t>
      </w:r>
    </w:p>
    <w:p w:rsidR="00A961C6" w:rsidRDefault="00A961C6" w:rsidP="00A961C6">
      <w:pPr>
        <w:pStyle w:val="Brdtext"/>
      </w:pPr>
      <w:r>
        <w:t xml:space="preserve">Några önskvärda indikatorer på fjärrvärmenätens robusthet kan </w:t>
      </w:r>
      <w:r w:rsidR="00A66D7E">
        <w:t xml:space="preserve">därför </w:t>
      </w:r>
      <w:r>
        <w:t>vara:</w:t>
      </w:r>
    </w:p>
    <w:p w:rsidR="00A961C6" w:rsidRDefault="00A961C6" w:rsidP="00A961C6">
      <w:pPr>
        <w:pStyle w:val="Brdtext"/>
        <w:numPr>
          <w:ilvl w:val="0"/>
          <w:numId w:val="12"/>
        </w:numPr>
      </w:pPr>
      <w:r>
        <w:t>Omsättni</w:t>
      </w:r>
      <w:r w:rsidR="0033313C">
        <w:t>n</w:t>
      </w:r>
      <w:r>
        <w:t>gen av mediavatten (exempelvis volym spädmatning/total volym och år). Här kan branschen ena</w:t>
      </w:r>
      <w:r w:rsidR="00E052C3">
        <w:t>s om</w:t>
      </w:r>
      <w:r w:rsidR="00C52D22">
        <w:t xml:space="preserve"> vad som är</w:t>
      </w:r>
      <w:r w:rsidR="00E052C3">
        <w:t xml:space="preserve"> normal respektive hög nivå,</w:t>
      </w:r>
    </w:p>
    <w:p w:rsidR="00A961C6" w:rsidRDefault="00E052C3" w:rsidP="00A961C6">
      <w:pPr>
        <w:pStyle w:val="Brdtext"/>
        <w:numPr>
          <w:ilvl w:val="0"/>
          <w:numId w:val="12"/>
        </w:numPr>
      </w:pPr>
      <w:r>
        <w:t>Värmeförluster i nätet,</w:t>
      </w:r>
    </w:p>
    <w:p w:rsidR="00A961C6" w:rsidRPr="00D553BC" w:rsidRDefault="00A961C6" w:rsidP="00A961C6">
      <w:pPr>
        <w:pStyle w:val="Brdtext"/>
        <w:numPr>
          <w:ilvl w:val="0"/>
          <w:numId w:val="12"/>
        </w:numPr>
      </w:pPr>
      <w:r>
        <w:lastRenderedPageBreak/>
        <w:t xml:space="preserve">Avbrotts-, skade- och incidentstatistik som förutom antal och typ av skada även innehåller uppgifter om avbrottstider, antal drabbade (eller åtminstone utebliven energileverans) med mera. </w:t>
      </w:r>
    </w:p>
    <w:p w:rsidR="00A961C6" w:rsidRDefault="00A961C6" w:rsidP="00A961C6">
      <w:pPr>
        <w:pStyle w:val="Rubrik2"/>
      </w:pPr>
      <w:bookmarkStart w:id="79" w:name="_Toc438471444"/>
      <w:r>
        <w:t>Definition av ett avbrott och nyckeltal</w:t>
      </w:r>
      <w:bookmarkEnd w:id="79"/>
    </w:p>
    <w:p w:rsidR="00A961C6" w:rsidRDefault="00A961C6" w:rsidP="00A961C6">
      <w:pPr>
        <w:pStyle w:val="Brdtext"/>
      </w:pPr>
      <w:r>
        <w:t xml:space="preserve">Det finns idag ingen vedertagen definition av leveransavbrott i fjärrvärmen. Det har delvis sin bakgrund i fjärrvärmens buffrande förmåga (se avsnitt </w:t>
      </w:r>
      <w:r>
        <w:fldChar w:fldCharType="begin"/>
      </w:r>
      <w:r>
        <w:instrText xml:space="preserve"> REF _Ref436990140 \r \h </w:instrText>
      </w:r>
      <w:r>
        <w:fldChar w:fldCharType="separate"/>
      </w:r>
      <w:r w:rsidR="000A5878">
        <w:t>3.2.3</w:t>
      </w:r>
      <w:r>
        <w:fldChar w:fldCharType="end"/>
      </w:r>
      <w:r>
        <w:t xml:space="preserve">). </w:t>
      </w:r>
      <w:r w:rsidR="008274F4">
        <w:t>Frånvaron av en sådan definition</w:t>
      </w:r>
      <w:r>
        <w:t xml:space="preserve"> medför bland annat att en tillförlitlig avbrottsstatistik inte kan föras, vare sig i det enskilda företaget eller nationellt. </w:t>
      </w:r>
    </w:p>
    <w:p w:rsidR="00A961C6" w:rsidRDefault="00A961C6" w:rsidP="00A961C6">
      <w:pPr>
        <w:pStyle w:val="Brdtext"/>
      </w:pPr>
      <w:r>
        <w:t>Som en följd av detta har branschen inte några vedertagna leveransnyckeltal och tillförlitlighetsindex</w:t>
      </w:r>
      <w:r w:rsidR="008274F4">
        <w:t xml:space="preserve"> avseende leveranssäkerhet</w:t>
      </w:r>
      <w:r>
        <w:t>. Det vore önskvärt med nyckeltal i st</w:t>
      </w:r>
      <w:r w:rsidR="00E052C3">
        <w:t xml:space="preserve">il med de som finns </w:t>
      </w:r>
      <w:r w:rsidR="00C52D22">
        <w:t>inom elförsörjningen</w:t>
      </w:r>
      <w:r w:rsidR="008274F4">
        <w:rPr>
          <w:rStyle w:val="Fotnotsreferens"/>
        </w:rPr>
        <w:footnoteReference w:id="36"/>
      </w:r>
      <w:r w:rsidR="00E052C3">
        <w:t>, såsom SAIFI, CAIDI m.fl.</w:t>
      </w:r>
      <w:r w:rsidR="004C76AC">
        <w:t xml:space="preserve"> På så sätt kunde företagen jämföra sig med varandra avseende antal avbrott, hur många kunder som drabbas och</w:t>
      </w:r>
      <w:r w:rsidR="008274F4">
        <w:t xml:space="preserve"> </w:t>
      </w:r>
      <w:r w:rsidR="004C76AC">
        <w:t>avbrott</w:t>
      </w:r>
      <w:r w:rsidR="008274F4">
        <w:t>ens tidsutdräkt</w:t>
      </w:r>
      <w:r w:rsidR="004C76AC">
        <w:t>. Det skulle bland annat underlätta för företagens ledningar att förstå vilken status de egna anläggningarna har.</w:t>
      </w:r>
    </w:p>
    <w:p w:rsidR="00A961C6" w:rsidRDefault="00A961C6" w:rsidP="00A961C6">
      <w:pPr>
        <w:pStyle w:val="Brdtext"/>
      </w:pPr>
      <w:r>
        <w:t xml:space="preserve">Nyckeltal som baseras på antalet kunder kan bli svåra att skapa (se </w:t>
      </w:r>
      <w:r w:rsidRPr="005611B0">
        <w:t xml:space="preserve">avsnitt </w:t>
      </w:r>
      <w:r w:rsidRPr="005611B0">
        <w:fldChar w:fldCharType="begin"/>
      </w:r>
      <w:r w:rsidRPr="005611B0">
        <w:instrText xml:space="preserve"> REF _Ref437336224 \r \h </w:instrText>
      </w:r>
      <w:r w:rsidR="005611B0">
        <w:instrText xml:space="preserve"> \* MERGEFORMAT </w:instrText>
      </w:r>
      <w:r w:rsidRPr="005611B0">
        <w:fldChar w:fldCharType="separate"/>
      </w:r>
      <w:r w:rsidR="000A5878">
        <w:t>6.5</w:t>
      </w:r>
      <w:r w:rsidRPr="005611B0">
        <w:fldChar w:fldCharType="end"/>
      </w:r>
      <w:r w:rsidRPr="005611B0">
        <w:t xml:space="preserve"> nedan). Däremot skulle man kunna relatera distributionsavbrott till andra</w:t>
      </w:r>
      <w:r>
        <w:t xml:space="preserve"> parametrar såsom årsenergi, abonnerad värmeeffekt och total ledningslängd.</w:t>
      </w:r>
    </w:p>
    <w:p w:rsidR="00D41F53" w:rsidRDefault="00D41F53" w:rsidP="00A961C6">
      <w:pPr>
        <w:pStyle w:val="Brdtext"/>
      </w:pPr>
      <w:r>
        <w:t>Svensk Fjärrvärme har i en arbetsgrupp börjat titta på detta</w:t>
      </w:r>
      <w:r w:rsidRPr="00D41F53">
        <w:t xml:space="preserve"> </w:t>
      </w:r>
      <w:r>
        <w:t>under år 2015. Det finns fjärrvärmeföretag som arbetar med liknande nyckeltal, och deras arbetsätt kommer att utvärderas inom arbetsgruppen så att Svensk Fjärrvärme kan ta fram ett fungerande arbetssätt för att enkelt få fram dessa nyckeltal. Energimyndigheten kommer att följa utvecklingen på detta område.</w:t>
      </w:r>
    </w:p>
    <w:p w:rsidR="00A961C6" w:rsidRDefault="00A961C6" w:rsidP="00A961C6">
      <w:pPr>
        <w:pStyle w:val="Rubrik2"/>
      </w:pPr>
      <w:bookmarkStart w:id="80" w:name="_Ref437336224"/>
      <w:bookmarkStart w:id="81" w:name="_Toc438471445"/>
      <w:r>
        <w:t>Definition av en kund</w:t>
      </w:r>
      <w:bookmarkEnd w:id="80"/>
      <w:bookmarkEnd w:id="81"/>
    </w:p>
    <w:p w:rsidR="00A961C6" w:rsidRDefault="00A961C6" w:rsidP="00A961C6">
      <w:pPr>
        <w:pStyle w:val="Brdtext"/>
      </w:pPr>
      <w:r>
        <w:t xml:space="preserve">Fjärrvärmeföretagen vet naturligtvis vilka kunder de har. Men de vet inte alltid hur många (och vilka) hushåll och verksamheter som drabbas vid ett avbrott. Detta beror på att kund och slutanvändare inte alltid är desamma. </w:t>
      </w:r>
      <w:r w:rsidR="00B50773">
        <w:t>Fjärrvärmeföretagets</w:t>
      </w:r>
      <w:r>
        <w:t xml:space="preserve"> fysiska</w:t>
      </w:r>
      <w:r w:rsidR="00B50773">
        <w:t xml:space="preserve"> ”</w:t>
      </w:r>
      <w:r>
        <w:t>kontaktyta</w:t>
      </w:r>
      <w:r w:rsidR="00B50773">
        <w:t>”</w:t>
      </w:r>
      <w:r>
        <w:t xml:space="preserve"> mot </w:t>
      </w:r>
      <w:r w:rsidR="00B50773">
        <w:t>kunden</w:t>
      </w:r>
      <w:r>
        <w:t xml:space="preserve"> kan vara en värmeväxlare i ett flerbostadshus eller verksamhetslokal</w:t>
      </w:r>
      <w:r w:rsidR="00B50773">
        <w:t>, bakom vilken en mängd hushåll och/eller verksamheter kan finnas</w:t>
      </w:r>
      <w:r>
        <w:t xml:space="preserve">. </w:t>
      </w:r>
    </w:p>
    <w:p w:rsidR="00A961C6" w:rsidRDefault="00A961C6" w:rsidP="00A961C6">
      <w:pPr>
        <w:pStyle w:val="Brdtext"/>
      </w:pPr>
      <w:r>
        <w:t>Detta medför två svårigheter avseende avbrott. Dels kan samhällsviktig verksamhet i sådana fastigheter vara okänd för fjärrvärmeföretaget. Och dels medför detta utmaningar i utformandet av leveransnyckeltal.</w:t>
      </w:r>
    </w:p>
    <w:p w:rsidR="0028197C" w:rsidRDefault="0028197C" w:rsidP="00B030B5">
      <w:pPr>
        <w:pStyle w:val="Rubrik2"/>
      </w:pPr>
      <w:bookmarkStart w:id="82" w:name="_Toc438213916"/>
      <w:bookmarkStart w:id="83" w:name="_Toc438214745"/>
      <w:bookmarkStart w:id="84" w:name="_Ref438107831"/>
      <w:bookmarkStart w:id="85" w:name="_Toc438471446"/>
      <w:bookmarkEnd w:id="82"/>
      <w:bookmarkEnd w:id="83"/>
      <w:r>
        <w:t>”Decibelunderhåll” och reservdelar</w:t>
      </w:r>
      <w:bookmarkEnd w:id="84"/>
      <w:bookmarkEnd w:id="85"/>
    </w:p>
    <w:p w:rsidR="0028197C" w:rsidRDefault="0028197C" w:rsidP="0028197C">
      <w:pPr>
        <w:pStyle w:val="Brdtext"/>
      </w:pPr>
      <w:r>
        <w:t xml:space="preserve">Det finns gott om gamla fjärrvärmerör, och många gånger är de äldsta också av de grövsta dimensionerna, som försörjer stora mängder slutanvändare. Under rätt </w:t>
      </w:r>
      <w:r>
        <w:lastRenderedPageBreak/>
        <w:t xml:space="preserve">betingelser kan livslängden på rören vara mycket lång. Men det är genuint svårt att bedöma status på nätets olika delar. </w:t>
      </w:r>
    </w:p>
    <w:p w:rsidR="00A11BA9" w:rsidRDefault="00A11BA9" w:rsidP="0028197C">
      <w:pPr>
        <w:pStyle w:val="Brdtext"/>
      </w:pPr>
      <w:r>
        <w:t xml:space="preserve">Skador i distributionsnäten inträffar mer eller mindre löpande. De flesta avgränsas och repareras ganska snabbt, och blir ingen ”stor sak” – ofta märks de inte ens hos kunderna. Men med brister i förebyggande underhåll och stigande ålder på näten ökar riskerna för riktigt stora avbrott. </w:t>
      </w:r>
    </w:p>
    <w:p w:rsidR="00947476" w:rsidRDefault="0028197C" w:rsidP="0028197C">
      <w:pPr>
        <w:pStyle w:val="Brdtext"/>
      </w:pPr>
      <w:r>
        <w:t>Alla företag arbetar med både avhjälpande och förebyggande underhåll. Många har ett väl strukturerat och långsiktigt arbete med förebyggande underhåll och förnyelseplanering. Många har också god tillgång på reservmaterial för de vanligaste felen.</w:t>
      </w:r>
      <w:r w:rsidR="00DD11FE">
        <w:t xml:space="preserve"> Men vad som är en välavvägd nivå på underhåll, reservmaterial och förnyelse (med avseende på ekonomi, säkerhet,</w:t>
      </w:r>
      <w:r w:rsidR="00296367">
        <w:t xml:space="preserve"> risker, hotbild,</w:t>
      </w:r>
      <w:r w:rsidR="00DD11FE">
        <w:t xml:space="preserve"> tillförlitlighet etc.) är vanskligt att bedöma. Inte sällan skiljer sig bedömningen åt mellan drift-, underhålls- eller anläggningsansvariga å ena sidan och företagets ledning å andra sidan</w:t>
      </w:r>
      <w:r w:rsidR="005611B0">
        <w:t>, och det krävs väl underbyggd argumentation för att få gehör för behoven</w:t>
      </w:r>
      <w:r w:rsidR="00DD11FE">
        <w:t xml:space="preserve">. </w:t>
      </w:r>
      <w:r w:rsidR="00A11BA9">
        <w:t>Om företagens underhållsavdelningar inte lyckats hålla företagsledningen medveten om frekvensen på de ”dagliga” störningarna så kan det vara svårt att få gehör för underhållsbehoven.</w:t>
      </w:r>
    </w:p>
    <w:p w:rsidR="004C76AC" w:rsidRDefault="004C76AC" w:rsidP="0028197C">
      <w:pPr>
        <w:pStyle w:val="Brdtext"/>
      </w:pPr>
      <w:r>
        <w:t>Reservdelstillgången</w:t>
      </w:r>
      <w:r w:rsidR="00296367">
        <w:t>, framför allt</w:t>
      </w:r>
      <w:r>
        <w:t xml:space="preserve"> avseende de lokala nätens grövsta dimensioner</w:t>
      </w:r>
      <w:r w:rsidR="00296367">
        <w:t>,</w:t>
      </w:r>
      <w:r>
        <w:t xml:space="preserve"> har identifierats som en potentiell svaghet. Detta medför en ökad risk för långvariga och omfattande avbrott.</w:t>
      </w:r>
    </w:p>
    <w:p w:rsidR="007C13A7" w:rsidRDefault="00274FA4" w:rsidP="00647871">
      <w:pPr>
        <w:pStyle w:val="Brdtext"/>
      </w:pPr>
      <w:r>
        <w:t>Energimyndigheten bedömer att det finns fjärrvärme</w:t>
      </w:r>
      <w:r w:rsidR="00DD11FE">
        <w:t>företag som i någon mån har ett eftersatt underhåll och/eller stora</w:t>
      </w:r>
      <w:r w:rsidR="003656D7">
        <w:t xml:space="preserve"> uppdämda</w:t>
      </w:r>
      <w:r w:rsidR="00DD11FE">
        <w:t xml:space="preserve"> behov av investeringar i</w:t>
      </w:r>
      <w:r w:rsidR="00296367">
        <w:t xml:space="preserve"> förnyelse av sina anläggningar.</w:t>
      </w:r>
      <w:r w:rsidR="00DD11FE">
        <w:t xml:space="preserve"> </w:t>
      </w:r>
      <w:r w:rsidR="00296367">
        <w:t>Detta bidrar</w:t>
      </w:r>
      <w:r w:rsidR="00DD11FE">
        <w:t xml:space="preserve"> både </w:t>
      </w:r>
      <w:r w:rsidR="00296367">
        <w:t>till en ökad finansiell risk</w:t>
      </w:r>
      <w:r w:rsidR="00DD11FE">
        <w:t xml:space="preserve"> och </w:t>
      </w:r>
      <w:r w:rsidR="00B050D4">
        <w:t xml:space="preserve">till </w:t>
      </w:r>
      <w:r w:rsidR="00296367">
        <w:t>en ökad risk för långvariga avbrott. Omfattningen av d</w:t>
      </w:r>
      <w:r w:rsidR="00DD11FE">
        <w:t xml:space="preserve">etta har dock inte undersökts inom ramen för denna utredning. </w:t>
      </w:r>
    </w:p>
    <w:p w:rsidR="00CD70FA" w:rsidRDefault="00CD70FA" w:rsidP="00D8442F">
      <w:pPr>
        <w:pStyle w:val="Rubrik2"/>
      </w:pPr>
      <w:bookmarkStart w:id="86" w:name="_Toc438471447"/>
      <w:r>
        <w:t>Ägarförhållanden och styrning</w:t>
      </w:r>
      <w:bookmarkEnd w:id="86"/>
    </w:p>
    <w:p w:rsidR="00CD70FA" w:rsidRDefault="00CD70FA" w:rsidP="00647871">
      <w:pPr>
        <w:pStyle w:val="Brdtext"/>
      </w:pPr>
      <w:r>
        <w:t>Under de senaste decennierna har landskapet delvis förändrats med avseende på fjärrvärmeföretagens huvudmän och ägare. Företag har bolagiserats, avkastningskrav och direktiv från ägarna har justerats, bolag har sålts till olika typer av ägare etc. Nya typer av ägare har tillkommit, både långsiktiga kapitalförvaltare (som exempelvis förvaltar utländska pensionsfonder) och kortsiktiga. Vad som längs denna väg hänt med företagens samhällsansvar, redundans på produktionsanläggningar, policy för förnyelse och underhåll etc. är vanskligt att uttala sig om.</w:t>
      </w:r>
      <w:r w:rsidR="00F518C2">
        <w:t xml:space="preserve"> Att uttala sig om framtiden är än mer vanskligt.</w:t>
      </w:r>
    </w:p>
    <w:p w:rsidR="00CD70FA" w:rsidRDefault="00CD70FA" w:rsidP="00647871">
      <w:pPr>
        <w:pStyle w:val="Brdtext"/>
      </w:pPr>
      <w:r>
        <w:t xml:space="preserve">Genom de intervjuer och studier som genomförts inom ramen för denna utredning har Energimyndigheten varken kunnat belägga eller avfärda att </w:t>
      </w:r>
      <w:r w:rsidR="009972D3">
        <w:t>utvecklingen avseende förmågan att förebygga eller åtgärda avbrott skulle ha försämrats av sådana skäl.</w:t>
      </w:r>
      <w:r w:rsidR="00D418BE">
        <w:t xml:space="preserve"> Det finns dock anledning för branschen som helhet att bevaka denna fråga.</w:t>
      </w:r>
    </w:p>
    <w:p w:rsidR="009B2562" w:rsidRDefault="009B2562" w:rsidP="00D8442F">
      <w:pPr>
        <w:pStyle w:val="Rubrik2"/>
      </w:pPr>
      <w:bookmarkStart w:id="87" w:name="_Ref438044774"/>
      <w:bookmarkStart w:id="88" w:name="_Toc438471448"/>
      <w:r>
        <w:lastRenderedPageBreak/>
        <w:t xml:space="preserve">Mål för </w:t>
      </w:r>
      <w:r w:rsidR="003A121E">
        <w:t xml:space="preserve">fjärrvärmens </w:t>
      </w:r>
      <w:r>
        <w:t>försörjningstrygghet</w:t>
      </w:r>
      <w:bookmarkEnd w:id="87"/>
      <w:bookmarkEnd w:id="88"/>
    </w:p>
    <w:p w:rsidR="00665E4F" w:rsidRDefault="00665E4F" w:rsidP="00665E4F">
      <w:pPr>
        <w:pStyle w:val="Brdtext"/>
        <w:rPr>
          <w:lang w:eastAsia="en-US"/>
        </w:rPr>
      </w:pPr>
      <w:r>
        <w:rPr>
          <w:lang w:eastAsia="en-US"/>
        </w:rPr>
        <w:t xml:space="preserve">I avsnitt </w:t>
      </w:r>
      <w:r w:rsidR="0022208E">
        <w:rPr>
          <w:lang w:eastAsia="en-US"/>
        </w:rPr>
        <w:fldChar w:fldCharType="begin"/>
      </w:r>
      <w:r w:rsidR="0022208E">
        <w:rPr>
          <w:lang w:eastAsia="en-US"/>
        </w:rPr>
        <w:instrText xml:space="preserve"> REF _Ref438214141 \r \h </w:instrText>
      </w:r>
      <w:r w:rsidR="0022208E">
        <w:rPr>
          <w:lang w:eastAsia="en-US"/>
        </w:rPr>
      </w:r>
      <w:r w:rsidR="0022208E">
        <w:rPr>
          <w:lang w:eastAsia="en-US"/>
        </w:rPr>
        <w:fldChar w:fldCharType="separate"/>
      </w:r>
      <w:r w:rsidR="0022208E">
        <w:rPr>
          <w:lang w:eastAsia="en-US"/>
        </w:rPr>
        <w:t>3.2.4</w:t>
      </w:r>
      <w:r w:rsidR="0022208E">
        <w:rPr>
          <w:lang w:eastAsia="en-US"/>
        </w:rPr>
        <w:fldChar w:fldCharType="end"/>
      </w:r>
      <w:r w:rsidR="0022208E">
        <w:rPr>
          <w:lang w:eastAsia="en-US"/>
        </w:rPr>
        <w:t xml:space="preserve"> </w:t>
      </w:r>
      <w:r>
        <w:rPr>
          <w:lang w:eastAsia="en-US"/>
        </w:rPr>
        <w:t xml:space="preserve">nämndes bland annat tre </w:t>
      </w:r>
      <w:r w:rsidRPr="001E051C">
        <w:rPr>
          <w:lang w:eastAsia="en-US"/>
        </w:rPr>
        <w:t xml:space="preserve">resultatmål för samhällets krisberedskap </w:t>
      </w:r>
      <w:r>
        <w:rPr>
          <w:lang w:eastAsia="en-US"/>
        </w:rPr>
        <w:t xml:space="preserve">gällande </w:t>
      </w:r>
      <w:r w:rsidRPr="001E051C">
        <w:rPr>
          <w:lang w:eastAsia="en-US"/>
        </w:rPr>
        <w:t>värmeförsörjning</w:t>
      </w:r>
      <w:r w:rsidR="0022208E">
        <w:rPr>
          <w:lang w:eastAsia="en-US"/>
        </w:rPr>
        <w:t xml:space="preserve">. </w:t>
      </w:r>
      <w:r w:rsidR="00E3119E">
        <w:rPr>
          <w:lang w:eastAsia="en-US"/>
        </w:rPr>
        <w:t>Dessa kan tjäna som en utgångspunkt för att diskutera mål för försörjningstryggheten i fjärrvärmeförsörjda områden.</w:t>
      </w:r>
    </w:p>
    <w:p w:rsidR="00E3119E" w:rsidRDefault="00E3119E" w:rsidP="00665E4F">
      <w:pPr>
        <w:pStyle w:val="Brdtext"/>
        <w:rPr>
          <w:lang w:eastAsia="en-US"/>
        </w:rPr>
      </w:pPr>
      <w:r>
        <w:rPr>
          <w:lang w:eastAsia="en-US"/>
        </w:rPr>
        <w:t>Resultatmålen löd:</w:t>
      </w:r>
    </w:p>
    <w:p w:rsidR="00665E4F" w:rsidRPr="0041631F" w:rsidRDefault="00665E4F" w:rsidP="00D8442F">
      <w:pPr>
        <w:pStyle w:val="Nummerlista"/>
        <w:numPr>
          <w:ilvl w:val="0"/>
          <w:numId w:val="19"/>
        </w:numPr>
      </w:pPr>
      <w:r>
        <w:t>a</w:t>
      </w:r>
      <w:r w:rsidRPr="0041631F">
        <w:t>tt berörda aktörer med utgångspunkt i risk- och sårbarhetsanalyser, förmågebedömningar och annan beredskapsplanering vidtar åtgärder som minskar risken för allvarliga störningar i värmeförsörjningen,</w:t>
      </w:r>
    </w:p>
    <w:p w:rsidR="00665E4F" w:rsidRPr="0041631F" w:rsidRDefault="00665E4F" w:rsidP="00665E4F">
      <w:pPr>
        <w:pStyle w:val="Nummerlista"/>
      </w:pPr>
      <w:r>
        <w:t>a</w:t>
      </w:r>
      <w:r w:rsidRPr="0041631F">
        <w:t>tt samhällsviktiga system för värmeförsörjningen efter en störning kan återställas inom en sådan tid och på en sådan nivå att byggnader och infrastruktur skyddas mot frysskador samt</w:t>
      </w:r>
    </w:p>
    <w:p w:rsidR="00665E4F" w:rsidRPr="0041631F" w:rsidRDefault="00665E4F" w:rsidP="00665E4F">
      <w:pPr>
        <w:pStyle w:val="Nummerlista"/>
      </w:pPr>
      <w:r>
        <w:t>a</w:t>
      </w:r>
      <w:r w:rsidRPr="0041631F">
        <w:t>tt det finns en planering som har en sådan omfattning och inriktning att varje individ vid en allvarlig störning i värmeförsörjningen i ett krisläge har tillgång till ett uppvärmt utrymme inom en sådan tid att det inte uppstår hälsorisker.</w:t>
      </w:r>
    </w:p>
    <w:p w:rsidR="009B2562" w:rsidRPr="001C0BD4" w:rsidRDefault="009B2562" w:rsidP="009B2562">
      <w:pPr>
        <w:pStyle w:val="Nummerlista"/>
        <w:numPr>
          <w:ilvl w:val="0"/>
          <w:numId w:val="0"/>
        </w:numPr>
      </w:pPr>
      <w:r>
        <w:t>Möjliga tillämpningar kan vara enligt nedanstående:</w:t>
      </w:r>
    </w:p>
    <w:p w:rsidR="009B2562" w:rsidRDefault="009B2562" w:rsidP="009B2562">
      <w:pPr>
        <w:pStyle w:val="Punktlista"/>
        <w:numPr>
          <w:ilvl w:val="0"/>
          <w:numId w:val="10"/>
        </w:numPr>
      </w:pPr>
      <w:r>
        <w:t xml:space="preserve">Uppfyllande av det första målet skulle innebära en komplettering av fjärrvärmeföretagens nuvarande ansvar för genomförande av riskanalyser, säkerhetsanalyser m.m. Branschorganisationen Svensk Fjärrvärmes tekniska bestämmelser utgör branschstandard, som bygger på fjärrvärmebranschens samlade kunskap och kompetens inom distribution och fjärrvärmecentraler. Bestämmelserna omfattar handlingar för komponenter, anvisningar, certifiering och garanti. Av bestämmelserna framgår funktions- och utförandekrav med </w:t>
      </w:r>
      <w:r w:rsidR="00274FA4">
        <w:t xml:space="preserve">målet </w:t>
      </w:r>
      <w:r>
        <w:t>att få god funktion, säkra system och långsiktig hållbarhet.</w:t>
      </w:r>
      <w:r>
        <w:rPr>
          <w:rStyle w:val="Fotnotsreferens"/>
        </w:rPr>
        <w:footnoteReference w:id="37"/>
      </w:r>
    </w:p>
    <w:p w:rsidR="009B2562" w:rsidRDefault="009B2562" w:rsidP="009B2562">
      <w:pPr>
        <w:pStyle w:val="Punktlista"/>
        <w:numPr>
          <w:ilvl w:val="0"/>
          <w:numId w:val="10"/>
        </w:numPr>
      </w:pPr>
      <w:r>
        <w:t>Uppfyllande av det andra målet skulle främst ligga inom fjärrvärmeföretagens ansvar. Ett sådant mål skulle fordra ett tydliggörande av en mängd aspekter, såsom kriterier för samhällsviktiga system, acceptabel avbrottstid, vilken organisatorisk och annan kapacitet hos fjärrvärmeföretagen som krävs etc.</w:t>
      </w:r>
    </w:p>
    <w:p w:rsidR="009B2562" w:rsidRDefault="009B2562" w:rsidP="009B2562">
      <w:pPr>
        <w:pStyle w:val="Punktlista"/>
        <w:numPr>
          <w:ilvl w:val="0"/>
          <w:numId w:val="10"/>
        </w:numPr>
      </w:pPr>
      <w:r>
        <w:t>Uppfyllandet av det tredje målet torde främst vara ett ansvar för kommunerna som, enligt lagen (</w:t>
      </w:r>
      <w:r w:rsidRPr="002E0CE7">
        <w:t>2006:544) om kommuners och landstings åtgärder inför och vid extraordinära händelser i fredstid och höjd beredskap, har i uppgift att</w:t>
      </w:r>
      <w:r>
        <w:t xml:space="preserve"> identifiera risker m.m. inom sitt geografiska område. Avbrott i värmeleveranser är en tydlig risk i det sammanhanget.</w:t>
      </w:r>
      <w:r>
        <w:rPr>
          <w:rStyle w:val="Fotnotsreferens"/>
        </w:rPr>
        <w:footnoteReference w:id="38"/>
      </w:r>
      <w:r>
        <w:t xml:space="preserve"> Möjligen skulle även fastighetsägare som hyr ut bostäder och lokaler, styrelserna i bostadsrättsföreningar m.fl. kunna omfattas av detta mål.</w:t>
      </w:r>
    </w:p>
    <w:p w:rsidR="009B2562" w:rsidRPr="00F518C2" w:rsidRDefault="00E3119E" w:rsidP="00DD210B">
      <w:pPr>
        <w:pStyle w:val="Brdtext"/>
      </w:pPr>
      <w:r>
        <w:t xml:space="preserve">Detta utgör en bakgrund till en del av slutsatserna i avsnitt </w:t>
      </w:r>
      <w:r>
        <w:fldChar w:fldCharType="begin"/>
      </w:r>
      <w:r>
        <w:instrText xml:space="preserve"> REF _Ref438042914 \r \h </w:instrText>
      </w:r>
      <w:r>
        <w:fldChar w:fldCharType="separate"/>
      </w:r>
      <w:r w:rsidR="000A5878">
        <w:t>7.2.3</w:t>
      </w:r>
      <w:r>
        <w:fldChar w:fldCharType="end"/>
      </w:r>
      <w:r>
        <w:t>.</w:t>
      </w:r>
    </w:p>
    <w:p w:rsidR="00EC675B" w:rsidRDefault="00EC675B" w:rsidP="00EC675B">
      <w:pPr>
        <w:pStyle w:val="Rubrik1"/>
      </w:pPr>
      <w:bookmarkStart w:id="89" w:name="_Toc438471449"/>
      <w:bookmarkStart w:id="90" w:name="_Ref438106395"/>
      <w:r>
        <w:lastRenderedPageBreak/>
        <w:t>Slutsatser</w:t>
      </w:r>
      <w:bookmarkEnd w:id="89"/>
      <w:r>
        <w:t xml:space="preserve"> </w:t>
      </w:r>
      <w:bookmarkEnd w:id="90"/>
    </w:p>
    <w:p w:rsidR="00566B2B" w:rsidRPr="00566B2B" w:rsidRDefault="00566B2B" w:rsidP="00F518C2">
      <w:pPr>
        <w:pStyle w:val="Brdtext"/>
      </w:pPr>
      <w:r>
        <w:t xml:space="preserve">Slutsatserna är uppdelade i två avsnitt som följer uppdragets två delar. Underlaget gällande företagens ekonomiska ställning </w:t>
      </w:r>
      <w:r w:rsidR="00A829E7">
        <w:t>beskrivs</w:t>
      </w:r>
      <w:r>
        <w:t xml:space="preserve"> framför allt i avsnitt </w:t>
      </w:r>
      <w:r w:rsidR="00A829E7">
        <w:fldChar w:fldCharType="begin"/>
      </w:r>
      <w:r w:rsidR="00A829E7">
        <w:instrText xml:space="preserve"> REF _Ref438106676 \r \h </w:instrText>
      </w:r>
      <w:r w:rsidR="00A829E7">
        <w:fldChar w:fldCharType="separate"/>
      </w:r>
      <w:r w:rsidR="000A5878">
        <w:t>4</w:t>
      </w:r>
      <w:r w:rsidR="00A829E7">
        <w:fldChar w:fldCharType="end"/>
      </w:r>
      <w:r w:rsidR="00A829E7">
        <w:t xml:space="preserve">, medan underlaget gällande avbrott främst beskrivs i avsnitt </w:t>
      </w:r>
      <w:r w:rsidR="00A829E7">
        <w:fldChar w:fldCharType="begin"/>
      </w:r>
      <w:r w:rsidR="00A829E7">
        <w:instrText xml:space="preserve"> REF _Ref438106715 \r \h </w:instrText>
      </w:r>
      <w:r w:rsidR="00A829E7">
        <w:fldChar w:fldCharType="separate"/>
      </w:r>
      <w:r w:rsidR="000A5878">
        <w:t>5</w:t>
      </w:r>
      <w:r w:rsidR="00A829E7">
        <w:fldChar w:fldCharType="end"/>
      </w:r>
      <w:r w:rsidR="00A829E7">
        <w:t xml:space="preserve"> och </w:t>
      </w:r>
      <w:r w:rsidR="00A829E7">
        <w:fldChar w:fldCharType="begin"/>
      </w:r>
      <w:r w:rsidR="00A829E7">
        <w:instrText xml:space="preserve"> REF _Ref438106726 \r \h </w:instrText>
      </w:r>
      <w:r w:rsidR="00A829E7">
        <w:fldChar w:fldCharType="separate"/>
      </w:r>
      <w:r w:rsidR="000A5878">
        <w:t>6</w:t>
      </w:r>
      <w:r w:rsidR="00A829E7">
        <w:fldChar w:fldCharType="end"/>
      </w:r>
      <w:r w:rsidR="00A829E7">
        <w:t>.</w:t>
      </w:r>
    </w:p>
    <w:p w:rsidR="009A648A" w:rsidRDefault="009A648A" w:rsidP="009A648A">
      <w:pPr>
        <w:pStyle w:val="Rubrik2"/>
      </w:pPr>
      <w:bookmarkStart w:id="91" w:name="_Toc438471450"/>
      <w:r>
        <w:t>Fjärrvärmeföretagens ekonomiska ställning</w:t>
      </w:r>
      <w:bookmarkEnd w:id="91"/>
    </w:p>
    <w:p w:rsidR="009A648A" w:rsidRDefault="009A648A" w:rsidP="009A648A">
      <w:pPr>
        <w:pStyle w:val="Brdtext"/>
      </w:pPr>
      <w:r>
        <w:t xml:space="preserve">Det finns inga tecken på att branschen som sådan skulle ha svårt att hantera betydande förändringar i sin omgivning. Den långsiktiga betalningsförmågan ser god ut och övriga finansiella nyckeltal tyder inte på någon försämring över tiden utan ser stabil ut.  På längre sikt kommer branschen att tappa en del fjärrvärmeleveranser pga. energieffektiviseringar och konkurrens från värmepumpar. Förändrade styrmedel, ökad administrativ börda och beskattning av fjärrvärmeföretag kan också försämra fjärrvärmens framtida konkurrensförmåga.  Samtidigt bidrar förändrade pris- och affärsmodeller, branschinitiativ som </w:t>
      </w:r>
      <w:r w:rsidRPr="00EE56FC">
        <w:rPr>
          <w:i/>
        </w:rPr>
        <w:t>prisdialogen</w:t>
      </w:r>
      <w:r>
        <w:t xml:space="preserve"> och effektiviseringsarbete i företagen till en ökad konkurrensförmåga hos företagen. </w:t>
      </w:r>
    </w:p>
    <w:p w:rsidR="009A648A" w:rsidRDefault="00274FA4" w:rsidP="009A648A">
      <w:pPr>
        <w:pStyle w:val="Brdtext"/>
      </w:pPr>
      <w:r>
        <w:t>Några få</w:t>
      </w:r>
      <w:r w:rsidR="009A648A">
        <w:t xml:space="preserve"> företag kan emellertid svårigheter uppstå att långsiktigt betala tillbaka sina skulder.  Det rör sig om ungefär 6 företag varav 4 är kommunala med låg soliditet (långsiktig betalningsförmåga) som samtidigt kan få svårt att höja sina priser, och därmed öka sina intäkter, eftersom konkurrensen mot bergvärmepumpar sätter en gräns på deras möjlighet att höja sina priser.</w:t>
      </w:r>
      <w:r w:rsidR="009A648A">
        <w:rPr>
          <w:rStyle w:val="Fotnotsreferens"/>
        </w:rPr>
        <w:footnoteReference w:id="39"/>
      </w:r>
      <w:r w:rsidR="009A648A">
        <w:t xml:space="preserve"> Alla utom en av dessa kommuner har dessutom en minskande befolkningsutveckling vilket leder till ett minskande värmeunderlag.</w:t>
      </w:r>
      <w:r w:rsidR="009A648A">
        <w:rPr>
          <w:rStyle w:val="Fotnotsreferens"/>
        </w:rPr>
        <w:footnoteReference w:id="40"/>
      </w:r>
    </w:p>
    <w:p w:rsidR="00681CF4" w:rsidRDefault="00681CF4" w:rsidP="00681CF4">
      <w:pPr>
        <w:pStyle w:val="Brdtext"/>
      </w:pPr>
      <w:r>
        <w:t xml:space="preserve">Utvärderingen av fjärrvärmeföretagens ekonomiska ställning bygger huvudsakligen på en kvantitativ analys av finansiella nyckeltal. Till grund för nyckeltalen ligger fjärrvärmeföretagens årliga redovisningar till Energimarknadsinspektionen. Detta innebär att hänsyn inte har tagits till huruvida företagen allokerat olika poster mellan sina olika bolag av redovisningstekniska skäl. </w:t>
      </w:r>
      <w:r w:rsidR="00EF4D2A">
        <w:t>Analysen förutsätter också att redovisade data är korrekta.</w:t>
      </w:r>
      <w:r>
        <w:t xml:space="preserve"> Andra svårigheter är att hantera hur ägandestrukturen påverkar krav på vinst och avkastning vilket inte tagits hänsyn till. Dessa faktorer kan naturligtvis påverka utfallet och analysen är därför mer av övergripande karaktär för att söka utröna huruvida det v</w:t>
      </w:r>
      <w:r w:rsidR="00EF4D2A">
        <w:t>erkar finnas ett problem som föranleder en fördjupad utredning</w:t>
      </w:r>
      <w:r>
        <w:t>.</w:t>
      </w:r>
    </w:p>
    <w:p w:rsidR="003B0838" w:rsidRDefault="003B0838" w:rsidP="003B0838">
      <w:pPr>
        <w:pStyle w:val="Brdtext"/>
      </w:pPr>
      <w:r>
        <w:lastRenderedPageBreak/>
        <w:t>Utredningen har inte</w:t>
      </w:r>
      <w:r w:rsidR="00EF4D2A">
        <w:t xml:space="preserve"> heller</w:t>
      </w:r>
      <w:r>
        <w:t xml:space="preserve"> tagit hänsyn till kostnad som skulle kunna uppstå för enskilda fjärrvärmeföretag i och med behovet av nyinvesteringar i infrastruktur. Skulle det visa sig att företag med ekonomiska svårigheter även har ett starkt växande behov av nyinvestering så skulle bilden i denna analys kunna ändras.</w:t>
      </w:r>
    </w:p>
    <w:p w:rsidR="000D05C6" w:rsidRDefault="009A648A" w:rsidP="009A648A">
      <w:pPr>
        <w:pStyle w:val="Brdtext"/>
      </w:pPr>
      <w:r>
        <w:t>Analysen av fjärrvärmebolagens ekonomiska ställning bedöms</w:t>
      </w:r>
      <w:r w:rsidR="00A829E7">
        <w:t xml:space="preserve"> dock</w:t>
      </w:r>
      <w:r>
        <w:t xml:space="preserve"> inte föranleda en djupare och mer långtgående utredning i nuläget. Fjärrvärmebranschen verkar väl rustad att stå emot eventuella ekonomiska chocker även om det finns ett fåtal mindre bolag som ser ut att ha särskilda utmaningar. Det bör även tilläggas att det inte rör sig om några stora mängder fjärrvärmeleveranser vilket rimligtvis </w:t>
      </w:r>
      <w:r w:rsidR="000D05C6">
        <w:t>begränsar de</w:t>
      </w:r>
      <w:r w:rsidR="003B0838">
        <w:t xml:space="preserve"> storskaliga</w:t>
      </w:r>
      <w:r w:rsidR="000D05C6">
        <w:t xml:space="preserve"> samhälleliga konsekvenserna av </w:t>
      </w:r>
      <w:r w:rsidR="003B0838">
        <w:t>en potentiell konkurs. Risken för en mycket besvärlig situation i de aktuella tätorterna kan dock inte</w:t>
      </w:r>
      <w:r w:rsidR="00EF4D2A">
        <w:t xml:space="preserve"> helt</w:t>
      </w:r>
      <w:r w:rsidR="003B0838">
        <w:t xml:space="preserve"> uteslutas.</w:t>
      </w:r>
    </w:p>
    <w:p w:rsidR="009A648A" w:rsidRDefault="009A648A" w:rsidP="009A648A">
      <w:pPr>
        <w:pStyle w:val="Brdtext"/>
      </w:pPr>
      <w:r>
        <w:t>Fjärrvärmens utmaningar och dess kostnader påverkas i hög grad av regelverk och styrmedel och för närvarande pågår ett flertal olika initiativ och politiska processer, både nationellt och inom EU.</w:t>
      </w:r>
      <w:r>
        <w:rPr>
          <w:rStyle w:val="Fotnotsreferens"/>
        </w:rPr>
        <w:footnoteReference w:id="41"/>
      </w:r>
      <w:r>
        <w:t xml:space="preserve"> Dessa processer kan innebära ökade kostnader för fjärrvärmeföretagen varför det är viktigt att vara medveten om hur dessa omvärldsfaktorer utvecklar sig och huruvida de kommer att bidra till ytterligare behov längre fram att göra en mer detaljerad utredning. I nuläget </w:t>
      </w:r>
      <w:r w:rsidR="00274FA4">
        <w:t xml:space="preserve">bedöms </w:t>
      </w:r>
      <w:r>
        <w:t>de</w:t>
      </w:r>
      <w:r w:rsidR="00274FA4">
        <w:t>t</w:t>
      </w:r>
      <w:r>
        <w:t>t</w:t>
      </w:r>
      <w:r w:rsidR="00274FA4">
        <w:t>a</w:t>
      </w:r>
      <w:r>
        <w:t xml:space="preserve"> inte</w:t>
      </w:r>
      <w:r w:rsidR="00274FA4">
        <w:t xml:space="preserve"> vara</w:t>
      </w:r>
      <w:r>
        <w:t xml:space="preserve"> nödvändigt.</w:t>
      </w:r>
    </w:p>
    <w:p w:rsidR="009A648A" w:rsidRPr="009A648A" w:rsidRDefault="009A648A" w:rsidP="009A648A">
      <w:pPr>
        <w:pStyle w:val="Rubrik2"/>
      </w:pPr>
      <w:bookmarkStart w:id="92" w:name="_Toc438471451"/>
      <w:r>
        <w:t>Förmågan att förebygga och hantera avbrott</w:t>
      </w:r>
      <w:bookmarkEnd w:id="92"/>
    </w:p>
    <w:p w:rsidR="00A4621B" w:rsidRPr="004C76AC" w:rsidRDefault="00487BED" w:rsidP="00CA0158">
      <w:pPr>
        <w:pStyle w:val="Brdtext"/>
      </w:pPr>
      <w:r w:rsidRPr="004C76AC">
        <w:t>Fjärrvärme har en särställning på värmemarknaden i och med sin storskalighet och dominans i huvuddelen av alla landets tätorter.</w:t>
      </w:r>
      <w:r w:rsidR="00156BEE">
        <w:t xml:space="preserve"> Fjärrvärmeleveranserna är över lag av god kvalitet.</w:t>
      </w:r>
      <w:r w:rsidRPr="004C76AC">
        <w:t xml:space="preserve"> </w:t>
      </w:r>
      <w:r w:rsidR="00C52D22">
        <w:t>Oplanerade a</w:t>
      </w:r>
      <w:r w:rsidR="00A4621B" w:rsidRPr="004C76AC">
        <w:t>vbrott inträffar</w:t>
      </w:r>
      <w:r w:rsidR="004C76AC">
        <w:t xml:space="preserve">, </w:t>
      </w:r>
      <w:r w:rsidR="00156BEE">
        <w:t>men de blir sällan</w:t>
      </w:r>
      <w:r w:rsidR="004C76AC">
        <w:t xml:space="preserve"> </w:t>
      </w:r>
      <w:r w:rsidR="004842C0">
        <w:t>långvariga</w:t>
      </w:r>
      <w:r w:rsidR="00A4621B" w:rsidRPr="004C76AC">
        <w:t>. Vissa av de</w:t>
      </w:r>
      <w:r w:rsidR="004842C0">
        <w:t xml:space="preserve"> avbrott</w:t>
      </w:r>
      <w:r w:rsidR="00C24574">
        <w:t xml:space="preserve"> på ett eller flera dygn</w:t>
      </w:r>
      <w:r w:rsidR="004842C0">
        <w:t xml:space="preserve"> som inträffat under de senaste åren</w:t>
      </w:r>
      <w:r w:rsidR="00A4621B" w:rsidRPr="004C76AC">
        <w:t xml:space="preserve"> skulle</w:t>
      </w:r>
      <w:r w:rsidR="00156BEE">
        <w:t xml:space="preserve"> dock</w:t>
      </w:r>
      <w:r w:rsidR="00A4621B" w:rsidRPr="004C76AC">
        <w:t xml:space="preserve"> ha kunnat få svårare konsekvenser om omständigheterna (ex</w:t>
      </w:r>
      <w:r w:rsidR="004842C0">
        <w:t>empelvis</w:t>
      </w:r>
      <w:r w:rsidR="00A4621B" w:rsidRPr="004C76AC">
        <w:t xml:space="preserve"> vädret) varit mindre gynnsamma. </w:t>
      </w:r>
      <w:r w:rsidR="004842C0">
        <w:t>R</w:t>
      </w:r>
      <w:r w:rsidR="00A4621B" w:rsidRPr="004C76AC">
        <w:t>isken</w:t>
      </w:r>
      <w:r w:rsidR="004842C0">
        <w:t xml:space="preserve"> för riktigt långa avbrott som medför en samhällskris</w:t>
      </w:r>
      <w:r w:rsidR="00A4621B" w:rsidRPr="004C76AC">
        <w:t xml:space="preserve"> ska inte negligeras.</w:t>
      </w:r>
    </w:p>
    <w:p w:rsidR="00FD79A3" w:rsidRDefault="00FD79A3" w:rsidP="00CA0158">
      <w:pPr>
        <w:pStyle w:val="Brdtext"/>
      </w:pPr>
      <w:r>
        <w:t>Fjärrvärme</w:t>
      </w:r>
      <w:r w:rsidR="004842C0">
        <w:t>lagen (2008:263) innehåller</w:t>
      </w:r>
      <w:r>
        <w:t xml:space="preserve"> bestämmelser om skydd för konsumenter mot avbrott i leveransen men det finns inga bestämmelser som anger någon maximal avbrottstid eller definierade avbrottsersättningar och tidsgränser för avbrottsersättningar. Det som finns angivet är att fjärrvärmeföretaget, med vissa undantag, är skadeståndskyldigt gentemot </w:t>
      </w:r>
      <w:r w:rsidRPr="000061C0">
        <w:rPr>
          <w:i/>
        </w:rPr>
        <w:t>konsument</w:t>
      </w:r>
      <w:r>
        <w:rPr>
          <w:i/>
        </w:rPr>
        <w:t>er</w:t>
      </w:r>
      <w:r>
        <w:t>. Det finns i dag inte heller författningsbaserade krav på fjärrvärmeföretag att de ska producera eller leverera värme (eller el), varken i vardag eller under en kris.</w:t>
      </w:r>
    </w:p>
    <w:p w:rsidR="009A648A" w:rsidRDefault="00A70F32" w:rsidP="00A70F32">
      <w:pPr>
        <w:pStyle w:val="Rubrik3"/>
      </w:pPr>
      <w:r>
        <w:t>Risker och sårbarheter måste uppmärksammas</w:t>
      </w:r>
    </w:p>
    <w:p w:rsidR="00156BEE" w:rsidRDefault="004842C0" w:rsidP="00156BEE">
      <w:pPr>
        <w:pStyle w:val="Brdtext"/>
      </w:pPr>
      <w:r w:rsidRPr="004842C0">
        <w:t>Fjärrvärmeföretagens användning av, och innehåll i, risk- och sårbarhetsanalyser (RSA)</w:t>
      </w:r>
      <w:r w:rsidR="00FA123E" w:rsidRPr="004842C0">
        <w:t xml:space="preserve"> har brister. Inte minst</w:t>
      </w:r>
      <w:r w:rsidR="001E3FBE">
        <w:t xml:space="preserve"> ur ett systemperspektiv och</w:t>
      </w:r>
      <w:r w:rsidR="00FA123E" w:rsidRPr="004842C0">
        <w:t xml:space="preserve"> gällande informationssäkerhetsaspekterna</w:t>
      </w:r>
      <w:r w:rsidR="00B050D4">
        <w:t xml:space="preserve">, men även gällande organisatoriska aspekter och </w:t>
      </w:r>
      <w:r w:rsidR="00B050D4">
        <w:lastRenderedPageBreak/>
        <w:t>risker från omvärldshändelser</w:t>
      </w:r>
      <w:r w:rsidR="00FA123E" w:rsidRPr="004842C0">
        <w:t>.</w:t>
      </w:r>
      <w:r w:rsidRPr="004842C0">
        <w:t xml:space="preserve"> Ett visst utvecklingsarbete pågår i branschen.</w:t>
      </w:r>
      <w:r w:rsidR="00FA123E" w:rsidRPr="004842C0">
        <w:t xml:space="preserve"> </w:t>
      </w:r>
      <w:r w:rsidRPr="004842C0">
        <w:t xml:space="preserve">Vägen bedöms </w:t>
      </w:r>
      <w:r w:rsidR="00274FA4" w:rsidRPr="004842C0">
        <w:t>d</w:t>
      </w:r>
      <w:r w:rsidR="00274FA4">
        <w:t>ock</w:t>
      </w:r>
      <w:r w:rsidR="00274FA4" w:rsidRPr="004842C0">
        <w:t xml:space="preserve"> </w:t>
      </w:r>
      <w:r w:rsidRPr="004842C0">
        <w:t>vara</w:t>
      </w:r>
      <w:r w:rsidR="00E15C82">
        <w:t xml:space="preserve"> alltför</w:t>
      </w:r>
      <w:r w:rsidR="00FA123E" w:rsidRPr="004842C0">
        <w:t xml:space="preserve"> lång att gå innan alla företag gör risk- och sårbarhetsanalyser</w:t>
      </w:r>
      <w:r w:rsidR="007B6D49">
        <w:t xml:space="preserve"> (RSA)</w:t>
      </w:r>
      <w:r w:rsidR="00FA123E" w:rsidRPr="004842C0">
        <w:t xml:space="preserve"> </w:t>
      </w:r>
      <w:r w:rsidR="00274FA4">
        <w:t>på ett sätt som är godtagbart</w:t>
      </w:r>
      <w:r w:rsidR="00274FA4" w:rsidRPr="004842C0">
        <w:t xml:space="preserve"> </w:t>
      </w:r>
      <w:r w:rsidR="00FA123E" w:rsidRPr="004842C0">
        <w:t>för sin</w:t>
      </w:r>
      <w:r w:rsidR="00274FA4">
        <w:t xml:space="preserve"> egen</w:t>
      </w:r>
      <w:r w:rsidR="00FA123E" w:rsidRPr="004842C0">
        <w:t xml:space="preserve"> verksamhet</w:t>
      </w:r>
      <w:r w:rsidR="00274FA4">
        <w:t xml:space="preserve"> såväl som </w:t>
      </w:r>
      <w:r w:rsidR="00FA123E" w:rsidRPr="004842C0">
        <w:t xml:space="preserve">och </w:t>
      </w:r>
      <w:r w:rsidR="00274FA4">
        <w:t>för det</w:t>
      </w:r>
      <w:r w:rsidR="00274FA4" w:rsidRPr="004842C0">
        <w:t xml:space="preserve"> </w:t>
      </w:r>
      <w:r w:rsidR="00FA123E" w:rsidRPr="004842C0">
        <w:t>omgiv</w:t>
      </w:r>
      <w:r w:rsidR="00274FA4">
        <w:t>ande samhället</w:t>
      </w:r>
      <w:r w:rsidR="00FA123E" w:rsidRPr="004842C0">
        <w:t xml:space="preserve">. Ett visst lärande </w:t>
      </w:r>
      <w:r w:rsidR="00B050D4">
        <w:t>mellan</w:t>
      </w:r>
      <w:r w:rsidR="00FA123E" w:rsidRPr="004842C0">
        <w:t xml:space="preserve"> företag i branschen sker, viss kompetens kommer in via personer från andra branscher</w:t>
      </w:r>
      <w:r>
        <w:t xml:space="preserve">, men </w:t>
      </w:r>
      <w:r w:rsidR="00156BEE">
        <w:t xml:space="preserve">mycket tyder på att </w:t>
      </w:r>
      <w:r w:rsidR="00B050D4">
        <w:t>utvecklingen</w:t>
      </w:r>
      <w:r w:rsidR="00156BEE">
        <w:t xml:space="preserve"> sker fragmentariskt och alltför långsamt.</w:t>
      </w:r>
    </w:p>
    <w:p w:rsidR="00156BEE" w:rsidRDefault="00156BEE" w:rsidP="00156BEE">
      <w:pPr>
        <w:pStyle w:val="Brdtext"/>
      </w:pPr>
      <w:r>
        <w:t xml:space="preserve">Energimyndigheten har i sin omvärldsbevakning noterat ett ökat antal </w:t>
      </w:r>
      <w:r w:rsidR="001E3FBE">
        <w:t>informationssäkerhets</w:t>
      </w:r>
      <w:r>
        <w:t xml:space="preserve">relaterade incidenter inom energisektorn. Det är av stor vikt att </w:t>
      </w:r>
      <w:r w:rsidR="001E3FBE">
        <w:t xml:space="preserve">sådana </w:t>
      </w:r>
      <w:r>
        <w:t xml:space="preserve">hot beaktas och hanteras på ett mer systematiskt sätt av aktörerna inom alla delar av energiförsörjningen. Ett </w:t>
      </w:r>
      <w:r w:rsidR="00C24574">
        <w:t xml:space="preserve">led i detta är att </w:t>
      </w:r>
      <w:r>
        <w:t>öka medvetenheten och kunskapen om dessa hot</w:t>
      </w:r>
      <w:r w:rsidR="00B050D4" w:rsidRPr="00B050D4">
        <w:t xml:space="preserve"> </w:t>
      </w:r>
      <w:r w:rsidR="00B050D4">
        <w:t>hos fjärrvärmeföretagen</w:t>
      </w:r>
      <w:r w:rsidR="009B440E">
        <w:t>.</w:t>
      </w:r>
      <w:r w:rsidR="009B440E" w:rsidRPr="009B440E">
        <w:t xml:space="preserve"> </w:t>
      </w:r>
      <w:r w:rsidR="009B440E">
        <w:t>För att öka it-säkerheten skulle företagen även kunna rapportera sina it-incidenter. Ett system för rapportering är under införande och Energimyndigheten bedömer att det vore värdefullt om företagen deltog i systemet. Dock bör det finnas en aktör som aktivt stödjer företagen och som kan tydliggöra behov och förväntningar.</w:t>
      </w:r>
    </w:p>
    <w:p w:rsidR="001E3FBE" w:rsidRDefault="00156BEE" w:rsidP="00156BEE">
      <w:pPr>
        <w:pStyle w:val="Brdtext"/>
      </w:pPr>
      <w:r w:rsidRPr="00B71D2A">
        <w:t>Energimyndigheten gör bedömningen att</w:t>
      </w:r>
      <w:r>
        <w:t xml:space="preserve"> företagens</w:t>
      </w:r>
      <w:r w:rsidRPr="00B71D2A">
        <w:t xml:space="preserve"> säkerhetsskydd, </w:t>
      </w:r>
      <w:r w:rsidR="009B440E">
        <w:t>arbetet med risker</w:t>
      </w:r>
      <w:r w:rsidRPr="00B71D2A">
        <w:t xml:space="preserve"> och sårbarheter i styr- och övervakningssystem och informationssäkerhet i allmänhet, behöver</w:t>
      </w:r>
      <w:r>
        <w:t xml:space="preserve"> utvecklas</w:t>
      </w:r>
      <w:r w:rsidRPr="00B71D2A">
        <w:t>. Affärsverket svenska kraftnät är utpekad säkerhetsskyddsmyndighet inom elförsörjningen med tillhörande tillsynsansvar</w:t>
      </w:r>
      <w:r>
        <w:t xml:space="preserve">, men motsvarande roll saknas i övriga </w:t>
      </w:r>
      <w:r w:rsidR="00B050D4">
        <w:t>delar av energiförsörjningen, däribland fjärrvärmeförsörjningen</w:t>
      </w:r>
      <w:r>
        <w:t>.</w:t>
      </w:r>
      <w:r w:rsidR="001E3FBE">
        <w:t xml:space="preserve"> Fjärrvärmeföretagen saknar därmed</w:t>
      </w:r>
      <w:r w:rsidR="00E3119E">
        <w:t xml:space="preserve"> också</w:t>
      </w:r>
      <w:r w:rsidR="001E3FBE">
        <w:t xml:space="preserve"> nödvändigt stöd från en utpekad myndighet med branschkunskap och sektorsansvar.</w:t>
      </w:r>
    </w:p>
    <w:p w:rsidR="00156BEE" w:rsidRDefault="00A70F32" w:rsidP="00A70F32">
      <w:pPr>
        <w:pStyle w:val="Rubrik3"/>
      </w:pPr>
      <w:r>
        <w:t>Underhåll och reservdelsförsörjning</w:t>
      </w:r>
    </w:p>
    <w:p w:rsidR="008A37C2" w:rsidRDefault="00FA123E" w:rsidP="00FA123E">
      <w:pPr>
        <w:pStyle w:val="Brdtext"/>
      </w:pPr>
      <w:r w:rsidRPr="004842C0">
        <w:t xml:space="preserve">Ingenting tyder på att förebyggande underhåll </w:t>
      </w:r>
      <w:r w:rsidR="004842C0" w:rsidRPr="004842C0">
        <w:t xml:space="preserve">över lag </w:t>
      </w:r>
      <w:r w:rsidRPr="004842C0">
        <w:t>underskattas</w:t>
      </w:r>
      <w:r w:rsidR="00B050D4">
        <w:t xml:space="preserve"> bland företagen – i synnerhet rörande</w:t>
      </w:r>
      <w:r w:rsidRPr="004842C0">
        <w:t xml:space="preserve"> produktionsanläggningarna. Flera underhållsansvariga menar att möjligheterna att få gehör</w:t>
      </w:r>
      <w:r w:rsidR="004842C0" w:rsidRPr="004842C0">
        <w:t xml:space="preserve"> internt</w:t>
      </w:r>
      <w:r w:rsidRPr="004842C0">
        <w:t xml:space="preserve"> för en underhållsbudget är bättre än för en nyetablerings-/ex</w:t>
      </w:r>
      <w:r w:rsidR="00156BEE">
        <w:t>pansionsbudget. Företagen värnar</w:t>
      </w:r>
      <w:r w:rsidRPr="004842C0">
        <w:t xml:space="preserve"> om den kontinuerliga leveransen.</w:t>
      </w:r>
      <w:r w:rsidR="007D2CE0" w:rsidRPr="004842C0">
        <w:t xml:space="preserve"> </w:t>
      </w:r>
      <w:r w:rsidR="00362A1B">
        <w:t>Energimyndigheten bedömer att det finns</w:t>
      </w:r>
      <w:r w:rsidR="008A37C2">
        <w:t xml:space="preserve"> </w:t>
      </w:r>
      <w:r w:rsidR="00362A1B">
        <w:t>fjärrvärme</w:t>
      </w:r>
      <w:r w:rsidR="008A37C2">
        <w:t>företag som i någon mån har ett eftersatt underhåll och/eller stora uppdämda behov av investeringar i förnyelse av sina anläggningar.</w:t>
      </w:r>
    </w:p>
    <w:p w:rsidR="00FA123E" w:rsidRPr="004842C0" w:rsidRDefault="007D2CE0" w:rsidP="00FA123E">
      <w:pPr>
        <w:pStyle w:val="Brdtext"/>
      </w:pPr>
      <w:r w:rsidRPr="004842C0">
        <w:t xml:space="preserve">Delar av branschen har </w:t>
      </w:r>
      <w:r w:rsidR="008A37C2">
        <w:t>också</w:t>
      </w:r>
      <w:r w:rsidRPr="004842C0">
        <w:t xml:space="preserve"> en relativt stor andel grova </w:t>
      </w:r>
      <w:r w:rsidR="00E3119E">
        <w:t>fjärrvärmeledningar</w:t>
      </w:r>
      <w:r w:rsidR="00E3119E" w:rsidRPr="004842C0">
        <w:t xml:space="preserve"> </w:t>
      </w:r>
      <w:r w:rsidRPr="004842C0">
        <w:t xml:space="preserve">av äldre typer och kan </w:t>
      </w:r>
      <w:r w:rsidR="004842C0">
        <w:t xml:space="preserve">trots allt </w:t>
      </w:r>
      <w:r w:rsidRPr="004842C0">
        <w:t xml:space="preserve">förutse en ökad frekvens av omfattande avbrott i fjärrvärmeleveransen. </w:t>
      </w:r>
      <w:r w:rsidR="00156BEE">
        <w:t xml:space="preserve">Och bristerna i RSA medför att </w:t>
      </w:r>
      <w:r w:rsidR="00C24574">
        <w:t xml:space="preserve">viktiga </w:t>
      </w:r>
      <w:r w:rsidR="00156BEE">
        <w:t>sårbarheter som kräver åtgärder inte upptäcks inför underhålls- och förnyelseplaneringen.</w:t>
      </w:r>
    </w:p>
    <w:p w:rsidR="00FA123E" w:rsidRDefault="00FA123E" w:rsidP="00FA123E">
      <w:pPr>
        <w:pStyle w:val="Brdtext"/>
      </w:pPr>
      <w:r>
        <w:t>Reservdelsförsörjningen är viktig för att uppnå god leveranstillförlitlighet. Reservdelar i grova dimensioner</w:t>
      </w:r>
      <w:r w:rsidR="004728E3">
        <w:t xml:space="preserve"> är</w:t>
      </w:r>
      <w:r>
        <w:t xml:space="preserve"> särskilt viktiga för att undvika stora och långvariga avbrott i distributionsnätet. Av olika skäl förefaller många fjärrvärmeföretag sakna säker</w:t>
      </w:r>
      <w:r w:rsidR="007D2CE0">
        <w:t xml:space="preserve"> och dokumenterad</w:t>
      </w:r>
      <w:r>
        <w:t xml:space="preserve"> tillgång till just sådana reservdelar. Detta måste betraktas som en sårbarhet såväl för företagens ekonomi och goodwill som för samhällsviktiga verksamheter</w:t>
      </w:r>
      <w:r w:rsidR="004842C0">
        <w:t xml:space="preserve"> och övriga användare</w:t>
      </w:r>
      <w:r>
        <w:t>.</w:t>
      </w:r>
    </w:p>
    <w:p w:rsidR="00947476" w:rsidRDefault="00947476" w:rsidP="00FA123E">
      <w:pPr>
        <w:pStyle w:val="Brdtext"/>
      </w:pPr>
      <w:r>
        <w:t>För att öka motståndskraften mot långa och omfattande avbrott vore det önskvärt med en större beredskap och tydlighet hos många företag med avseende</w:t>
      </w:r>
      <w:r w:rsidR="004842C0">
        <w:t xml:space="preserve"> på </w:t>
      </w:r>
      <w:r w:rsidR="004842C0">
        <w:lastRenderedPageBreak/>
        <w:t>reservdelspolicy och -</w:t>
      </w:r>
      <w:r>
        <w:t>försörjning.</w:t>
      </w:r>
      <w:r w:rsidR="004842C0">
        <w:t xml:space="preserve"> De regionala reservdelspooler som tidigare funnits är idag nedlagda.</w:t>
      </w:r>
      <w:r>
        <w:t xml:space="preserve"> Den regionala och ev</w:t>
      </w:r>
      <w:r w:rsidR="00C52D22">
        <w:t>entuella</w:t>
      </w:r>
      <w:r>
        <w:t xml:space="preserve"> nationella samverkan som finns </w:t>
      </w:r>
      <w:r w:rsidR="00655DCA">
        <w:t>är sällan formaliserad eller dokumenterad.</w:t>
      </w:r>
    </w:p>
    <w:p w:rsidR="00A70F32" w:rsidRDefault="00A70F32" w:rsidP="00FA123E">
      <w:pPr>
        <w:pStyle w:val="Brdtext"/>
      </w:pPr>
      <w:r>
        <w:t>Hur företagen bedriver sitt arbete med underhåll, förnyelse, reservdelsförsörjning etc. är och förblir</w:t>
      </w:r>
      <w:r w:rsidR="0037211C">
        <w:t xml:space="preserve"> dock</w:t>
      </w:r>
      <w:r>
        <w:t xml:space="preserve"> en angelägenhet för det enskilda företaget och för branschen. De viktigaste behoven ur ett försörjningstrygghetsperspektiv bedöms kunna tillfredsställas </w:t>
      </w:r>
      <w:r w:rsidR="006B2725">
        <w:t>genom de förslag som följer här nedan.</w:t>
      </w:r>
    </w:p>
    <w:p w:rsidR="00A70F32" w:rsidRDefault="00A70F32" w:rsidP="00A70F32">
      <w:pPr>
        <w:pStyle w:val="Rubrik3"/>
      </w:pPr>
      <w:bookmarkStart w:id="93" w:name="_Ref438042914"/>
      <w:r>
        <w:t>En reglering av fjärrvärmeförsörjningen kan övervägas</w:t>
      </w:r>
      <w:bookmarkEnd w:id="93"/>
    </w:p>
    <w:p w:rsidR="00FA123E" w:rsidRPr="009E6024" w:rsidRDefault="00FA123E" w:rsidP="00FA123E">
      <w:pPr>
        <w:pStyle w:val="Brdtext"/>
      </w:pPr>
      <w:r>
        <w:t xml:space="preserve">De stora skillnaderna i beredskapsnivåer mellan fjärrvärmebolag medför att ett avbrott eller en störning i värmeförsörjningen får olika konsekvenser för slutanvändarna beroende på fjärrvärmeleverantör. Även skillnader i beredskapsåtgärder hos samhällsviktiga </w:t>
      </w:r>
      <w:r w:rsidR="00A619D0">
        <w:t xml:space="preserve">verksamheter </w:t>
      </w:r>
      <w:r w:rsidR="00C52D22">
        <w:t>inom</w:t>
      </w:r>
      <w:r w:rsidR="007B6D49">
        <w:t xml:space="preserve"> exempelvis hälso- och sjukvård</w:t>
      </w:r>
      <w:r w:rsidR="00D26425">
        <w:t xml:space="preserve"> </w:t>
      </w:r>
      <w:r w:rsidR="00B47AA2">
        <w:t>eller</w:t>
      </w:r>
      <w:r w:rsidR="00C52D22">
        <w:t xml:space="preserve"> omsorg</w:t>
      </w:r>
      <w:r>
        <w:t xml:space="preserve"> innebär att störningar eller avbrott i värmeförsörjningen medför olika konsekvenser</w:t>
      </w:r>
      <w:r w:rsidR="003D1F3D">
        <w:t xml:space="preserve"> beroende på var verksamheten bedrivs</w:t>
      </w:r>
      <w:r>
        <w:t xml:space="preserve">. </w:t>
      </w:r>
    </w:p>
    <w:p w:rsidR="00C24574" w:rsidRDefault="00C24574" w:rsidP="00CA0158">
      <w:pPr>
        <w:pStyle w:val="Brdtext"/>
      </w:pPr>
      <w:r>
        <w:t xml:space="preserve">Mot bakgrund av </w:t>
      </w:r>
      <w:r w:rsidR="00B47AA2">
        <w:t>de</w:t>
      </w:r>
      <w:r>
        <w:t xml:space="preserve"> svagheter</w:t>
      </w:r>
      <w:r w:rsidR="00B47AA2">
        <w:t xml:space="preserve"> som identifierats</w:t>
      </w:r>
      <w:r w:rsidR="00653D2E">
        <w:t xml:space="preserve"> anser</w:t>
      </w:r>
      <w:r>
        <w:t xml:space="preserve"> Energimyndigheten att </w:t>
      </w:r>
      <w:r w:rsidR="00653D2E">
        <w:t>någon form av reglering</w:t>
      </w:r>
      <w:r w:rsidR="002A7A7C">
        <w:t xml:space="preserve"> av försörjningstryggheten avseende fjärrvärme</w:t>
      </w:r>
      <w:r w:rsidR="00653D2E">
        <w:t xml:space="preserve"> bör övervägas. </w:t>
      </w:r>
      <w:r w:rsidR="002A7A7C">
        <w:t>Detta behöver</w:t>
      </w:r>
      <w:r w:rsidR="00653D2E">
        <w:t xml:space="preserve"> föregås av en fördjupad utredning</w:t>
      </w:r>
      <w:r w:rsidR="00B22577">
        <w:t>, i dialog med branschen och berörda myndigheter,</w:t>
      </w:r>
      <w:r w:rsidR="00653D2E">
        <w:t xml:space="preserve"> där behoven och möjligheterna kartläggs och värderas</w:t>
      </w:r>
      <w:r w:rsidR="00B22577">
        <w:t>, där avbrott definieras</w:t>
      </w:r>
      <w:r w:rsidR="006B6D73">
        <w:t>, leveransnyckeltal formas</w:t>
      </w:r>
      <w:r w:rsidR="00B22577">
        <w:t xml:space="preserve"> </w:t>
      </w:r>
      <w:r w:rsidR="00362A1B">
        <w:t>etc</w:t>
      </w:r>
      <w:r w:rsidR="00653D2E">
        <w:t>.</w:t>
      </w:r>
    </w:p>
    <w:p w:rsidR="00653D2E" w:rsidRDefault="002A7A7C" w:rsidP="00CA0158">
      <w:pPr>
        <w:pStyle w:val="Brdtext"/>
      </w:pPr>
      <w:r>
        <w:t>Två huvudsakliga element i en sådan möjlig reglering kan dock redan nu identifieras</w:t>
      </w:r>
      <w:r w:rsidR="00624360">
        <w:rPr>
          <w:rStyle w:val="Fotnotsreferens"/>
        </w:rPr>
        <w:footnoteReference w:id="42"/>
      </w:r>
      <w:r>
        <w:t>.</w:t>
      </w:r>
    </w:p>
    <w:p w:rsidR="002A7A7C" w:rsidRDefault="002A7A7C" w:rsidP="002A7A7C">
      <w:pPr>
        <w:pStyle w:val="Brdtext"/>
        <w:numPr>
          <w:ilvl w:val="0"/>
          <w:numId w:val="16"/>
        </w:numPr>
      </w:pPr>
      <w:r>
        <w:t>Någon f</w:t>
      </w:r>
      <w:r w:rsidR="004D6E45">
        <w:t xml:space="preserve">orm av krav på funktionen </w:t>
      </w:r>
      <w:r w:rsidR="00A619D0">
        <w:t>fjärr</w:t>
      </w:r>
      <w:r w:rsidR="004D6E45">
        <w:t>värme</w:t>
      </w:r>
      <w:r>
        <w:t xml:space="preserve">. </w:t>
      </w:r>
    </w:p>
    <w:p w:rsidR="002A7A7C" w:rsidRDefault="002A7A7C" w:rsidP="002A7A7C">
      <w:pPr>
        <w:pStyle w:val="Brdtext"/>
        <w:numPr>
          <w:ilvl w:val="0"/>
          <w:numId w:val="16"/>
        </w:numPr>
      </w:pPr>
      <w:r>
        <w:t>Krav på vissa systematiska åtgärder hos företagen.</w:t>
      </w:r>
    </w:p>
    <w:p w:rsidR="00624360" w:rsidRPr="00624360" w:rsidRDefault="00624360" w:rsidP="00CA0158">
      <w:pPr>
        <w:pStyle w:val="Brdtext"/>
      </w:pPr>
      <w:r>
        <w:t>Den första punkten kan</w:t>
      </w:r>
      <w:r w:rsidR="004D6E45">
        <w:t xml:space="preserve"> vara funktionskrav som</w:t>
      </w:r>
      <w:r>
        <w:t xml:space="preserve"> exempelvis </w:t>
      </w:r>
      <w:r w:rsidR="004D6E45">
        <w:t>innehåller bestämmelser om</w:t>
      </w:r>
      <w:r>
        <w:t xml:space="preserve"> tillåtna avbrottstider och </w:t>
      </w:r>
      <w:r w:rsidR="004D6E45">
        <w:t xml:space="preserve">om </w:t>
      </w:r>
      <w:r>
        <w:t xml:space="preserve">avbrottsrapportering. </w:t>
      </w:r>
      <w:r w:rsidR="004D6E45">
        <w:t>Det vill säga inte tekniska krav</w:t>
      </w:r>
      <w:r w:rsidR="00D26425">
        <w:t xml:space="preserve"> på hur funktionen ska bibehållas</w:t>
      </w:r>
      <w:r w:rsidR="004D6E45">
        <w:t xml:space="preserve">, eftersom teknik och metod bäst utformas av företagen själva. Ett sådant </w:t>
      </w:r>
      <w:r w:rsidR="003D1F3D">
        <w:t>funktions</w:t>
      </w:r>
      <w:r w:rsidR="004D6E45">
        <w:t xml:space="preserve">krav skulle </w:t>
      </w:r>
      <w:r w:rsidR="00A619D0">
        <w:t>dessutom medföra</w:t>
      </w:r>
      <w:r w:rsidR="004D6E45">
        <w:t xml:space="preserve"> att slutanvändare, inklusive huvudmän för samhällsviktig </w:t>
      </w:r>
      <w:r w:rsidR="004D6E45" w:rsidRPr="004D6E45">
        <w:t xml:space="preserve">verksamhet, </w:t>
      </w:r>
      <w:r w:rsidRPr="004D6E45">
        <w:t xml:space="preserve">vet vilken </w:t>
      </w:r>
      <w:r w:rsidR="0037211C">
        <w:t>leveranssäkerhets</w:t>
      </w:r>
      <w:r w:rsidRPr="004D6E45">
        <w:t>nivå systemet är dimensionerat</w:t>
      </w:r>
      <w:r w:rsidR="00B47AA2" w:rsidRPr="00B47AA2">
        <w:t xml:space="preserve"> </w:t>
      </w:r>
      <w:r w:rsidR="00B47AA2" w:rsidRPr="004D6E45">
        <w:t>för</w:t>
      </w:r>
      <w:r w:rsidRPr="004D6E45">
        <w:t>.</w:t>
      </w:r>
      <w:r w:rsidR="004D6E45">
        <w:t xml:space="preserve"> Detta tydliggör användarnas</w:t>
      </w:r>
      <w:r w:rsidR="004D6E45" w:rsidRPr="004D6E45">
        <w:t xml:space="preserve"> egen</w:t>
      </w:r>
      <w:r w:rsidRPr="004D6E45">
        <w:t>ansvar.</w:t>
      </w:r>
    </w:p>
    <w:p w:rsidR="00104A78" w:rsidRDefault="004D6E45" w:rsidP="00CA0158">
      <w:pPr>
        <w:pStyle w:val="Brdtext"/>
      </w:pPr>
      <w:r>
        <w:t>D</w:t>
      </w:r>
      <w:r w:rsidR="00624360">
        <w:t>en andra</w:t>
      </w:r>
      <w:r>
        <w:t xml:space="preserve"> punkten</w:t>
      </w:r>
      <w:r w:rsidR="0037211C">
        <w:t xml:space="preserve"> bör </w:t>
      </w:r>
      <w:r w:rsidR="00A619D0">
        <w:t>handla om</w:t>
      </w:r>
      <w:r w:rsidR="00624360">
        <w:t xml:space="preserve"> ett systematiskt arbete med risk- och sårbarhetsanalyser</w:t>
      </w:r>
      <w:r w:rsidR="00A619D0">
        <w:t>, säkerhetsskydd</w:t>
      </w:r>
      <w:r w:rsidR="00624360">
        <w:t xml:space="preserve"> och liknande. </w:t>
      </w:r>
      <w:r>
        <w:t xml:space="preserve">Här bör </w:t>
      </w:r>
      <w:r w:rsidRPr="004D6E45">
        <w:t>regelverk eftersträva användningen av befintliga</w:t>
      </w:r>
      <w:r w:rsidR="00624360" w:rsidRPr="004D6E45">
        <w:t xml:space="preserve"> standar</w:t>
      </w:r>
      <w:r w:rsidRPr="004D6E45">
        <w:t>der och metoder.</w:t>
      </w:r>
    </w:p>
    <w:p w:rsidR="00B22577" w:rsidRDefault="00B22577" w:rsidP="0005354E">
      <w:pPr>
        <w:pStyle w:val="Brdtext"/>
      </w:pPr>
      <w:r>
        <w:t xml:space="preserve">Ett fortsatt utredningsarbete bör utgå från ett helhetsperspektiv </w:t>
      </w:r>
      <w:r w:rsidR="00A619D0">
        <w:t xml:space="preserve">och </w:t>
      </w:r>
      <w:r>
        <w:t xml:space="preserve">inkludera </w:t>
      </w:r>
      <w:r w:rsidR="0037211C">
        <w:t xml:space="preserve">hela försörjningskedjan samt de </w:t>
      </w:r>
      <w:r>
        <w:t>roller och ansvar som alla berörda aktörer har, inklusive huvudmän för samhällsviktig verksamhet och geografiskt områdesansvariga för krisberedskapen.</w:t>
      </w:r>
      <w:r w:rsidR="004728E3">
        <w:t xml:space="preserve"> Den kommunala värmeberedskaps-planeringen är en av flera väsentliga komponenter som måste beaktas.</w:t>
      </w:r>
    </w:p>
    <w:p w:rsidR="00D26425" w:rsidRDefault="00D26425" w:rsidP="00D26425">
      <w:pPr>
        <w:pStyle w:val="Brdtext"/>
      </w:pPr>
      <w:r>
        <w:lastRenderedPageBreak/>
        <w:t>Med anledning av den säkerhetspolitiska utvecklingen i vårt närområde kan det redan idag finnas ett behov av att utnyttja befintliga regelverk såsom Säkerhetsskyddslagen (</w:t>
      </w:r>
      <w:r w:rsidRPr="00891575">
        <w:t>1996:627</w:t>
      </w:r>
      <w:r w:rsidR="00155327">
        <w:t>),</w:t>
      </w:r>
      <w:r>
        <w:t xml:space="preserve"> Skyddslagen (2010:305)</w:t>
      </w:r>
      <w:r w:rsidR="00155327" w:rsidRPr="00155327">
        <w:t xml:space="preserve"> </w:t>
      </w:r>
      <w:r w:rsidR="00155327">
        <w:t xml:space="preserve">och </w:t>
      </w:r>
      <w:r w:rsidR="00AB1ADC">
        <w:t>L</w:t>
      </w:r>
      <w:r w:rsidR="00155327">
        <w:t>ag (1982:1004) om totalförsvarsplanering.</w:t>
      </w:r>
      <w:r>
        <w:t xml:space="preserve"> Dessa tillämpas inte</w:t>
      </w:r>
      <w:r w:rsidR="002B4FD6">
        <w:t xml:space="preserve"> systematiskt</w:t>
      </w:r>
      <w:r>
        <w:t xml:space="preserve"> på fjärrvärmeområdet i dagsläget. Det saknas en utpekad myndighet med branschkunskap som</w:t>
      </w:r>
      <w:r w:rsidR="00155327">
        <w:t xml:space="preserve"> aktivt</w:t>
      </w:r>
      <w:r>
        <w:t xml:space="preserve"> kan stödja</w:t>
      </w:r>
      <w:r w:rsidR="00B747BF">
        <w:t xml:space="preserve"> och föra en dialog med</w:t>
      </w:r>
      <w:r>
        <w:t xml:space="preserve"> de företag där störningar i fjärrvärmeförsörjningen kan få allvarliga nationella konsekvenser, och som kan tydliggöra statens förväntningar på fjärrvärmeverksamheternas säkerhetsskydd. </w:t>
      </w:r>
      <w:r w:rsidR="00155327">
        <w:t xml:space="preserve">Planering för totalförsvar kan komma att medföra förväntningar på deltagande i planeringen och där Energimyndigheten är bevakningsansvarig myndighet för tillförsel och användning av energi. </w:t>
      </w:r>
      <w:r>
        <w:t>Det är viktigt att detta sker på ett samlat sätt från statens sida</w:t>
      </w:r>
      <w:r w:rsidR="00155327">
        <w:t xml:space="preserve">. </w:t>
      </w:r>
    </w:p>
    <w:p w:rsidR="009972D3" w:rsidRDefault="009972D3" w:rsidP="00624360">
      <w:pPr>
        <w:pStyle w:val="Brdtext"/>
      </w:pPr>
      <w:r>
        <w:t>Att införa nya krav på fjärrvärmeverksamheten kan komma att medföra vissa kostnadsökningar för företagen, vilket i sin tur skulle kunna medföra konkurrensnackdelar gentemot andra uppvärmningsformer. Fjärrvärmens storskalighet medför dock risker</w:t>
      </w:r>
      <w:r w:rsidR="00DD210B">
        <w:t xml:space="preserve"> för samhället</w:t>
      </w:r>
      <w:r>
        <w:t xml:space="preserve"> som måste vägas mot</w:t>
      </w:r>
      <w:r w:rsidR="00DD210B">
        <w:t xml:space="preserve"> detta.</w:t>
      </w:r>
      <w:r w:rsidR="00B47AA2">
        <w:t xml:space="preserve"> På sikt kan en sådan reglering</w:t>
      </w:r>
      <w:r w:rsidR="00DD210B">
        <w:t xml:space="preserve"> möjligen</w:t>
      </w:r>
      <w:r w:rsidR="00B47AA2">
        <w:t xml:space="preserve"> bidra till konkurrensfördelar</w:t>
      </w:r>
      <w:r w:rsidR="00DD210B">
        <w:t xml:space="preserve"> genom att bibehålla och öka trovärdigheten i fjärrvärmens leveranstrygghet.</w:t>
      </w:r>
    </w:p>
    <w:p w:rsidR="000A359B" w:rsidRDefault="00A27EBE" w:rsidP="00624360">
      <w:pPr>
        <w:pStyle w:val="Brdtext"/>
      </w:pPr>
      <w:r w:rsidRPr="00B22577">
        <w:t>Steg på vägen kan vara att</w:t>
      </w:r>
      <w:r w:rsidR="0092757B" w:rsidRPr="00B22577">
        <w:t xml:space="preserve"> på olika sätt uppmana företagen att arbeta med</w:t>
      </w:r>
      <w:r w:rsidR="00B22577">
        <w:t xml:space="preserve"> och utveckla exempelvis riskanalyser, informationssäkerhet och utbildning</w:t>
      </w:r>
      <w:r w:rsidR="000A359B">
        <w:t xml:space="preserve">. </w:t>
      </w:r>
      <w:r w:rsidR="009C67BC">
        <w:t>Branschen är också medveten om många av de brister som finns, och ett visst utvecklingsarbete pågår.</w:t>
      </w:r>
    </w:p>
    <w:p w:rsidR="0049087D" w:rsidRDefault="0049087D" w:rsidP="00624360">
      <w:pPr>
        <w:pStyle w:val="Brdtext"/>
      </w:pPr>
    </w:p>
    <w:p w:rsidR="00BE011D" w:rsidRPr="00BE011D" w:rsidRDefault="00BE011D" w:rsidP="00BE011D">
      <w:pPr>
        <w:pStyle w:val="Brdtext"/>
      </w:pPr>
    </w:p>
    <w:p w:rsidR="00202B4B" w:rsidRPr="00202B4B" w:rsidRDefault="00202B4B" w:rsidP="00202B4B">
      <w:pPr>
        <w:pStyle w:val="Brdtext"/>
      </w:pPr>
    </w:p>
    <w:p w:rsidR="00047F68" w:rsidRDefault="00047F68" w:rsidP="00047F68">
      <w:pPr>
        <w:pStyle w:val="Rubrik1"/>
      </w:pPr>
      <w:bookmarkStart w:id="94" w:name="_Ref437521213"/>
      <w:bookmarkStart w:id="95" w:name="_Toc438471452"/>
      <w:r>
        <w:lastRenderedPageBreak/>
        <w:t>Referenser</w:t>
      </w:r>
      <w:bookmarkEnd w:id="94"/>
      <w:bookmarkEnd w:id="95"/>
    </w:p>
    <w:p w:rsidR="00EA2838" w:rsidRDefault="00EA2838" w:rsidP="00EA2838">
      <w:pPr>
        <w:pStyle w:val="Brdtext"/>
      </w:pPr>
      <w:r>
        <w:t>GSN Energi – Nulägesanalys inom värmeförsörjningen, Dnr 2012-9068, Energimyndigheten</w:t>
      </w:r>
      <w:r w:rsidR="00644410">
        <w:t>,</w:t>
      </w:r>
      <w:r>
        <w:t xml:space="preserve"> </w:t>
      </w:r>
      <w:r w:rsidR="00644410">
        <w:t>2014.</w:t>
      </w:r>
    </w:p>
    <w:p w:rsidR="00644410" w:rsidRDefault="00644410" w:rsidP="00EA2838">
      <w:pPr>
        <w:pStyle w:val="Brdtext"/>
      </w:pPr>
      <w:r>
        <w:t>Incidenter i fjärrvärme – En erfarenhetsinsamling av avbrott och andra incidenter i svensk fjärrvärme under tre uppvärmningssäsonger, ej publicerad, Energimyndigheten 2014.</w:t>
      </w:r>
    </w:p>
    <w:p w:rsidR="00644410" w:rsidRPr="00644410" w:rsidRDefault="00644410" w:rsidP="00644410">
      <w:pPr>
        <w:pStyle w:val="Brdtext"/>
      </w:pPr>
      <w:r>
        <w:t xml:space="preserve">Riskhantering för underhåll av fjärrvärmenät, Fjärrsynrapport 2015:x, Kerstin </w:t>
      </w:r>
      <w:r w:rsidRPr="00644410">
        <w:t>Sernhet, Mikael Jönsson och My Olsson, 2015.</w:t>
      </w:r>
    </w:p>
    <w:p w:rsidR="00644410" w:rsidRDefault="0074133B" w:rsidP="00644410">
      <w:pPr>
        <w:pStyle w:val="Brdtext"/>
        <w:rPr>
          <w:rFonts w:eastAsiaTheme="minorEastAsia"/>
        </w:rPr>
      </w:pPr>
      <w:r w:rsidRPr="00644410">
        <w:rPr>
          <w:rFonts w:eastAsiaTheme="minorEastAsia"/>
        </w:rPr>
        <w:t>Sårbarhet hos fjärrvärmeförsörjning med tonvikt på känslighet för elavbrott</w:t>
      </w:r>
      <w:r w:rsidR="00644410">
        <w:rPr>
          <w:rFonts w:eastAsiaTheme="minorEastAsia"/>
        </w:rPr>
        <w:t>, ER2005:31, Energimyndigheten.</w:t>
      </w:r>
    </w:p>
    <w:p w:rsidR="00681CF4" w:rsidRDefault="0074133B" w:rsidP="00644410">
      <w:pPr>
        <w:pStyle w:val="Brdtext"/>
        <w:rPr>
          <w:rFonts w:eastAsiaTheme="minorEastAsia"/>
        </w:rPr>
      </w:pPr>
      <w:r w:rsidRPr="00681CF4">
        <w:rPr>
          <w:rFonts w:eastAsiaTheme="minorEastAsia"/>
        </w:rPr>
        <w:t>Hur snabbt blir huset kal</w:t>
      </w:r>
      <w:r w:rsidR="00681CF4">
        <w:rPr>
          <w:rFonts w:eastAsiaTheme="minorEastAsia"/>
        </w:rPr>
        <w:t>lt vid el- eller värmeavbrott? ET 2007:40, Energimyndigheten 2007.</w:t>
      </w:r>
    </w:p>
    <w:p w:rsidR="00644410" w:rsidRDefault="00644410" w:rsidP="00644410">
      <w:pPr>
        <w:pStyle w:val="Brdtext"/>
        <w:rPr>
          <w:rFonts w:eastAsiaTheme="minorEastAsia"/>
        </w:rPr>
      </w:pPr>
      <w:r>
        <w:rPr>
          <w:rFonts w:eastAsiaTheme="minorEastAsia"/>
        </w:rPr>
        <w:t>Fjärrvärme vid elavbrott – slutrapport, Patrick Lauenburg och Per-Olof Johansson, Lunds universitet, 2008.</w:t>
      </w:r>
    </w:p>
    <w:p w:rsidR="00644410" w:rsidRDefault="00644410" w:rsidP="00644410">
      <w:pPr>
        <w:pStyle w:val="Brdtext"/>
        <w:rPr>
          <w:rFonts w:eastAsiaTheme="minorEastAsia"/>
        </w:rPr>
      </w:pPr>
      <w:r>
        <w:rPr>
          <w:rFonts w:eastAsiaTheme="minorEastAsia"/>
        </w:rPr>
        <w:t>Förslag till resultatmål för samhällets krisberedskap för försörjningen av dricksvatten, livsmedel och värme, Dnr 2010-4539, Myndigheten för samhällsskydd och beredskap, 2010.</w:t>
      </w:r>
    </w:p>
    <w:p w:rsidR="00644410" w:rsidRPr="00644410" w:rsidRDefault="00644410" w:rsidP="00644410">
      <w:pPr>
        <w:pStyle w:val="Brdtext"/>
        <w:rPr>
          <w:rFonts w:eastAsiaTheme="minorEastAsia"/>
        </w:rPr>
      </w:pPr>
    </w:p>
    <w:p w:rsidR="00644410" w:rsidRDefault="00644410" w:rsidP="00EA2838">
      <w:pPr>
        <w:pStyle w:val="Brdtext"/>
      </w:pPr>
    </w:p>
    <w:p w:rsidR="00644410" w:rsidRPr="00EA2838" w:rsidRDefault="00644410" w:rsidP="00EA2838">
      <w:pPr>
        <w:pStyle w:val="Brdtext"/>
      </w:pPr>
    </w:p>
    <w:p w:rsidR="00EC675B" w:rsidRDefault="001219A5" w:rsidP="00EC675B">
      <w:pPr>
        <w:pStyle w:val="Rubrik1"/>
      </w:pPr>
      <w:bookmarkStart w:id="96" w:name="_Ref438129933"/>
      <w:bookmarkStart w:id="97" w:name="_Toc438471453"/>
      <w:r>
        <w:lastRenderedPageBreak/>
        <w:t>Kommentarer från Svensk Fjärrvärme</w:t>
      </w:r>
      <w:bookmarkEnd w:id="96"/>
      <w:bookmarkEnd w:id="97"/>
    </w:p>
    <w:p w:rsidR="008B3E63" w:rsidRDefault="008B3E63" w:rsidP="008B3E63">
      <w:pPr>
        <w:pStyle w:val="Rubrik2"/>
      </w:pPr>
      <w:bookmarkStart w:id="98" w:name="_Toc438471454"/>
      <w:bookmarkStart w:id="99" w:name="_Ref437347477"/>
      <w:r>
        <w:t>Förändrade förutsättningar i framtiden</w:t>
      </w:r>
      <w:bookmarkEnd w:id="98"/>
      <w:r>
        <w:t xml:space="preserve"> </w:t>
      </w:r>
      <w:bookmarkEnd w:id="99"/>
    </w:p>
    <w:p w:rsidR="008B3E63" w:rsidRDefault="001219A5" w:rsidP="008B3E63">
      <w:pPr>
        <w:pStyle w:val="Brdtext"/>
      </w:pPr>
      <w:r>
        <w:t>Företrädare för Svensk Fjärrvärme har i ett tidigare skede läst den del av rapporten som nu utgör avsnitt 4 samt de slutsatser som hör till detta. Följande yttrande har därefter inkommit:</w:t>
      </w:r>
    </w:p>
    <w:p w:rsidR="008B3E63" w:rsidRDefault="008862BE" w:rsidP="008B3E63">
      <w:pPr>
        <w:pStyle w:val="Ingetavstnd"/>
      </w:pPr>
      <w:r>
        <w:t>”</w:t>
      </w:r>
      <w:r w:rsidR="008B3E63">
        <w:t>Det kan konstateras att förutsättningarna på värmemarknaden har förändrats drastiskt under de senaste två åren. Priset på el har fallit kraftigt och ligger för närvarande på en historiskt låg nivå. Vidare visar de prognoser för elmarknaden som Energimyndigheten har tillgång till att elpriset fortsatt kommer att ligga på en låg nivå, åtminstone fram till 2020. För fjärrvärmebranschen innebär detta fortsatt hög konkurrens från eldrivna värmepumpar.</w:t>
      </w:r>
    </w:p>
    <w:p w:rsidR="008B3E63" w:rsidRDefault="008B3E63" w:rsidP="008B3E63">
      <w:pPr>
        <w:pStyle w:val="Ingetavstnd"/>
      </w:pPr>
    </w:p>
    <w:p w:rsidR="008B3E63" w:rsidRDefault="008B3E63" w:rsidP="008B3E63">
      <w:pPr>
        <w:pStyle w:val="Ingetavstnd"/>
      </w:pPr>
      <w:r>
        <w:t xml:space="preserve">Den hårda konkurrensen gentemot värmepumpar innebär minskade möjligheter för fjärrvärmeföretagen att höja fjärrvärmepriset och många fjärrvärmeföretag har och planerar för sänkta fjärrvärmepriser för att möta konkurrensen. Detta samtidigt som kostnaden för produktionen av fjärrvärme troligen kommer att öka de kommande åren på grund av olika politiska initiativ. Sammantaget innebär detta minskade ekonomiska marginaler för fjärrvärmeföretagen. </w:t>
      </w:r>
    </w:p>
    <w:p w:rsidR="008B3E63" w:rsidRDefault="008B3E63" w:rsidP="008B3E63">
      <w:pPr>
        <w:pStyle w:val="Ingetavstnd"/>
      </w:pPr>
    </w:p>
    <w:p w:rsidR="008B3E63" w:rsidRDefault="008B3E63" w:rsidP="008B3E63">
      <w:pPr>
        <w:pStyle w:val="Ingetavstnd"/>
      </w:pPr>
      <w:r>
        <w:t>Fjärrvärmen och dess kostnader påverkas i hög grad av regelverk och styrmedel. För närvarande pågår ett flertal olika initiativ och politiska processer, både nationellt och inom EU, som i förlängningen kommer att medföra ökade kostnader för fjärrvärmeföretagen och att konkurrensen gentemot andra uppvärmningsformer ökar ytterligare. Bland dessa initiativ och processer kan nämnas:</w:t>
      </w:r>
    </w:p>
    <w:p w:rsidR="008B3E63" w:rsidRDefault="008B3E63" w:rsidP="008B3E63">
      <w:pPr>
        <w:pStyle w:val="Ingetavstnd"/>
        <w:numPr>
          <w:ilvl w:val="0"/>
          <w:numId w:val="13"/>
        </w:numPr>
      </w:pPr>
      <w:r>
        <w:t>Utredningen om fastighetstaxering för elproduktionsenheter (dir. 2014:134) kan väntas föreslå att anläggningar för produktion av fjärrvärme ska fastighetstaxeras och fastighetsbeskattas fr.o.m. 2019.</w:t>
      </w:r>
    </w:p>
    <w:p w:rsidR="008B3E63" w:rsidRDefault="008B3E63" w:rsidP="008B3E63">
      <w:pPr>
        <w:pStyle w:val="Ingetavstnd"/>
        <w:numPr>
          <w:ilvl w:val="0"/>
          <w:numId w:val="13"/>
        </w:numPr>
      </w:pPr>
      <w:r>
        <w:t>Definitionen av nära-nollenergibyggnader enligt direktiv 2010/31/EU om byggnaders energiprestanda som gynnar individuell uppvärmning framför gemensamma uppvärmningsformer som fjärrvärme.</w:t>
      </w:r>
    </w:p>
    <w:p w:rsidR="008B3E63" w:rsidRDefault="008B3E63" w:rsidP="008B3E63">
      <w:pPr>
        <w:pStyle w:val="Ingetavstnd"/>
        <w:numPr>
          <w:ilvl w:val="0"/>
          <w:numId w:val="13"/>
        </w:numPr>
      </w:pPr>
      <w:r>
        <w:t>Reformeringen av systemet för handel med utsläppsrätter (EU ETS) kommer dels att innebära minskad gratis tilldelning av utsläppsrätter samt dels ökat pris på utsläppsrätter.</w:t>
      </w:r>
    </w:p>
    <w:p w:rsidR="008B3E63" w:rsidRDefault="008B3E63" w:rsidP="008B3E63">
      <w:pPr>
        <w:pStyle w:val="Ingetavstnd"/>
        <w:numPr>
          <w:ilvl w:val="0"/>
          <w:numId w:val="13"/>
        </w:numPr>
      </w:pPr>
      <w:r>
        <w:t>Diskussion förs om att eventuellt införa en skatt på förbränning av avfall.</w:t>
      </w:r>
    </w:p>
    <w:p w:rsidR="008B3E63" w:rsidRDefault="008B3E63" w:rsidP="008B3E63">
      <w:pPr>
        <w:pStyle w:val="Ingetavstnd"/>
        <w:numPr>
          <w:ilvl w:val="0"/>
          <w:numId w:val="13"/>
        </w:numPr>
      </w:pPr>
      <w:r>
        <w:t>Naturvårdsverket har i slutet av 2014 lämnat förslag om att kväveoxidavgiften ska förändras till en kväveoxidskatt.</w:t>
      </w:r>
    </w:p>
    <w:p w:rsidR="008B3E63" w:rsidRDefault="008B3E63" w:rsidP="008B3E63">
      <w:pPr>
        <w:pStyle w:val="Ingetavstnd"/>
        <w:numPr>
          <w:ilvl w:val="0"/>
          <w:numId w:val="13"/>
        </w:numPr>
      </w:pPr>
      <w:r>
        <w:t>Hållbarhetskriterier för fasta biobränslen kan komma att införas i samband med att EU:s förnybartdirektiv ses över under 2016.</w:t>
      </w:r>
    </w:p>
    <w:p w:rsidR="008B3E63" w:rsidRDefault="008B3E63" w:rsidP="008B3E63">
      <w:pPr>
        <w:pStyle w:val="Ingetavstnd"/>
        <w:numPr>
          <w:ilvl w:val="0"/>
          <w:numId w:val="13"/>
        </w:numPr>
      </w:pPr>
      <w:r>
        <w:t>Investeringsstöd för hyresbostäder införs 2016 där energikrav föreslås som styr mot elbaserad uppvärmning.</w:t>
      </w:r>
    </w:p>
    <w:p w:rsidR="008B3E63" w:rsidRDefault="008B3E63" w:rsidP="008B3E63">
      <w:pPr>
        <w:pStyle w:val="Ingetavstnd"/>
        <w:numPr>
          <w:ilvl w:val="0"/>
          <w:numId w:val="13"/>
        </w:numPr>
      </w:pPr>
      <w:r>
        <w:lastRenderedPageBreak/>
        <w:t>Införande av en kilometersskatt för tunga transporter, vilket påverkar transporten av bränsle till fjärrvärmeverken utreds för närvarande.</w:t>
      </w:r>
    </w:p>
    <w:p w:rsidR="008B3E63" w:rsidRDefault="008B3E63" w:rsidP="008B3E63">
      <w:pPr>
        <w:pStyle w:val="Ingetavstnd"/>
        <w:numPr>
          <w:ilvl w:val="0"/>
          <w:numId w:val="13"/>
        </w:numPr>
      </w:pPr>
      <w:r>
        <w:t>Införandet att direktivet för medelstora förbränningsanläggningar (MCP, 2015/2193/EU) och direktivet för stora förbränningsanläggningar(IED, 2010/75/EU) ökar successivt kostnaderna för miljöåtgärder i produktionsanläggningarna.</w:t>
      </w:r>
    </w:p>
    <w:p w:rsidR="008B3E63" w:rsidRDefault="008B3E63" w:rsidP="008B3E63">
      <w:pPr>
        <w:pStyle w:val="Ingetavstnd"/>
      </w:pPr>
    </w:p>
    <w:p w:rsidR="008B3E63" w:rsidRDefault="008B3E63" w:rsidP="008B3E63">
      <w:pPr>
        <w:pStyle w:val="Ingetavstnd"/>
      </w:pPr>
      <w:r>
        <w:t>Sammantaget innebär detta en påtaglig risk för ökade kostnader för fjärrvärmeföretagen i framtiden.</w:t>
      </w:r>
      <w:r w:rsidR="008862BE">
        <w:t>”</w:t>
      </w:r>
    </w:p>
    <w:p w:rsidR="00047F68" w:rsidRPr="001219A5" w:rsidRDefault="001219A5" w:rsidP="001219A5">
      <w:pPr>
        <w:pStyle w:val="Rubrik2"/>
      </w:pPr>
      <w:bookmarkStart w:id="100" w:name="_Toc438471455"/>
      <w:r>
        <w:t>För tidigt dragen slutsats om reglering</w:t>
      </w:r>
      <w:bookmarkEnd w:id="100"/>
      <w:r>
        <w:t xml:space="preserve"> </w:t>
      </w:r>
    </w:p>
    <w:p w:rsidR="00EC20EA" w:rsidRDefault="001219A5" w:rsidP="00EC20EA">
      <w:pPr>
        <w:pStyle w:val="Brdtext"/>
      </w:pPr>
      <w:r>
        <w:t xml:space="preserve">Företrädare för Svensk Fjärrvärme har efter en genomläsning av en remissupplaga av rapporten lämnat synpunkter även på övriga delar. Dessa har i huvudsak tagits om hand i den slutliga rapporten. </w:t>
      </w:r>
    </w:p>
    <w:p w:rsidR="001219A5" w:rsidRDefault="001219A5" w:rsidP="00EC20EA">
      <w:pPr>
        <w:pStyle w:val="Brdtext"/>
      </w:pPr>
      <w:r>
        <w:t>Energimyndighetens slutsats om att någon form av reglering bör övervägas kommenteras dock med dessa ord:</w:t>
      </w:r>
    </w:p>
    <w:p w:rsidR="001219A5" w:rsidRPr="001219A5" w:rsidRDefault="001219A5" w:rsidP="00EC20EA">
      <w:pPr>
        <w:pStyle w:val="Brdtext"/>
        <w:rPr>
          <w:rFonts w:asciiTheme="minorHAnsi" w:hAnsiTheme="minorHAnsi"/>
        </w:rPr>
      </w:pPr>
      <w:r>
        <w:rPr>
          <w:rFonts w:asciiTheme="minorHAnsi" w:hAnsiTheme="minorHAnsi"/>
        </w:rPr>
        <w:t xml:space="preserve">”Vi </w:t>
      </w:r>
      <w:r w:rsidRPr="001219A5">
        <w:rPr>
          <w:rFonts w:asciiTheme="minorHAnsi" w:hAnsiTheme="minorHAnsi"/>
        </w:rPr>
        <w:t>anser att det är en hård formulering och att branschen bör få tid att få slutföra det som pågår inom identifierade områden innan denna slutsats dras. Branschen är medveten om vissa brister inom de identifierade områdena och arbetar för att åtgärda dem.</w:t>
      </w:r>
      <w:r>
        <w:rPr>
          <w:rFonts w:asciiTheme="minorHAnsi" w:hAnsiTheme="minorHAnsi"/>
        </w:rPr>
        <w:t>”</w:t>
      </w:r>
    </w:p>
    <w:sectPr w:rsidR="001219A5" w:rsidRPr="001219A5" w:rsidSect="00C947FC">
      <w:headerReference w:type="even" r:id="rId31"/>
      <w:headerReference w:type="default" r:id="rId32"/>
      <w:footerReference w:type="default" r:id="rId33"/>
      <w:headerReference w:type="first" r:id="rId34"/>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6F1" w:rsidRDefault="008026F1">
      <w:r>
        <w:separator/>
      </w:r>
    </w:p>
  </w:endnote>
  <w:endnote w:type="continuationSeparator" w:id="0">
    <w:p w:rsidR="008026F1" w:rsidRDefault="008026F1">
      <w:r>
        <w:continuationSeparator/>
      </w:r>
    </w:p>
  </w:endnote>
  <w:endnote w:type="continuationNotice" w:id="1">
    <w:p w:rsidR="008026F1" w:rsidRDefault="00802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F1" w:rsidRDefault="008026F1">
    <w:pPr>
      <w:pStyle w:val="Sidfot"/>
    </w:pPr>
    <w:r>
      <w:rPr>
        <w:rStyle w:val="Sidnummer"/>
      </w:rPr>
      <w:fldChar w:fldCharType="begin"/>
    </w:r>
    <w:r>
      <w:rPr>
        <w:rStyle w:val="Sidnummer"/>
      </w:rPr>
      <w:instrText xml:space="preserve"> PAGE </w:instrText>
    </w:r>
    <w:r>
      <w:rPr>
        <w:rStyle w:val="Sidnummer"/>
      </w:rPr>
      <w:fldChar w:fldCharType="separate"/>
    </w:r>
    <w:r w:rsidR="008E24DA">
      <w:rPr>
        <w:rStyle w:val="Sidnummer"/>
        <w:noProof/>
      </w:rPr>
      <w:t>61</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6F1" w:rsidRDefault="008026F1">
      <w:r>
        <w:separator/>
      </w:r>
    </w:p>
  </w:footnote>
  <w:footnote w:type="continuationSeparator" w:id="0">
    <w:p w:rsidR="008026F1" w:rsidRDefault="008026F1">
      <w:r>
        <w:continuationSeparator/>
      </w:r>
    </w:p>
  </w:footnote>
  <w:footnote w:type="continuationNotice" w:id="1">
    <w:p w:rsidR="008026F1" w:rsidRDefault="008026F1"/>
  </w:footnote>
  <w:footnote w:id="2">
    <w:p w:rsidR="008026F1" w:rsidRDefault="008026F1">
      <w:pPr>
        <w:pStyle w:val="Fotnotstext"/>
      </w:pPr>
      <w:r>
        <w:rPr>
          <w:rStyle w:val="Fotnotsreferens"/>
        </w:rPr>
        <w:footnoteRef/>
      </w:r>
      <w:r>
        <w:t xml:space="preserve"> Se vidare Energimyndighetens rapport </w:t>
      </w:r>
      <w:r w:rsidRPr="005338A2">
        <w:rPr>
          <w:i/>
        </w:rPr>
        <w:t>Ansvar och roller för en trygg energiförsörjning – Energimyndighetens analys</w:t>
      </w:r>
      <w:r>
        <w:t xml:space="preserve"> (ER2013:25). Där finns en beskrivning med analys och tolkning av Energimyndighetens och andra aktörers roller och ansvar för en trygg energiförsörjning.</w:t>
      </w:r>
    </w:p>
  </w:footnote>
  <w:footnote w:id="3">
    <w:p w:rsidR="008026F1" w:rsidRDefault="008026F1">
      <w:pPr>
        <w:pStyle w:val="Fotnotstext"/>
      </w:pPr>
      <w:r>
        <w:rPr>
          <w:rStyle w:val="Fotnotsreferens"/>
        </w:rPr>
        <w:footnoteRef/>
      </w:r>
      <w:r>
        <w:t xml:space="preserve"> Energiläget 2015, ET 2015:08</w:t>
      </w:r>
    </w:p>
  </w:footnote>
  <w:footnote w:id="4">
    <w:p w:rsidR="008026F1" w:rsidRDefault="008026F1" w:rsidP="00920B75">
      <w:pPr>
        <w:pStyle w:val="Fotnotstext"/>
      </w:pPr>
      <w:r>
        <w:rPr>
          <w:rStyle w:val="Fotnotsreferens"/>
        </w:rPr>
        <w:footnoteRef/>
      </w:r>
      <w:r>
        <w:t xml:space="preserve"> Ansvarsprincipen, närhetsprincipen och likhetsprincipen.</w:t>
      </w:r>
    </w:p>
  </w:footnote>
  <w:footnote w:id="5">
    <w:p w:rsidR="008026F1" w:rsidRDefault="008026F1" w:rsidP="00920B75">
      <w:pPr>
        <w:pStyle w:val="Fotnotstext"/>
      </w:pPr>
      <w:r>
        <w:rPr>
          <w:rStyle w:val="Fotnotsreferens"/>
        </w:rPr>
        <w:footnoteRef/>
      </w:r>
      <w:r>
        <w:t xml:space="preserve"> MSB (2011), Förslag till resultatmål för samhällets krisberedskap för försörjningen av </w:t>
      </w:r>
    </w:p>
    <w:p w:rsidR="008026F1" w:rsidRDefault="008026F1" w:rsidP="00920B75">
      <w:pPr>
        <w:pStyle w:val="Fotnotstext"/>
      </w:pPr>
      <w:r>
        <w:t xml:space="preserve">dricksvatten, livsmedel och värme. Redovisning av regeringsuppdrag Fö2010/697/SSK. </w:t>
      </w:r>
    </w:p>
    <w:p w:rsidR="008026F1" w:rsidRDefault="008026F1" w:rsidP="00920B75">
      <w:pPr>
        <w:pStyle w:val="Fotnotstext"/>
      </w:pPr>
      <w:r>
        <w:t>Föreslagna resultatmål för värme i denna redovisning (2010) har utvecklades av Energimyndigheten.</w:t>
      </w:r>
    </w:p>
  </w:footnote>
  <w:footnote w:id="6">
    <w:p w:rsidR="008026F1" w:rsidRDefault="008026F1">
      <w:pPr>
        <w:pStyle w:val="Fotnotstext"/>
      </w:pPr>
      <w:r>
        <w:rPr>
          <w:rStyle w:val="Fotnotsreferens"/>
        </w:rPr>
        <w:footnoteRef/>
      </w:r>
      <w:r>
        <w:t xml:space="preserve"> Energimyndighetens underhandsyttrande i brev daterat 2014-12-18, Dnr 2014-2126.</w:t>
      </w:r>
    </w:p>
  </w:footnote>
  <w:footnote w:id="7">
    <w:p w:rsidR="008026F1" w:rsidRDefault="008026F1" w:rsidP="00920B75">
      <w:pPr>
        <w:pStyle w:val="Fotnotstext"/>
      </w:pPr>
      <w:r>
        <w:rPr>
          <w:rStyle w:val="Fotnotsreferens"/>
        </w:rPr>
        <w:footnoteRef/>
      </w:r>
      <w:r>
        <w:t xml:space="preserve"> De senaste överenskomna villkoren för näringsidkare är daterade den 29 september 2015. Villkoren för näringsidkare är framförhandlade och överenskomna med centrala intresseorganisationer inom bostads- och fastighetssektorn, nämligen Fastighetsägarna Sverige, HSB Riksförbundet, Hyresgästföreningen Riksförbundet, Riksbyggen och SABO. De senast överenskomna villkoren för konsumenter är från 2010, översyn pågår av dessa i dialog med Konsumentverket. Källa: [</w:t>
      </w:r>
      <w:r w:rsidRPr="00B05C24">
        <w:t>http://www.svenskfjarrvarme.se/Medlem/Fokusomraden-/Marknad/Allmanna-avtalsvillkor/</w:t>
      </w:r>
      <w:r>
        <w:t>; 2015-11-25.]</w:t>
      </w:r>
    </w:p>
  </w:footnote>
  <w:footnote w:id="8">
    <w:p w:rsidR="008026F1" w:rsidRDefault="008026F1">
      <w:pPr>
        <w:pStyle w:val="Fotnotstext"/>
      </w:pPr>
      <w:r>
        <w:rPr>
          <w:rStyle w:val="Fotnotsreferens"/>
        </w:rPr>
        <w:footnoteRef/>
      </w:r>
      <w:r>
        <w:t xml:space="preserve"> Socialstyrelsen artikelnr </w:t>
      </w:r>
      <w:r w:rsidRPr="000863AB">
        <w:t>2005-101-6</w:t>
      </w:r>
      <w:r>
        <w:t>.</w:t>
      </w:r>
    </w:p>
  </w:footnote>
  <w:footnote w:id="9">
    <w:p w:rsidR="008026F1" w:rsidRDefault="008026F1" w:rsidP="00920B75">
      <w:pPr>
        <w:pStyle w:val="Fotnotstext"/>
      </w:pPr>
      <w:r>
        <w:rPr>
          <w:rStyle w:val="Fotnotsreferens"/>
        </w:rPr>
        <w:footnoteRef/>
      </w:r>
      <w:r>
        <w:t xml:space="preserve"> </w:t>
      </w:r>
      <w:r w:rsidRPr="000061C0">
        <w:rPr>
          <w:i/>
        </w:rPr>
        <w:t>Ansvar och roller för en trygg energiförsörjning – Energimyndighetens analys</w:t>
      </w:r>
      <w:r w:rsidRPr="00CA60FD">
        <w:t>, Energimyndigheten, ER 2013:25.</w:t>
      </w:r>
    </w:p>
  </w:footnote>
  <w:footnote w:id="10">
    <w:p w:rsidR="008026F1" w:rsidRDefault="008026F1" w:rsidP="00CC590F">
      <w:pPr>
        <w:pStyle w:val="Fotnotstext"/>
      </w:pPr>
      <w:r>
        <w:rPr>
          <w:rStyle w:val="Fotnotsreferens"/>
        </w:rPr>
        <w:footnoteRef/>
      </w:r>
      <w:r>
        <w:t xml:space="preserve"> staten, kommunerna och landstingen; aktiebolag, handelsbolag, föreningar och stiftelser över vilka staten, kommuner eller landsting utövar ett rättsligt bestämmande inflytande; enskilda, om verksamheten är av betydelse för rikets säkerhet eller särskilt behöver skyddas mot terrorism.</w:t>
      </w:r>
    </w:p>
  </w:footnote>
  <w:footnote w:id="11">
    <w:p w:rsidR="008026F1" w:rsidRDefault="008026F1" w:rsidP="00CC590F">
      <w:pPr>
        <w:pStyle w:val="Fotnotstext"/>
      </w:pPr>
      <w:r>
        <w:rPr>
          <w:rStyle w:val="Fotnotsreferens"/>
        </w:rPr>
        <w:footnoteRef/>
      </w:r>
      <w:r>
        <w:t xml:space="preserve"> </w:t>
      </w:r>
      <w:r w:rsidRPr="00E40521">
        <w:t>Yttrande angående utredningen SOU 2015:25 En ny säkerhetsskyddslag; Energimyndighetens dnr 2015-3788.</w:t>
      </w:r>
    </w:p>
  </w:footnote>
  <w:footnote w:id="12">
    <w:p w:rsidR="008026F1" w:rsidRDefault="008026F1">
      <w:pPr>
        <w:pStyle w:val="Fotnotstext"/>
      </w:pPr>
      <w:r>
        <w:rPr>
          <w:rStyle w:val="Fotnotsreferens"/>
        </w:rPr>
        <w:footnoteRef/>
      </w:r>
      <w:r>
        <w:t xml:space="preserve"> Se exempelvis Lag (1982:1004) </w:t>
      </w:r>
      <w:r w:rsidRPr="004806BB">
        <w:t>om skyldighet för näringsidkare, arbetsmarknadsorganisationer m.fl. att delta i totalförsvarsplaneringen</w:t>
      </w:r>
      <w:r>
        <w:t>, med tillhörande förordning, samt Skyddslagen (2010:305).</w:t>
      </w:r>
    </w:p>
  </w:footnote>
  <w:footnote w:id="13">
    <w:p w:rsidR="008026F1" w:rsidRDefault="008026F1" w:rsidP="00920B75">
      <w:pPr>
        <w:pStyle w:val="Fotnotstext"/>
      </w:pPr>
      <w:r>
        <w:rPr>
          <w:rStyle w:val="Fotnotsreferens"/>
        </w:rPr>
        <w:footnoteRef/>
      </w:r>
      <w:r>
        <w:t xml:space="preserve"> Sverige har i enlighet med den valmöjlighet som </w:t>
      </w:r>
      <w:r w:rsidRPr="000D391D">
        <w:t>Europaparlamentets och rådets förordning (EU) nr 994/2010</w:t>
      </w:r>
      <w:r>
        <w:t xml:space="preserve"> (gasförsörjningsförordningen) föreskriver valt att endast s.k. hushållskunder som är anslutna till distributionsnät för gas ska omfattas av definitionen av begreppet ”skyddade kunder”.</w:t>
      </w:r>
    </w:p>
  </w:footnote>
  <w:footnote w:id="14">
    <w:p w:rsidR="008026F1" w:rsidRDefault="008026F1" w:rsidP="005A36D3">
      <w:pPr>
        <w:pStyle w:val="Fotnotstext"/>
      </w:pPr>
      <w:r>
        <w:rPr>
          <w:rStyle w:val="Fotnotsreferens"/>
        </w:rPr>
        <w:footnoteRef/>
      </w:r>
      <w:r>
        <w:t xml:space="preserve"> </w:t>
      </w:r>
      <w:r w:rsidRPr="00304E3D">
        <w:t>Energiläget i siffror, Energimyndigheten.</w:t>
      </w:r>
    </w:p>
  </w:footnote>
  <w:footnote w:id="15">
    <w:p w:rsidR="008026F1" w:rsidRDefault="008026F1" w:rsidP="00920B75">
      <w:pPr>
        <w:pStyle w:val="Fotnotstext"/>
      </w:pPr>
      <w:r>
        <w:rPr>
          <w:rStyle w:val="Fotnotsreferens"/>
        </w:rPr>
        <w:footnoteRef/>
      </w:r>
      <w:r>
        <w:t xml:space="preserve"> Intervjuundersökning, genomförd i mars 2014, med beredskapssamordnare eller motsvarande hos 191 av Sveriges 290 kommuner.</w:t>
      </w:r>
    </w:p>
  </w:footnote>
  <w:footnote w:id="16">
    <w:p w:rsidR="008026F1" w:rsidRDefault="008026F1" w:rsidP="008B3E63">
      <w:pPr>
        <w:pStyle w:val="Fotnotstext"/>
      </w:pPr>
      <w:r>
        <w:rPr>
          <w:rStyle w:val="Fotnotsreferens"/>
        </w:rPr>
        <w:footnoteRef/>
      </w:r>
      <w:r>
        <w:t xml:space="preserve"> </w:t>
      </w:r>
      <w:r w:rsidRPr="0069150A">
        <w:t>Formeln: (0,78 *obeskattade reserver + summa eget kapitel)/Summa tillgångar.</w:t>
      </w:r>
      <w:r>
        <w:t xml:space="preserve"> 0,78 beror på bolagsbeskattningen på 22 % fr.o.m. 2013. Innan 2013 låg skatten på 22 % men för att få jämförbara siffror har beskattningsnivån för 2013 använts. </w:t>
      </w:r>
    </w:p>
  </w:footnote>
  <w:footnote w:id="17">
    <w:p w:rsidR="008026F1" w:rsidRDefault="008026F1" w:rsidP="008B3E63">
      <w:pPr>
        <w:pStyle w:val="Fotnotstext"/>
      </w:pPr>
      <w:r>
        <w:rPr>
          <w:rStyle w:val="Fotnotsreferens"/>
        </w:rPr>
        <w:footnoteRef/>
      </w:r>
      <w:r>
        <w:t xml:space="preserve"> </w:t>
      </w:r>
      <w:r w:rsidRPr="00691A8A">
        <w:t>Kassalikviditet= omsättningstillgångar exklusive lager och pågående arbeten i procent av kortfristiga skulder.</w:t>
      </w:r>
    </w:p>
  </w:footnote>
  <w:footnote w:id="18">
    <w:p w:rsidR="008026F1" w:rsidRDefault="008026F1" w:rsidP="008B3E63">
      <w:pPr>
        <w:pStyle w:val="Fotnotstext"/>
      </w:pPr>
      <w:r>
        <w:rPr>
          <w:rStyle w:val="Fotnotsreferens"/>
        </w:rPr>
        <w:footnoteRef/>
      </w:r>
      <w:r>
        <w:t xml:space="preserve"> </w:t>
      </w:r>
      <w:r w:rsidRPr="001A3704">
        <w:t>Rörelsemarginal är ett nyckeltal som anger hur stor andel i procent av omsättningen som blir kvar för att täcka räntor och skatt samt ge vinst, efter att företagets kostnader har betalats. Rörelsemarginalen räknas ut med hjälp av rörelseresultatet vilket är lika med rörelseintäkterna minus rörelsekostnaderna. Rörelseresultatet är med andra ord resultatet av verksamheten, dock utan att de finansiella posterna som till exempel skuldräntor, dragits av. Rörelsemarginalen anges i procent och det gäller att ju högre marginal, desto mer välmående är företaget. Om rörelsemarginalen ökar innebär det att det blir en större andel kvar av varje intjänad krona från försäljningen.</w:t>
      </w:r>
      <w:r>
        <w:t xml:space="preserve"> </w:t>
      </w:r>
      <w:hyperlink r:id="rId1" w:history="1">
        <w:r w:rsidRPr="00C35EAE">
          <w:rPr>
            <w:rStyle w:val="Hyperlnk"/>
          </w:rPr>
          <w:t>https://www.e-conomic.se/bokforingsprogram/ordlista/rorelsemarginal</w:t>
        </w:r>
      </w:hyperlink>
      <w:r>
        <w:t xml:space="preserve"> </w:t>
      </w:r>
    </w:p>
  </w:footnote>
  <w:footnote w:id="19">
    <w:p w:rsidR="008026F1" w:rsidRDefault="008026F1" w:rsidP="008B3E63">
      <w:pPr>
        <w:pStyle w:val="Fotnotstext"/>
      </w:pPr>
      <w:r>
        <w:rPr>
          <w:rStyle w:val="Fotnotsreferens"/>
        </w:rPr>
        <w:footnoteRef/>
      </w:r>
      <w:r>
        <w:t xml:space="preserve"> </w:t>
      </w:r>
      <w:r w:rsidRPr="001A3704">
        <w:t xml:space="preserve">Vinstmarginal är ett nyckeltal som visar hur stor vinsten per omsättningskrona är. Det kan även definieras som storleken på vinsten innan räntebärande kostnader, vilket innebär att vinstmarginalen beräknas före skatt. Vid beräkning av vinstmarginalen tas ingen hänsyn till hur företaget har finansierat sin verksamhet och därmed inte hur väl företaget har lyckats. Vinstmarginalen är därför som mest användbar för att mäta vinsten av en hel marknad eller i en analys av konkurrenter. </w:t>
      </w:r>
      <w:hyperlink r:id="rId2" w:history="1">
        <w:r w:rsidRPr="00C35EAE">
          <w:rPr>
            <w:rStyle w:val="Hyperlnk"/>
          </w:rPr>
          <w:t>https://www.e-conomic.se/bokforingsprogram/ordlista/vinstmarginal</w:t>
        </w:r>
      </w:hyperlink>
      <w:r>
        <w:t xml:space="preserve"> </w:t>
      </w:r>
    </w:p>
  </w:footnote>
  <w:footnote w:id="20">
    <w:p w:rsidR="008026F1" w:rsidRDefault="008026F1" w:rsidP="008B3E63">
      <w:pPr>
        <w:pStyle w:val="Fotnotstext"/>
      </w:pPr>
      <w:r>
        <w:rPr>
          <w:rStyle w:val="Fotnotsreferens"/>
        </w:rPr>
        <w:footnoteRef/>
      </w:r>
      <w:r>
        <w:t xml:space="preserve"> Företag med extremvärden eller företag som ej redovisat siffror för flera år har ej tagits med i figurerna över enskilda företag.</w:t>
      </w:r>
    </w:p>
  </w:footnote>
  <w:footnote w:id="21">
    <w:p w:rsidR="008026F1" w:rsidRDefault="008026F1" w:rsidP="008B3E63">
      <w:pPr>
        <w:pStyle w:val="Fotnotstext"/>
      </w:pPr>
      <w:r>
        <w:rPr>
          <w:rStyle w:val="Fotnotsreferens"/>
        </w:rPr>
        <w:footnoteRef/>
      </w:r>
      <w:r>
        <w:t xml:space="preserve"> (Resultat efter finansiella poster + räntekostnader)/sysselsatt kapital. </w:t>
      </w:r>
      <w:r w:rsidRPr="00466E99">
        <w:t>Det sysselsatta kapitalet i ett företag är det kapital som antingen lånas ut av ägarna, som oftast får ersättning i form av utdelning, eller lånas ut av banker och finansinstitut vilka får ersättning i form av ränta.  Om man vill öka sitt företags avkastning på sysselsatt kapital kan man bl.a. se över hur man kan förbättra rörelseresultatet, t.ex. höja försäljningspriserna eller pressa inköpspriserna. Att minska på eventuella banklån och istället försöka få ökad kredit hos leverantörerna förbättrar också nyckeltalets värde</w:t>
      </w:r>
      <w:r>
        <w:t xml:space="preserve"> (Källa: Ekonomi-info.nu)</w:t>
      </w:r>
      <w:r w:rsidRPr="00466E99">
        <w:t>.</w:t>
      </w:r>
    </w:p>
  </w:footnote>
  <w:footnote w:id="22">
    <w:p w:rsidR="008026F1" w:rsidRDefault="008026F1" w:rsidP="008B3E63">
      <w:pPr>
        <w:pStyle w:val="Fotnotstext"/>
      </w:pPr>
      <w:r>
        <w:rPr>
          <w:rStyle w:val="Fotnotsreferens"/>
        </w:rPr>
        <w:footnoteRef/>
      </w:r>
      <w:r>
        <w:t xml:space="preserve"> </w:t>
      </w:r>
      <w:r w:rsidRPr="00466E99">
        <w:t>Resultat efter finansiella poster/(0,78*obeskattade reserver + eget kapital)</w:t>
      </w:r>
    </w:p>
  </w:footnote>
  <w:footnote w:id="23">
    <w:p w:rsidR="008026F1" w:rsidRDefault="008026F1">
      <w:pPr>
        <w:pStyle w:val="Fotnotstext"/>
      </w:pPr>
      <w:r>
        <w:rPr>
          <w:rStyle w:val="Fotnotsreferens"/>
        </w:rPr>
        <w:footnoteRef/>
      </w:r>
      <w:r>
        <w:t xml:space="preserve"> </w:t>
      </w:r>
      <w:r w:rsidRPr="005A45A4">
        <w:rPr>
          <w:rFonts w:ascii="Arial" w:hAnsi="Arial" w:cs="Arial"/>
          <w:bCs/>
          <w:color w:val="000000"/>
          <w:sz w:val="17"/>
          <w:szCs w:val="17"/>
        </w:rPr>
        <w:t>Energistatistik för småhus, flerbostadshus och lokaler 2014,</w:t>
      </w:r>
      <w:r w:rsidRPr="00432F5C">
        <w:t xml:space="preserve"> </w:t>
      </w:r>
      <w:r w:rsidRPr="005A45A4">
        <w:rPr>
          <w:rFonts w:ascii="Arial" w:hAnsi="Arial" w:cs="Arial"/>
          <w:bCs/>
          <w:color w:val="000000"/>
          <w:sz w:val="17"/>
          <w:szCs w:val="17"/>
        </w:rPr>
        <w:t>ES2015:07</w:t>
      </w:r>
    </w:p>
  </w:footnote>
  <w:footnote w:id="24">
    <w:p w:rsidR="008026F1" w:rsidRDefault="008026F1">
      <w:pPr>
        <w:pStyle w:val="Fotnotstext"/>
      </w:pPr>
      <w:r>
        <w:rPr>
          <w:rStyle w:val="Fotnotsreferens"/>
        </w:rPr>
        <w:footnoteRef/>
      </w:r>
      <w:r>
        <w:t xml:space="preserve"> </w:t>
      </w:r>
      <w:r w:rsidRPr="005A45A4">
        <w:t>Heltäckande bedömning av potentialen för att använda högeffektiv kraftvärme, fjärrvärme och fjärrkyla- ER2013:24</w:t>
      </w:r>
    </w:p>
  </w:footnote>
  <w:footnote w:id="25">
    <w:p w:rsidR="008026F1" w:rsidRDefault="008026F1" w:rsidP="008B3E63">
      <w:pPr>
        <w:pStyle w:val="Fotnotstext"/>
      </w:pPr>
      <w:r>
        <w:rPr>
          <w:rStyle w:val="Fotnotsreferens"/>
        </w:rPr>
        <w:footnoteRef/>
      </w:r>
      <w:r>
        <w:t xml:space="preserve"> Dessa antaganden gäller i ”basscenariot” och har uppdaterats något (se </w:t>
      </w:r>
      <w:r>
        <w:fldChar w:fldCharType="begin"/>
      </w:r>
      <w:r>
        <w:instrText xml:space="preserve"> REF _Ref363044166 \h </w:instrText>
      </w:r>
      <w:r>
        <w:fldChar w:fldCharType="separate"/>
      </w:r>
      <w:r>
        <w:t xml:space="preserve">Figur </w:t>
      </w:r>
      <w:r>
        <w:rPr>
          <w:noProof/>
        </w:rPr>
        <w:t>8</w:t>
      </w:r>
      <w:r>
        <w:fldChar w:fldCharType="end"/>
      </w:r>
      <w:r>
        <w:t>)</w:t>
      </w:r>
    </w:p>
  </w:footnote>
  <w:footnote w:id="26">
    <w:p w:rsidR="008026F1" w:rsidRDefault="008026F1" w:rsidP="008B3E63">
      <w:pPr>
        <w:pStyle w:val="Fotnotstext"/>
      </w:pPr>
      <w:r>
        <w:rPr>
          <w:rStyle w:val="Fotnotsreferens"/>
        </w:rPr>
        <w:footnoteRef/>
      </w:r>
      <w:r>
        <w:t xml:space="preserve"> Tillvägagångssättet för analysen beskrivs ingående i </w:t>
      </w:r>
      <w:r w:rsidRPr="00313DF2">
        <w:rPr>
          <w:i/>
        </w:rPr>
        <w:t>Fjärrvärme</w:t>
      </w:r>
      <w:r>
        <w:rPr>
          <w:i/>
        </w:rPr>
        <w:t>n</w:t>
      </w:r>
      <w:r w:rsidRPr="00313DF2">
        <w:rPr>
          <w:i/>
        </w:rPr>
        <w:t xml:space="preserve"> i framtiden</w:t>
      </w:r>
      <w:r>
        <w:t xml:space="preserve"> (2009:21)</w:t>
      </w:r>
    </w:p>
  </w:footnote>
  <w:footnote w:id="27">
    <w:p w:rsidR="008026F1" w:rsidRDefault="008026F1" w:rsidP="008B3E63">
      <w:pPr>
        <w:pStyle w:val="Fotnotstext"/>
      </w:pPr>
      <w:r>
        <w:rPr>
          <w:rStyle w:val="Fotnotsreferens"/>
        </w:rPr>
        <w:footnoteRef/>
      </w:r>
      <w:r>
        <w:t xml:space="preserve"> Uppdaterade / korrigerade siffor från energimyndighetens Energiindikatorrapport 2013 visar på 55,8 TWh.</w:t>
      </w:r>
    </w:p>
  </w:footnote>
  <w:footnote w:id="28">
    <w:p w:rsidR="008026F1" w:rsidRDefault="008026F1" w:rsidP="008B3E63">
      <w:pPr>
        <w:pStyle w:val="Fotnotstext"/>
      </w:pPr>
      <w:r>
        <w:rPr>
          <w:rStyle w:val="Fotnotsreferens"/>
        </w:rPr>
        <w:footnoteRef/>
      </w:r>
      <w:r>
        <w:t xml:space="preserve"> Mer om detta går att läsa i ”Lilla prismodellboken- Om införande av ny prismodell för fjärrvärme” från 2012. Projektet har genomförts inom ramen för forskningsprogrammet Fjärrsyn. </w:t>
      </w:r>
    </w:p>
  </w:footnote>
  <w:footnote w:id="29">
    <w:p w:rsidR="008026F1" w:rsidRDefault="008026F1" w:rsidP="008B3E63">
      <w:pPr>
        <w:pStyle w:val="Fotnotstext"/>
      </w:pPr>
      <w:r>
        <w:rPr>
          <w:rStyle w:val="Fotnotsreferens"/>
        </w:rPr>
        <w:footnoteRef/>
      </w:r>
      <w:r>
        <w:t xml:space="preserve"> Ei R 2015:04</w:t>
      </w:r>
    </w:p>
  </w:footnote>
  <w:footnote w:id="30">
    <w:p w:rsidR="008026F1" w:rsidRDefault="008026F1" w:rsidP="008B3E63">
      <w:pPr>
        <w:pStyle w:val="Fotnotstext"/>
      </w:pPr>
      <w:r>
        <w:rPr>
          <w:rStyle w:val="Fotnotsreferens"/>
        </w:rPr>
        <w:footnoteRef/>
      </w:r>
      <w:r>
        <w:t xml:space="preserve"> Som diskuterats i kapitel </w:t>
      </w:r>
      <w:r>
        <w:fldChar w:fldCharType="begin"/>
      </w:r>
      <w:r>
        <w:instrText xml:space="preserve"> REF _Ref436663910 \r \h </w:instrText>
      </w:r>
      <w:r>
        <w:fldChar w:fldCharType="separate"/>
      </w:r>
      <w:r>
        <w:t>4.8.2</w:t>
      </w:r>
      <w:r>
        <w:fldChar w:fldCharType="end"/>
      </w:r>
      <w:r>
        <w:t xml:space="preserve"> kan förändrade prismodeller påverka utfallet. Bergvärmepumpens priser är hämtade från de uppskattningar som gjorts av Profu till Energiindikatorer 2013. Det är möjligt att marginella justeringar gjorts sedan dess.</w:t>
      </w:r>
    </w:p>
  </w:footnote>
  <w:footnote w:id="31">
    <w:p w:rsidR="008026F1" w:rsidRPr="00F518C2" w:rsidRDefault="008026F1" w:rsidP="008A7B67">
      <w:pPr>
        <w:pStyle w:val="Fotnotstext"/>
      </w:pPr>
      <w:r>
        <w:rPr>
          <w:rStyle w:val="Fotnotsreferens"/>
        </w:rPr>
        <w:footnoteRef/>
      </w:r>
      <w:r w:rsidRPr="00F518C2">
        <w:t xml:space="preserve"> ER 2015:22. Se kapitel 5</w:t>
      </w:r>
      <w:r>
        <w:t>, som baseras på fallstudier i branschen</w:t>
      </w:r>
      <w:r w:rsidRPr="00F518C2">
        <w:t>.</w:t>
      </w:r>
    </w:p>
  </w:footnote>
  <w:footnote w:id="32">
    <w:p w:rsidR="008026F1" w:rsidRDefault="008026F1" w:rsidP="0085477B">
      <w:pPr>
        <w:pStyle w:val="Fotnotstext"/>
      </w:pPr>
      <w:r>
        <w:rPr>
          <w:rStyle w:val="Fotnotsreferens"/>
        </w:rPr>
        <w:footnoteRef/>
      </w:r>
      <w:r>
        <w:t xml:space="preserve"> Möjligheten till självcirkulation finns dock under vissa förutsättningar, bl.a. en tillräcklig temperaturdifferens och tillräcklig höjd på byggnaden. Se ”Fjärrvärme vid elavbrott”, P Lauenburg och P-O Johansson, Lunds universitet 2008.</w:t>
      </w:r>
    </w:p>
  </w:footnote>
  <w:footnote w:id="33">
    <w:p w:rsidR="008026F1" w:rsidRPr="00F1620C" w:rsidRDefault="008026F1">
      <w:pPr>
        <w:pStyle w:val="Fotnotstext"/>
      </w:pPr>
      <w:r>
        <w:rPr>
          <w:rStyle w:val="Fotnotsreferens"/>
        </w:rPr>
        <w:footnoteRef/>
      </w:r>
      <w:r w:rsidRPr="00F1620C">
        <w:t xml:space="preserve"> </w:t>
      </w:r>
      <w:r w:rsidRPr="00F518C2">
        <w:t xml:space="preserve">I Energimyndighetens incidentuppföljning orsakades ca hälften av alla avbrott av störningar </w:t>
      </w:r>
      <w:r>
        <w:t>i</w:t>
      </w:r>
      <w:r w:rsidRPr="00F518C2">
        <w:t xml:space="preserve"> produktionsledet. </w:t>
      </w:r>
      <w:r>
        <w:t>Av dessa berodde ca 30 % på brand och olyckor.</w:t>
      </w:r>
    </w:p>
  </w:footnote>
  <w:footnote w:id="34">
    <w:p w:rsidR="008026F1" w:rsidRPr="00DD210B" w:rsidRDefault="008026F1">
      <w:pPr>
        <w:pStyle w:val="Fotnotstext"/>
      </w:pPr>
      <w:r>
        <w:rPr>
          <w:rStyle w:val="Fotnotsreferens"/>
        </w:rPr>
        <w:footnoteRef/>
      </w:r>
      <w:r w:rsidRPr="00DD210B">
        <w:t xml:space="preserve"> </w:t>
      </w:r>
      <w:r w:rsidRPr="00F518C2">
        <w:t xml:space="preserve">En metod för att skapa en robusthet – att </w:t>
      </w:r>
      <w:r>
        <w:t>företaget minskar sin sårbarhet och ökar sin motståndskraft mot händelser som kan påverka dess kritiska verksamhet.</w:t>
      </w:r>
    </w:p>
  </w:footnote>
  <w:footnote w:id="35">
    <w:p w:rsidR="008026F1" w:rsidRPr="008026F1" w:rsidRDefault="008026F1">
      <w:pPr>
        <w:pStyle w:val="Fotnotstext"/>
      </w:pPr>
      <w:r>
        <w:rPr>
          <w:rStyle w:val="Fotnotsreferens"/>
        </w:rPr>
        <w:footnoteRef/>
      </w:r>
      <w:r w:rsidRPr="008026F1">
        <w:t xml:space="preserve"> Regeringsbeslut den 17 december 2015.</w:t>
      </w:r>
    </w:p>
  </w:footnote>
  <w:footnote w:id="36">
    <w:p w:rsidR="008026F1" w:rsidRPr="008026F1" w:rsidRDefault="008026F1">
      <w:pPr>
        <w:pStyle w:val="Fotnotstext"/>
      </w:pPr>
      <w:r>
        <w:rPr>
          <w:rStyle w:val="Fotnotsreferens"/>
        </w:rPr>
        <w:footnoteRef/>
      </w:r>
      <w:r w:rsidRPr="008026F1">
        <w:t xml:space="preserve"> Se definitioner: IEEE Guide for Electric Power Distribution Reliability Indices, 1366-2003, IEEE.</w:t>
      </w:r>
    </w:p>
  </w:footnote>
  <w:footnote w:id="37">
    <w:p w:rsidR="008026F1" w:rsidRPr="008026F1" w:rsidRDefault="008026F1" w:rsidP="009B2562">
      <w:pPr>
        <w:pStyle w:val="Fotnotstext"/>
      </w:pPr>
      <w:r>
        <w:rPr>
          <w:rStyle w:val="Fotnotsreferens"/>
        </w:rPr>
        <w:footnoteRef/>
      </w:r>
      <w:r w:rsidRPr="008026F1">
        <w:t xml:space="preserve"> </w:t>
      </w:r>
      <w:hyperlink r:id="rId3" w:history="1">
        <w:r w:rsidRPr="008026F1">
          <w:rPr>
            <w:rStyle w:val="Hyperlnk"/>
          </w:rPr>
          <w:t>http://www.svenskfjarrvarme.se/Rapporter--Dokument/Rapporter_och_Dokument/Tekniska-bestammelser/</w:t>
        </w:r>
      </w:hyperlink>
      <w:r w:rsidRPr="008026F1">
        <w:t xml:space="preserve"> [2015-11-25].</w:t>
      </w:r>
    </w:p>
  </w:footnote>
  <w:footnote w:id="38">
    <w:p w:rsidR="008026F1" w:rsidRDefault="008026F1" w:rsidP="009B2562">
      <w:pPr>
        <w:pStyle w:val="Fotnotstext"/>
      </w:pPr>
      <w:r>
        <w:rPr>
          <w:rStyle w:val="Fotnotsreferens"/>
        </w:rPr>
        <w:footnoteRef/>
      </w:r>
      <w:r>
        <w:t xml:space="preserve"> Vid Energimyndigheten pågår för närvarande ett utvecklingsarbete med kunskapsstöd till geografiskt områdesansvariga. För mer information, se exempelvis ”Värmeavbrott – en guide till hur kommuner kan lindra en värmekris”, ET 2009:26</w:t>
      </w:r>
    </w:p>
  </w:footnote>
  <w:footnote w:id="39">
    <w:p w:rsidR="008026F1" w:rsidRDefault="008026F1" w:rsidP="009A648A">
      <w:pPr>
        <w:pStyle w:val="Fotnotstext"/>
      </w:pPr>
      <w:r>
        <w:rPr>
          <w:rStyle w:val="Fotnotsreferens"/>
        </w:rPr>
        <w:footnoteRef/>
      </w:r>
      <w:r>
        <w:t xml:space="preserve"> Under förutsättning att det handlar om flerbostadshus/tätort och att det finns möjlighet att borra för bergvärme i området ifråga. </w:t>
      </w:r>
    </w:p>
  </w:footnote>
  <w:footnote w:id="40">
    <w:p w:rsidR="008026F1" w:rsidRDefault="008026F1" w:rsidP="009A648A">
      <w:pPr>
        <w:pStyle w:val="Fotnotstext"/>
      </w:pPr>
      <w:r>
        <w:rPr>
          <w:rStyle w:val="Fotnotsreferens"/>
        </w:rPr>
        <w:footnoteRef/>
      </w:r>
      <w:r>
        <w:t xml:space="preserve"> Trots stor invandring och befolkningsökning görs bedömningen att det inte är troligt att dessa avfolkningsområden i glesbygd kommer att se en vändande trend eftersom dessa kommuner med få arbettstillfällen och liten befolkning </w:t>
      </w:r>
      <w:r w:rsidR="00656BB8">
        <w:t>kan bedömas som begränsat attraktiva</w:t>
      </w:r>
      <w:r>
        <w:t xml:space="preserve"> platser att förkovra sig på</w:t>
      </w:r>
      <w:r w:rsidR="00474FB2">
        <w:t xml:space="preserve"> för människor</w:t>
      </w:r>
      <w:r>
        <w:t xml:space="preserve"> som flyttar hit. </w:t>
      </w:r>
    </w:p>
  </w:footnote>
  <w:footnote w:id="41">
    <w:p w:rsidR="008026F1" w:rsidRDefault="008026F1" w:rsidP="009A648A">
      <w:pPr>
        <w:pStyle w:val="Fotnotstext"/>
      </w:pPr>
      <w:r>
        <w:rPr>
          <w:rStyle w:val="Fotnotsreferens"/>
        </w:rPr>
        <w:footnoteRef/>
      </w:r>
      <w:r>
        <w:t xml:space="preserve"> Se Avsnitt </w:t>
      </w:r>
      <w:r>
        <w:fldChar w:fldCharType="begin"/>
      </w:r>
      <w:r>
        <w:instrText xml:space="preserve"> REF _Ref437347477 \n \h </w:instrText>
      </w:r>
      <w:r>
        <w:fldChar w:fldCharType="separate"/>
      </w:r>
      <w:r>
        <w:t>9.1</w:t>
      </w:r>
      <w:r>
        <w:fldChar w:fldCharType="end"/>
      </w:r>
      <w:r>
        <w:t xml:space="preserve"> för att se Svensk Fjärrvärmes kommentar på framtida utmaningar för branschen avseende möjliga kostnadsutvecklingar. </w:t>
      </w:r>
    </w:p>
  </w:footnote>
  <w:footnote w:id="42">
    <w:p w:rsidR="008026F1" w:rsidRDefault="008026F1">
      <w:pPr>
        <w:pStyle w:val="Fotnotstext"/>
      </w:pPr>
      <w:r>
        <w:rPr>
          <w:rStyle w:val="Fotnotsreferens"/>
        </w:rPr>
        <w:footnoteRef/>
      </w:r>
      <w:r>
        <w:t xml:space="preserve"> Jämför resonemanget krig Resultatmål för samhällets krisberedskap, avsnitt </w:t>
      </w:r>
      <w:r>
        <w:fldChar w:fldCharType="begin"/>
      </w:r>
      <w:r>
        <w:instrText xml:space="preserve"> REF _Ref438214141 \r \h </w:instrText>
      </w:r>
      <w:r>
        <w:fldChar w:fldCharType="separate"/>
      </w:r>
      <w:r>
        <w:t>3.2.4</w:t>
      </w:r>
      <w:r>
        <w:fldChar w:fldCharType="end"/>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F1" w:rsidRDefault="008026F1">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F1" w:rsidRDefault="008026F1">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F1" w:rsidRDefault="008026F1">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3A1D"/>
    <w:multiLevelType w:val="hybridMultilevel"/>
    <w:tmpl w:val="60A06D3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
    <w:nsid w:val="15214816"/>
    <w:multiLevelType w:val="hybridMultilevel"/>
    <w:tmpl w:val="8DDCACF4"/>
    <w:lvl w:ilvl="0" w:tplc="BD76D83C">
      <w:start w:val="1"/>
      <w:numFmt w:val="bullet"/>
      <w:lvlText w:val="•"/>
      <w:lvlJc w:val="left"/>
      <w:pPr>
        <w:tabs>
          <w:tab w:val="num" w:pos="720"/>
        </w:tabs>
        <w:ind w:left="720" w:hanging="360"/>
      </w:pPr>
      <w:rPr>
        <w:rFonts w:ascii="Times New Roman" w:hAnsi="Times New Roman" w:hint="default"/>
      </w:rPr>
    </w:lvl>
    <w:lvl w:ilvl="1" w:tplc="02CCAFF8" w:tentative="1">
      <w:start w:val="1"/>
      <w:numFmt w:val="bullet"/>
      <w:lvlText w:val="•"/>
      <w:lvlJc w:val="left"/>
      <w:pPr>
        <w:tabs>
          <w:tab w:val="num" w:pos="1440"/>
        </w:tabs>
        <w:ind w:left="1440" w:hanging="360"/>
      </w:pPr>
      <w:rPr>
        <w:rFonts w:ascii="Times New Roman" w:hAnsi="Times New Roman" w:hint="default"/>
      </w:rPr>
    </w:lvl>
    <w:lvl w:ilvl="2" w:tplc="5038C67E" w:tentative="1">
      <w:start w:val="1"/>
      <w:numFmt w:val="bullet"/>
      <w:lvlText w:val="•"/>
      <w:lvlJc w:val="left"/>
      <w:pPr>
        <w:tabs>
          <w:tab w:val="num" w:pos="2160"/>
        </w:tabs>
        <w:ind w:left="2160" w:hanging="360"/>
      </w:pPr>
      <w:rPr>
        <w:rFonts w:ascii="Times New Roman" w:hAnsi="Times New Roman" w:hint="default"/>
      </w:rPr>
    </w:lvl>
    <w:lvl w:ilvl="3" w:tplc="63E24890" w:tentative="1">
      <w:start w:val="1"/>
      <w:numFmt w:val="bullet"/>
      <w:lvlText w:val="•"/>
      <w:lvlJc w:val="left"/>
      <w:pPr>
        <w:tabs>
          <w:tab w:val="num" w:pos="2880"/>
        </w:tabs>
        <w:ind w:left="2880" w:hanging="360"/>
      </w:pPr>
      <w:rPr>
        <w:rFonts w:ascii="Times New Roman" w:hAnsi="Times New Roman" w:hint="default"/>
      </w:rPr>
    </w:lvl>
    <w:lvl w:ilvl="4" w:tplc="45543640" w:tentative="1">
      <w:start w:val="1"/>
      <w:numFmt w:val="bullet"/>
      <w:lvlText w:val="•"/>
      <w:lvlJc w:val="left"/>
      <w:pPr>
        <w:tabs>
          <w:tab w:val="num" w:pos="3600"/>
        </w:tabs>
        <w:ind w:left="3600" w:hanging="360"/>
      </w:pPr>
      <w:rPr>
        <w:rFonts w:ascii="Times New Roman" w:hAnsi="Times New Roman" w:hint="default"/>
      </w:rPr>
    </w:lvl>
    <w:lvl w:ilvl="5" w:tplc="C216652E" w:tentative="1">
      <w:start w:val="1"/>
      <w:numFmt w:val="bullet"/>
      <w:lvlText w:val="•"/>
      <w:lvlJc w:val="left"/>
      <w:pPr>
        <w:tabs>
          <w:tab w:val="num" w:pos="4320"/>
        </w:tabs>
        <w:ind w:left="4320" w:hanging="360"/>
      </w:pPr>
      <w:rPr>
        <w:rFonts w:ascii="Times New Roman" w:hAnsi="Times New Roman" w:hint="default"/>
      </w:rPr>
    </w:lvl>
    <w:lvl w:ilvl="6" w:tplc="F2148056" w:tentative="1">
      <w:start w:val="1"/>
      <w:numFmt w:val="bullet"/>
      <w:lvlText w:val="•"/>
      <w:lvlJc w:val="left"/>
      <w:pPr>
        <w:tabs>
          <w:tab w:val="num" w:pos="5040"/>
        </w:tabs>
        <w:ind w:left="5040" w:hanging="360"/>
      </w:pPr>
      <w:rPr>
        <w:rFonts w:ascii="Times New Roman" w:hAnsi="Times New Roman" w:hint="default"/>
      </w:rPr>
    </w:lvl>
    <w:lvl w:ilvl="7" w:tplc="C0308C0A" w:tentative="1">
      <w:start w:val="1"/>
      <w:numFmt w:val="bullet"/>
      <w:lvlText w:val="•"/>
      <w:lvlJc w:val="left"/>
      <w:pPr>
        <w:tabs>
          <w:tab w:val="num" w:pos="5760"/>
        </w:tabs>
        <w:ind w:left="5760" w:hanging="360"/>
      </w:pPr>
      <w:rPr>
        <w:rFonts w:ascii="Times New Roman" w:hAnsi="Times New Roman" w:hint="default"/>
      </w:rPr>
    </w:lvl>
    <w:lvl w:ilvl="8" w:tplc="013A5958" w:tentative="1">
      <w:start w:val="1"/>
      <w:numFmt w:val="bullet"/>
      <w:lvlText w:val="•"/>
      <w:lvlJc w:val="left"/>
      <w:pPr>
        <w:tabs>
          <w:tab w:val="num" w:pos="6480"/>
        </w:tabs>
        <w:ind w:left="6480" w:hanging="360"/>
      </w:pPr>
      <w:rPr>
        <w:rFonts w:ascii="Times New Roman" w:hAnsi="Times New Roman" w:hint="default"/>
      </w:rPr>
    </w:lvl>
  </w:abstractNum>
  <w:abstractNum w:abstractNumId="2">
    <w:nsid w:val="261353EE"/>
    <w:multiLevelType w:val="hybridMultilevel"/>
    <w:tmpl w:val="575CC0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274B161C"/>
    <w:multiLevelType w:val="hybridMultilevel"/>
    <w:tmpl w:val="BA3885CA"/>
    <w:lvl w:ilvl="0" w:tplc="FDFEA3B8">
      <w:start w:val="1"/>
      <w:numFmt w:val="bullet"/>
      <w:lvlText w:val="•"/>
      <w:lvlJc w:val="left"/>
      <w:pPr>
        <w:tabs>
          <w:tab w:val="num" w:pos="720"/>
        </w:tabs>
        <w:ind w:left="720" w:hanging="360"/>
      </w:pPr>
      <w:rPr>
        <w:rFonts w:ascii="Times New Roman" w:hAnsi="Times New Roman" w:hint="default"/>
      </w:rPr>
    </w:lvl>
    <w:lvl w:ilvl="1" w:tplc="721E5A42" w:tentative="1">
      <w:start w:val="1"/>
      <w:numFmt w:val="bullet"/>
      <w:lvlText w:val="•"/>
      <w:lvlJc w:val="left"/>
      <w:pPr>
        <w:tabs>
          <w:tab w:val="num" w:pos="1440"/>
        </w:tabs>
        <w:ind w:left="1440" w:hanging="360"/>
      </w:pPr>
      <w:rPr>
        <w:rFonts w:ascii="Times New Roman" w:hAnsi="Times New Roman" w:hint="default"/>
      </w:rPr>
    </w:lvl>
    <w:lvl w:ilvl="2" w:tplc="326E299C" w:tentative="1">
      <w:start w:val="1"/>
      <w:numFmt w:val="bullet"/>
      <w:lvlText w:val="•"/>
      <w:lvlJc w:val="left"/>
      <w:pPr>
        <w:tabs>
          <w:tab w:val="num" w:pos="2160"/>
        </w:tabs>
        <w:ind w:left="2160" w:hanging="360"/>
      </w:pPr>
      <w:rPr>
        <w:rFonts w:ascii="Times New Roman" w:hAnsi="Times New Roman" w:hint="default"/>
      </w:rPr>
    </w:lvl>
    <w:lvl w:ilvl="3" w:tplc="D07009D2" w:tentative="1">
      <w:start w:val="1"/>
      <w:numFmt w:val="bullet"/>
      <w:lvlText w:val="•"/>
      <w:lvlJc w:val="left"/>
      <w:pPr>
        <w:tabs>
          <w:tab w:val="num" w:pos="2880"/>
        </w:tabs>
        <w:ind w:left="2880" w:hanging="360"/>
      </w:pPr>
      <w:rPr>
        <w:rFonts w:ascii="Times New Roman" w:hAnsi="Times New Roman" w:hint="default"/>
      </w:rPr>
    </w:lvl>
    <w:lvl w:ilvl="4" w:tplc="1884EA18" w:tentative="1">
      <w:start w:val="1"/>
      <w:numFmt w:val="bullet"/>
      <w:lvlText w:val="•"/>
      <w:lvlJc w:val="left"/>
      <w:pPr>
        <w:tabs>
          <w:tab w:val="num" w:pos="3600"/>
        </w:tabs>
        <w:ind w:left="3600" w:hanging="360"/>
      </w:pPr>
      <w:rPr>
        <w:rFonts w:ascii="Times New Roman" w:hAnsi="Times New Roman" w:hint="default"/>
      </w:rPr>
    </w:lvl>
    <w:lvl w:ilvl="5" w:tplc="44D883DE" w:tentative="1">
      <w:start w:val="1"/>
      <w:numFmt w:val="bullet"/>
      <w:lvlText w:val="•"/>
      <w:lvlJc w:val="left"/>
      <w:pPr>
        <w:tabs>
          <w:tab w:val="num" w:pos="4320"/>
        </w:tabs>
        <w:ind w:left="4320" w:hanging="360"/>
      </w:pPr>
      <w:rPr>
        <w:rFonts w:ascii="Times New Roman" w:hAnsi="Times New Roman" w:hint="default"/>
      </w:rPr>
    </w:lvl>
    <w:lvl w:ilvl="6" w:tplc="73621532" w:tentative="1">
      <w:start w:val="1"/>
      <w:numFmt w:val="bullet"/>
      <w:lvlText w:val="•"/>
      <w:lvlJc w:val="left"/>
      <w:pPr>
        <w:tabs>
          <w:tab w:val="num" w:pos="5040"/>
        </w:tabs>
        <w:ind w:left="5040" w:hanging="360"/>
      </w:pPr>
      <w:rPr>
        <w:rFonts w:ascii="Times New Roman" w:hAnsi="Times New Roman" w:hint="default"/>
      </w:rPr>
    </w:lvl>
    <w:lvl w:ilvl="7" w:tplc="71F0762A" w:tentative="1">
      <w:start w:val="1"/>
      <w:numFmt w:val="bullet"/>
      <w:lvlText w:val="•"/>
      <w:lvlJc w:val="left"/>
      <w:pPr>
        <w:tabs>
          <w:tab w:val="num" w:pos="5760"/>
        </w:tabs>
        <w:ind w:left="5760" w:hanging="360"/>
      </w:pPr>
      <w:rPr>
        <w:rFonts w:ascii="Times New Roman" w:hAnsi="Times New Roman" w:hint="default"/>
      </w:rPr>
    </w:lvl>
    <w:lvl w:ilvl="8" w:tplc="84CC2EB6"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810464"/>
    <w:multiLevelType w:val="hybridMultilevel"/>
    <w:tmpl w:val="42A896E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29AD1B58"/>
    <w:multiLevelType w:val="hybridMultilevel"/>
    <w:tmpl w:val="7354D53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2EE2450C"/>
    <w:multiLevelType w:val="multilevel"/>
    <w:tmpl w:val="C36A735A"/>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8106E0D"/>
    <w:multiLevelType w:val="multilevel"/>
    <w:tmpl w:val="5D0026C2"/>
    <w:lvl w:ilvl="0">
      <w:start w:val="1"/>
      <w:numFmt w:val="decimal"/>
      <w:lvlText w:val="%1."/>
      <w:lvlJc w:val="left"/>
      <w:pPr>
        <w:tabs>
          <w:tab w:val="num" w:pos="284"/>
        </w:tabs>
        <w:ind w:left="284" w:hanging="284"/>
      </w:pPr>
      <w:rPr>
        <w:rFonts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2C55D0"/>
    <w:multiLevelType w:val="hybridMultilevel"/>
    <w:tmpl w:val="D08E7A7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65EE199E"/>
    <w:multiLevelType w:val="hybridMultilevel"/>
    <w:tmpl w:val="D08E7A7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664E0F39"/>
    <w:multiLevelType w:val="hybridMultilevel"/>
    <w:tmpl w:val="24AE713A"/>
    <w:lvl w:ilvl="0" w:tplc="D6B46E5C">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69360DBD"/>
    <w:multiLevelType w:val="hybridMultilevel"/>
    <w:tmpl w:val="77F6A8E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697E5A2C"/>
    <w:multiLevelType w:val="hybridMultilevel"/>
    <w:tmpl w:val="47E8F92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6D117A9C"/>
    <w:multiLevelType w:val="hybridMultilevel"/>
    <w:tmpl w:val="144AAF9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79156409"/>
    <w:multiLevelType w:val="hybridMultilevel"/>
    <w:tmpl w:val="F98E6E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7AB70947"/>
    <w:multiLevelType w:val="hybridMultilevel"/>
    <w:tmpl w:val="277AB760"/>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num w:numId="1">
    <w:abstractNumId w:val="7"/>
  </w:num>
  <w:num w:numId="2">
    <w:abstractNumId w:val="10"/>
  </w:num>
  <w:num w:numId="3">
    <w:abstractNumId w:val="6"/>
  </w:num>
  <w:num w:numId="4">
    <w:abstractNumId w:val="7"/>
  </w:num>
  <w:num w:numId="5">
    <w:abstractNumId w:val="11"/>
  </w:num>
  <w:num w:numId="6">
    <w:abstractNumId w:val="15"/>
  </w:num>
  <w:num w:numId="7">
    <w:abstractNumId w:val="13"/>
  </w:num>
  <w:num w:numId="8">
    <w:abstractNumId w:val="9"/>
  </w:num>
  <w:num w:numId="9">
    <w:abstractNumId w:val="16"/>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0"/>
  </w:num>
  <w:num w:numId="14">
    <w:abstractNumId w:val="5"/>
  </w:num>
  <w:num w:numId="15">
    <w:abstractNumId w:val="2"/>
  </w:num>
  <w:num w:numId="16">
    <w:abstractNumId w:val="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75B"/>
    <w:rsid w:val="00000623"/>
    <w:rsid w:val="00002570"/>
    <w:rsid w:val="0003162E"/>
    <w:rsid w:val="00031825"/>
    <w:rsid w:val="00034BC2"/>
    <w:rsid w:val="0004004E"/>
    <w:rsid w:val="00040074"/>
    <w:rsid w:val="000421F9"/>
    <w:rsid w:val="00047F68"/>
    <w:rsid w:val="0005354E"/>
    <w:rsid w:val="00055321"/>
    <w:rsid w:val="00061AD7"/>
    <w:rsid w:val="0006429F"/>
    <w:rsid w:val="00071C82"/>
    <w:rsid w:val="00073A2E"/>
    <w:rsid w:val="000845BC"/>
    <w:rsid w:val="00090D4C"/>
    <w:rsid w:val="000A359B"/>
    <w:rsid w:val="000A5878"/>
    <w:rsid w:val="000A6104"/>
    <w:rsid w:val="000A6824"/>
    <w:rsid w:val="000B2E71"/>
    <w:rsid w:val="000B7E2A"/>
    <w:rsid w:val="000C371B"/>
    <w:rsid w:val="000C6342"/>
    <w:rsid w:val="000D05C6"/>
    <w:rsid w:val="000D57FC"/>
    <w:rsid w:val="000D68DD"/>
    <w:rsid w:val="000E0E85"/>
    <w:rsid w:val="000E62F9"/>
    <w:rsid w:val="000F066A"/>
    <w:rsid w:val="001020B8"/>
    <w:rsid w:val="00104A78"/>
    <w:rsid w:val="001110DB"/>
    <w:rsid w:val="00111490"/>
    <w:rsid w:val="00117A0B"/>
    <w:rsid w:val="001219A5"/>
    <w:rsid w:val="00121C8E"/>
    <w:rsid w:val="00127CC3"/>
    <w:rsid w:val="001305AA"/>
    <w:rsid w:val="00130DEC"/>
    <w:rsid w:val="001365B5"/>
    <w:rsid w:val="001507CD"/>
    <w:rsid w:val="00154382"/>
    <w:rsid w:val="00155286"/>
    <w:rsid w:val="00155327"/>
    <w:rsid w:val="00156BEE"/>
    <w:rsid w:val="00167851"/>
    <w:rsid w:val="00197F4B"/>
    <w:rsid w:val="001A30B6"/>
    <w:rsid w:val="001A3AD3"/>
    <w:rsid w:val="001A44E8"/>
    <w:rsid w:val="001A4E5C"/>
    <w:rsid w:val="001A71A7"/>
    <w:rsid w:val="001B3841"/>
    <w:rsid w:val="001B5FDA"/>
    <w:rsid w:val="001C0BD4"/>
    <w:rsid w:val="001C1055"/>
    <w:rsid w:val="001D0D18"/>
    <w:rsid w:val="001D53AD"/>
    <w:rsid w:val="001E2274"/>
    <w:rsid w:val="001E3FBE"/>
    <w:rsid w:val="001E5183"/>
    <w:rsid w:val="001E71EA"/>
    <w:rsid w:val="0020147C"/>
    <w:rsid w:val="00202B4B"/>
    <w:rsid w:val="00205038"/>
    <w:rsid w:val="00212DDD"/>
    <w:rsid w:val="0022208E"/>
    <w:rsid w:val="00222F42"/>
    <w:rsid w:val="00227356"/>
    <w:rsid w:val="00230BD7"/>
    <w:rsid w:val="00231305"/>
    <w:rsid w:val="00232CD5"/>
    <w:rsid w:val="0023335C"/>
    <w:rsid w:val="00244302"/>
    <w:rsid w:val="00253580"/>
    <w:rsid w:val="002618B3"/>
    <w:rsid w:val="00266399"/>
    <w:rsid w:val="00267DDE"/>
    <w:rsid w:val="00274FA4"/>
    <w:rsid w:val="00276488"/>
    <w:rsid w:val="0028197C"/>
    <w:rsid w:val="00282EB3"/>
    <w:rsid w:val="00286F1E"/>
    <w:rsid w:val="0029136E"/>
    <w:rsid w:val="0029230F"/>
    <w:rsid w:val="00296367"/>
    <w:rsid w:val="002A0335"/>
    <w:rsid w:val="002A0D24"/>
    <w:rsid w:val="002A0F29"/>
    <w:rsid w:val="002A7A7C"/>
    <w:rsid w:val="002B4FD6"/>
    <w:rsid w:val="002C356D"/>
    <w:rsid w:val="002D1406"/>
    <w:rsid w:val="002D2E90"/>
    <w:rsid w:val="002D4EB7"/>
    <w:rsid w:val="002D671A"/>
    <w:rsid w:val="002E0CE7"/>
    <w:rsid w:val="002F1EC0"/>
    <w:rsid w:val="002F4F97"/>
    <w:rsid w:val="00301593"/>
    <w:rsid w:val="00315D8C"/>
    <w:rsid w:val="00316504"/>
    <w:rsid w:val="00322EA1"/>
    <w:rsid w:val="003268E0"/>
    <w:rsid w:val="00330E34"/>
    <w:rsid w:val="0033313C"/>
    <w:rsid w:val="00334DCB"/>
    <w:rsid w:val="00350680"/>
    <w:rsid w:val="00352E5A"/>
    <w:rsid w:val="003606E9"/>
    <w:rsid w:val="003607FD"/>
    <w:rsid w:val="00362A1B"/>
    <w:rsid w:val="00362CB5"/>
    <w:rsid w:val="00363043"/>
    <w:rsid w:val="0036369B"/>
    <w:rsid w:val="003656D7"/>
    <w:rsid w:val="0037211C"/>
    <w:rsid w:val="003A121E"/>
    <w:rsid w:val="003A7E86"/>
    <w:rsid w:val="003B0838"/>
    <w:rsid w:val="003B20EC"/>
    <w:rsid w:val="003B540D"/>
    <w:rsid w:val="003C08A2"/>
    <w:rsid w:val="003D1F3D"/>
    <w:rsid w:val="003F52B9"/>
    <w:rsid w:val="003F769D"/>
    <w:rsid w:val="00406D40"/>
    <w:rsid w:val="004124D0"/>
    <w:rsid w:val="00412F4D"/>
    <w:rsid w:val="00416090"/>
    <w:rsid w:val="00416A2E"/>
    <w:rsid w:val="00416BCC"/>
    <w:rsid w:val="004211D1"/>
    <w:rsid w:val="00426C3D"/>
    <w:rsid w:val="00427B0E"/>
    <w:rsid w:val="00434A45"/>
    <w:rsid w:val="00446D0D"/>
    <w:rsid w:val="004524C4"/>
    <w:rsid w:val="00454651"/>
    <w:rsid w:val="00470D8F"/>
    <w:rsid w:val="004728E3"/>
    <w:rsid w:val="00473253"/>
    <w:rsid w:val="004734BE"/>
    <w:rsid w:val="00474FB2"/>
    <w:rsid w:val="004751DA"/>
    <w:rsid w:val="004806BB"/>
    <w:rsid w:val="0048245D"/>
    <w:rsid w:val="0048421C"/>
    <w:rsid w:val="004842C0"/>
    <w:rsid w:val="00487BED"/>
    <w:rsid w:val="0049087D"/>
    <w:rsid w:val="00491D27"/>
    <w:rsid w:val="00492235"/>
    <w:rsid w:val="004A0222"/>
    <w:rsid w:val="004A1F34"/>
    <w:rsid w:val="004A39F4"/>
    <w:rsid w:val="004B1EB3"/>
    <w:rsid w:val="004B5B8D"/>
    <w:rsid w:val="004C1B75"/>
    <w:rsid w:val="004C4F44"/>
    <w:rsid w:val="004C69D7"/>
    <w:rsid w:val="004C76AC"/>
    <w:rsid w:val="004D2E36"/>
    <w:rsid w:val="004D6E45"/>
    <w:rsid w:val="004D7655"/>
    <w:rsid w:val="004E63DB"/>
    <w:rsid w:val="004F2E79"/>
    <w:rsid w:val="004F67F7"/>
    <w:rsid w:val="005015A7"/>
    <w:rsid w:val="00512365"/>
    <w:rsid w:val="00520DB9"/>
    <w:rsid w:val="005302AE"/>
    <w:rsid w:val="0053455B"/>
    <w:rsid w:val="0054458D"/>
    <w:rsid w:val="0055102A"/>
    <w:rsid w:val="00553241"/>
    <w:rsid w:val="00560781"/>
    <w:rsid w:val="005611B0"/>
    <w:rsid w:val="0056408E"/>
    <w:rsid w:val="00566B2B"/>
    <w:rsid w:val="0057079C"/>
    <w:rsid w:val="005818B8"/>
    <w:rsid w:val="005828AE"/>
    <w:rsid w:val="00585E0F"/>
    <w:rsid w:val="005946C8"/>
    <w:rsid w:val="00595967"/>
    <w:rsid w:val="00597B2C"/>
    <w:rsid w:val="005A346A"/>
    <w:rsid w:val="005A36D3"/>
    <w:rsid w:val="005B7C7C"/>
    <w:rsid w:val="005C717D"/>
    <w:rsid w:val="005D15A2"/>
    <w:rsid w:val="005D4214"/>
    <w:rsid w:val="005E1F61"/>
    <w:rsid w:val="005E5898"/>
    <w:rsid w:val="005F3774"/>
    <w:rsid w:val="005F3818"/>
    <w:rsid w:val="006007A2"/>
    <w:rsid w:val="006045E5"/>
    <w:rsid w:val="00615B77"/>
    <w:rsid w:val="00616B4B"/>
    <w:rsid w:val="00622ED3"/>
    <w:rsid w:val="00624360"/>
    <w:rsid w:val="0062602D"/>
    <w:rsid w:val="006269EC"/>
    <w:rsid w:val="00636CAD"/>
    <w:rsid w:val="00644410"/>
    <w:rsid w:val="00647871"/>
    <w:rsid w:val="00650818"/>
    <w:rsid w:val="00651FAC"/>
    <w:rsid w:val="00653D2E"/>
    <w:rsid w:val="00655DCA"/>
    <w:rsid w:val="00656BB8"/>
    <w:rsid w:val="00665E4F"/>
    <w:rsid w:val="00672DCF"/>
    <w:rsid w:val="0068154C"/>
    <w:rsid w:val="00681CF4"/>
    <w:rsid w:val="00683775"/>
    <w:rsid w:val="00696D8E"/>
    <w:rsid w:val="006B2725"/>
    <w:rsid w:val="006B4F97"/>
    <w:rsid w:val="006B6D73"/>
    <w:rsid w:val="006C132E"/>
    <w:rsid w:val="006C1A4C"/>
    <w:rsid w:val="006E1835"/>
    <w:rsid w:val="006E1BCF"/>
    <w:rsid w:val="00701458"/>
    <w:rsid w:val="007151F6"/>
    <w:rsid w:val="00716C19"/>
    <w:rsid w:val="007216BD"/>
    <w:rsid w:val="00727759"/>
    <w:rsid w:val="00732C5D"/>
    <w:rsid w:val="00736D39"/>
    <w:rsid w:val="00737584"/>
    <w:rsid w:val="0074133B"/>
    <w:rsid w:val="00741410"/>
    <w:rsid w:val="00752080"/>
    <w:rsid w:val="007527B0"/>
    <w:rsid w:val="007545C4"/>
    <w:rsid w:val="00767CEA"/>
    <w:rsid w:val="00783B9C"/>
    <w:rsid w:val="007970FC"/>
    <w:rsid w:val="00797D00"/>
    <w:rsid w:val="007B3D9C"/>
    <w:rsid w:val="007B5110"/>
    <w:rsid w:val="007B6D49"/>
    <w:rsid w:val="007B7C8F"/>
    <w:rsid w:val="007B7DAA"/>
    <w:rsid w:val="007C10F9"/>
    <w:rsid w:val="007C13A7"/>
    <w:rsid w:val="007C71FD"/>
    <w:rsid w:val="007D0885"/>
    <w:rsid w:val="007D2CE0"/>
    <w:rsid w:val="007F32BE"/>
    <w:rsid w:val="008026F1"/>
    <w:rsid w:val="0080475C"/>
    <w:rsid w:val="008274F4"/>
    <w:rsid w:val="00831F88"/>
    <w:rsid w:val="00834F4D"/>
    <w:rsid w:val="00837422"/>
    <w:rsid w:val="0085477B"/>
    <w:rsid w:val="00864581"/>
    <w:rsid w:val="00875FB8"/>
    <w:rsid w:val="00876A6C"/>
    <w:rsid w:val="00880B30"/>
    <w:rsid w:val="008862BE"/>
    <w:rsid w:val="00891575"/>
    <w:rsid w:val="00895916"/>
    <w:rsid w:val="008A2F5E"/>
    <w:rsid w:val="008A37C2"/>
    <w:rsid w:val="008A7B67"/>
    <w:rsid w:val="008B14A3"/>
    <w:rsid w:val="008B3E63"/>
    <w:rsid w:val="008D411D"/>
    <w:rsid w:val="008D678B"/>
    <w:rsid w:val="008E24DA"/>
    <w:rsid w:val="008E5D75"/>
    <w:rsid w:val="008F0C95"/>
    <w:rsid w:val="008F6F33"/>
    <w:rsid w:val="009042FA"/>
    <w:rsid w:val="00907B73"/>
    <w:rsid w:val="00913703"/>
    <w:rsid w:val="00920B75"/>
    <w:rsid w:val="0092757B"/>
    <w:rsid w:val="00932561"/>
    <w:rsid w:val="00935FDE"/>
    <w:rsid w:val="0094108B"/>
    <w:rsid w:val="009430B6"/>
    <w:rsid w:val="00947278"/>
    <w:rsid w:val="00947476"/>
    <w:rsid w:val="00955360"/>
    <w:rsid w:val="00967D4A"/>
    <w:rsid w:val="009760D1"/>
    <w:rsid w:val="00976108"/>
    <w:rsid w:val="00977EEB"/>
    <w:rsid w:val="00983076"/>
    <w:rsid w:val="00985A7B"/>
    <w:rsid w:val="009955E4"/>
    <w:rsid w:val="009972D3"/>
    <w:rsid w:val="009A4410"/>
    <w:rsid w:val="009A648A"/>
    <w:rsid w:val="009A72D7"/>
    <w:rsid w:val="009B2562"/>
    <w:rsid w:val="009B440E"/>
    <w:rsid w:val="009C2ED2"/>
    <w:rsid w:val="009C67BC"/>
    <w:rsid w:val="009C6DA6"/>
    <w:rsid w:val="009D04D1"/>
    <w:rsid w:val="009D1D6B"/>
    <w:rsid w:val="009E076F"/>
    <w:rsid w:val="009F17D0"/>
    <w:rsid w:val="00A0454F"/>
    <w:rsid w:val="00A11BA9"/>
    <w:rsid w:val="00A200F3"/>
    <w:rsid w:val="00A219F0"/>
    <w:rsid w:val="00A24540"/>
    <w:rsid w:val="00A250BF"/>
    <w:rsid w:val="00A27EBE"/>
    <w:rsid w:val="00A300D1"/>
    <w:rsid w:val="00A4411C"/>
    <w:rsid w:val="00A4621B"/>
    <w:rsid w:val="00A47197"/>
    <w:rsid w:val="00A5009B"/>
    <w:rsid w:val="00A55C3E"/>
    <w:rsid w:val="00A602A0"/>
    <w:rsid w:val="00A619D0"/>
    <w:rsid w:val="00A65AFC"/>
    <w:rsid w:val="00A66D7E"/>
    <w:rsid w:val="00A70F32"/>
    <w:rsid w:val="00A829E7"/>
    <w:rsid w:val="00A95B94"/>
    <w:rsid w:val="00A961C6"/>
    <w:rsid w:val="00AA345A"/>
    <w:rsid w:val="00AB1ADC"/>
    <w:rsid w:val="00AB488A"/>
    <w:rsid w:val="00AB4D5C"/>
    <w:rsid w:val="00AB5F96"/>
    <w:rsid w:val="00AC4F37"/>
    <w:rsid w:val="00AC5580"/>
    <w:rsid w:val="00AE1B5D"/>
    <w:rsid w:val="00AE2733"/>
    <w:rsid w:val="00AE677B"/>
    <w:rsid w:val="00AF1641"/>
    <w:rsid w:val="00B030B5"/>
    <w:rsid w:val="00B050D4"/>
    <w:rsid w:val="00B06439"/>
    <w:rsid w:val="00B13C4C"/>
    <w:rsid w:val="00B15F83"/>
    <w:rsid w:val="00B17625"/>
    <w:rsid w:val="00B2013E"/>
    <w:rsid w:val="00B20EE4"/>
    <w:rsid w:val="00B22577"/>
    <w:rsid w:val="00B24C8F"/>
    <w:rsid w:val="00B25E14"/>
    <w:rsid w:val="00B36AFB"/>
    <w:rsid w:val="00B47AA2"/>
    <w:rsid w:val="00B5072E"/>
    <w:rsid w:val="00B50773"/>
    <w:rsid w:val="00B60C1C"/>
    <w:rsid w:val="00B71F7B"/>
    <w:rsid w:val="00B747BF"/>
    <w:rsid w:val="00B82A56"/>
    <w:rsid w:val="00B916D7"/>
    <w:rsid w:val="00B91DE6"/>
    <w:rsid w:val="00BA652B"/>
    <w:rsid w:val="00BB0315"/>
    <w:rsid w:val="00BC29B1"/>
    <w:rsid w:val="00BC5376"/>
    <w:rsid w:val="00BE011D"/>
    <w:rsid w:val="00C01D05"/>
    <w:rsid w:val="00C1146C"/>
    <w:rsid w:val="00C12308"/>
    <w:rsid w:val="00C12589"/>
    <w:rsid w:val="00C21FBA"/>
    <w:rsid w:val="00C24574"/>
    <w:rsid w:val="00C24D0C"/>
    <w:rsid w:val="00C26943"/>
    <w:rsid w:val="00C317E9"/>
    <w:rsid w:val="00C51E26"/>
    <w:rsid w:val="00C520DA"/>
    <w:rsid w:val="00C5212D"/>
    <w:rsid w:val="00C52D22"/>
    <w:rsid w:val="00C556D0"/>
    <w:rsid w:val="00C77017"/>
    <w:rsid w:val="00C84B3A"/>
    <w:rsid w:val="00C947FC"/>
    <w:rsid w:val="00C95D69"/>
    <w:rsid w:val="00CA0158"/>
    <w:rsid w:val="00CB4FED"/>
    <w:rsid w:val="00CC0FB6"/>
    <w:rsid w:val="00CC1E4B"/>
    <w:rsid w:val="00CC4465"/>
    <w:rsid w:val="00CC590F"/>
    <w:rsid w:val="00CD5A1C"/>
    <w:rsid w:val="00CD5E77"/>
    <w:rsid w:val="00CD6C12"/>
    <w:rsid w:val="00CD6F48"/>
    <w:rsid w:val="00CD70FA"/>
    <w:rsid w:val="00CE36A8"/>
    <w:rsid w:val="00CE75E2"/>
    <w:rsid w:val="00CE7F9F"/>
    <w:rsid w:val="00CF70D7"/>
    <w:rsid w:val="00D012A9"/>
    <w:rsid w:val="00D10D97"/>
    <w:rsid w:val="00D12ED8"/>
    <w:rsid w:val="00D15F98"/>
    <w:rsid w:val="00D26425"/>
    <w:rsid w:val="00D27F5B"/>
    <w:rsid w:val="00D418BE"/>
    <w:rsid w:val="00D41A5F"/>
    <w:rsid w:val="00D41F53"/>
    <w:rsid w:val="00D4476E"/>
    <w:rsid w:val="00D44E4E"/>
    <w:rsid w:val="00D44F5D"/>
    <w:rsid w:val="00D47373"/>
    <w:rsid w:val="00D553BC"/>
    <w:rsid w:val="00D602D8"/>
    <w:rsid w:val="00D71D31"/>
    <w:rsid w:val="00D8442F"/>
    <w:rsid w:val="00D86F0B"/>
    <w:rsid w:val="00DA178B"/>
    <w:rsid w:val="00DA1E8B"/>
    <w:rsid w:val="00DA7751"/>
    <w:rsid w:val="00DC2425"/>
    <w:rsid w:val="00DC3843"/>
    <w:rsid w:val="00DD11FE"/>
    <w:rsid w:val="00DD210B"/>
    <w:rsid w:val="00DD2E45"/>
    <w:rsid w:val="00DD5862"/>
    <w:rsid w:val="00DE2EE0"/>
    <w:rsid w:val="00DE2FAF"/>
    <w:rsid w:val="00DE3A90"/>
    <w:rsid w:val="00DE61B1"/>
    <w:rsid w:val="00DF0941"/>
    <w:rsid w:val="00DF5D9E"/>
    <w:rsid w:val="00DF721A"/>
    <w:rsid w:val="00E052C3"/>
    <w:rsid w:val="00E05A1D"/>
    <w:rsid w:val="00E14901"/>
    <w:rsid w:val="00E15C82"/>
    <w:rsid w:val="00E23731"/>
    <w:rsid w:val="00E278A4"/>
    <w:rsid w:val="00E3119E"/>
    <w:rsid w:val="00E33C80"/>
    <w:rsid w:val="00E35B43"/>
    <w:rsid w:val="00E4345D"/>
    <w:rsid w:val="00E46D48"/>
    <w:rsid w:val="00E528D4"/>
    <w:rsid w:val="00E53553"/>
    <w:rsid w:val="00E64562"/>
    <w:rsid w:val="00E95D46"/>
    <w:rsid w:val="00EA2838"/>
    <w:rsid w:val="00EA2F3F"/>
    <w:rsid w:val="00EA3E29"/>
    <w:rsid w:val="00EB1F8C"/>
    <w:rsid w:val="00EC20EA"/>
    <w:rsid w:val="00EC3CBD"/>
    <w:rsid w:val="00EC5433"/>
    <w:rsid w:val="00EC54A3"/>
    <w:rsid w:val="00EC675B"/>
    <w:rsid w:val="00EC6A5C"/>
    <w:rsid w:val="00EE034D"/>
    <w:rsid w:val="00EE37D2"/>
    <w:rsid w:val="00EF4D2A"/>
    <w:rsid w:val="00EF5430"/>
    <w:rsid w:val="00F12B31"/>
    <w:rsid w:val="00F1501C"/>
    <w:rsid w:val="00F1620C"/>
    <w:rsid w:val="00F16A85"/>
    <w:rsid w:val="00F21F20"/>
    <w:rsid w:val="00F25C54"/>
    <w:rsid w:val="00F268E0"/>
    <w:rsid w:val="00F33108"/>
    <w:rsid w:val="00F345B1"/>
    <w:rsid w:val="00F36EC9"/>
    <w:rsid w:val="00F40233"/>
    <w:rsid w:val="00F414CF"/>
    <w:rsid w:val="00F427F0"/>
    <w:rsid w:val="00F432FC"/>
    <w:rsid w:val="00F518C2"/>
    <w:rsid w:val="00F52922"/>
    <w:rsid w:val="00F55263"/>
    <w:rsid w:val="00F570A2"/>
    <w:rsid w:val="00F62D24"/>
    <w:rsid w:val="00F633BB"/>
    <w:rsid w:val="00F818F8"/>
    <w:rsid w:val="00F83D4E"/>
    <w:rsid w:val="00F92176"/>
    <w:rsid w:val="00FA123E"/>
    <w:rsid w:val="00FA1445"/>
    <w:rsid w:val="00FC673F"/>
    <w:rsid w:val="00FD79A3"/>
    <w:rsid w:val="00FE25E9"/>
    <w:rsid w:val="00FE3413"/>
    <w:rsid w:val="00FE3740"/>
    <w:rsid w:val="00FF6DA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footnote reference" w:uiPriority="99"/>
    <w:lsdException w:name="List Bullet" w:qFormat="1"/>
    <w:lsdException w:name="Default Paragraph Font" w:uiPriority="1"/>
    <w:lsdException w:name="Body Text" w:qFormat="1"/>
    <w:lsdException w:name="Hyperlink"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2"/>
      </w:numPr>
      <w:spacing w:after="800"/>
      <w:outlineLvl w:val="0"/>
    </w:pPr>
    <w:rPr>
      <w:rFonts w:ascii="Arial" w:hAnsi="Arial" w:cs="Arial"/>
      <w:b/>
      <w:bCs/>
      <w:kern w:val="32"/>
      <w:sz w:val="40"/>
      <w:szCs w:val="32"/>
    </w:rPr>
  </w:style>
  <w:style w:type="paragraph" w:styleId="Rubrik2">
    <w:name w:val="heading 2"/>
    <w:basedOn w:val="Normal"/>
    <w:next w:val="Brdtext"/>
    <w:qFormat/>
    <w:rsid w:val="00073A2E"/>
    <w:pPr>
      <w:keepNext/>
      <w:numPr>
        <w:ilvl w:val="1"/>
        <w:numId w:val="2"/>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2"/>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4"/>
      </w:numPr>
    </w:pPr>
  </w:style>
  <w:style w:type="paragraph" w:styleId="Fotnotstext">
    <w:name w:val="footnote text"/>
    <w:aliases w:val="Fotnotstext1 Char,Fotnotstext1,Fotnotstext1 Char1,Fotnotstext1 Char2,Fotnotstext11,(Diplomarbeit),(Diplomarbeit)1,(Diplomarbeit)2,(Diplomarbeit)3,(Diplomarbeit)4,(Diplomarbeit)5,(Diplomarbeit)6,(Diplomarbeit)7,(Diplomarbeit)8,(Diplomarbeit)9"/>
    <w:basedOn w:val="Normal"/>
    <w:link w:val="FotnotstextChar"/>
    <w:rsid w:val="00073A2E"/>
    <w:rPr>
      <w:sz w:val="20"/>
      <w:szCs w:val="20"/>
    </w:rPr>
  </w:style>
  <w:style w:type="character" w:styleId="Fotnotsreferens">
    <w:name w:val="footnote reference"/>
    <w:aliases w:val="SUPERS,-E Fußnotenzeichen,Footnote reference number,Footnote symbol,note TESI,number,BVI fnr,Footnote call"/>
    <w:basedOn w:val="Standardstycketeckensnitt"/>
    <w:uiPriority w:val="99"/>
    <w:rsid w:val="00073A2E"/>
    <w:rPr>
      <w:vertAlign w:val="superscript"/>
    </w:rPr>
  </w:style>
  <w:style w:type="paragraph" w:styleId="Beskrivning">
    <w:name w:val="caption"/>
    <w:aliases w:val="dia. tab. fig. karta,Beskrivning Char Char,Beskrivning Char Char Char"/>
    <w:basedOn w:val="Normal"/>
    <w:link w:val="BeskrivningChar"/>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uiPriority w:val="59"/>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7527B0"/>
    <w:rPr>
      <w:sz w:val="24"/>
      <w:szCs w:val="24"/>
    </w:rPr>
  </w:style>
  <w:style w:type="character" w:customStyle="1" w:styleId="FotnotstextChar">
    <w:name w:val="Fotnotstext Char"/>
    <w:aliases w:val="Fotnotstext1 Char Char,Fotnotstext1 Char3,Fotnotstext1 Char1 Char,Fotnotstext1 Char2 Char,Fotnotstext11 Char,(Diplomarbeit) Char,(Diplomarbeit)1 Char,(Diplomarbeit)2 Char,(Diplomarbeit)3 Char,(Diplomarbeit)4 Char,(Diplomarbeit)5 Char"/>
    <w:basedOn w:val="Standardstycketeckensnitt"/>
    <w:link w:val="Fotnotstext"/>
    <w:rsid w:val="007527B0"/>
  </w:style>
  <w:style w:type="character" w:styleId="Kommentarsreferens">
    <w:name w:val="annotation reference"/>
    <w:basedOn w:val="Standardstycketeckensnitt"/>
    <w:rsid w:val="007527B0"/>
    <w:rPr>
      <w:sz w:val="16"/>
      <w:szCs w:val="16"/>
    </w:rPr>
  </w:style>
  <w:style w:type="paragraph" w:styleId="Kommentarer">
    <w:name w:val="annotation text"/>
    <w:basedOn w:val="Normal"/>
    <w:link w:val="KommentarerChar"/>
    <w:rsid w:val="007527B0"/>
    <w:rPr>
      <w:sz w:val="20"/>
      <w:szCs w:val="20"/>
    </w:rPr>
  </w:style>
  <w:style w:type="character" w:customStyle="1" w:styleId="KommentarerChar">
    <w:name w:val="Kommentarer Char"/>
    <w:basedOn w:val="Standardstycketeckensnitt"/>
    <w:link w:val="Kommentarer"/>
    <w:rsid w:val="007527B0"/>
  </w:style>
  <w:style w:type="paragraph" w:styleId="Kommentarsmne">
    <w:name w:val="annotation subject"/>
    <w:basedOn w:val="Kommentarer"/>
    <w:next w:val="Kommentarer"/>
    <w:link w:val="KommentarsmneChar"/>
    <w:rsid w:val="007527B0"/>
    <w:rPr>
      <w:b/>
      <w:bCs/>
    </w:rPr>
  </w:style>
  <w:style w:type="character" w:customStyle="1" w:styleId="KommentarsmneChar">
    <w:name w:val="Kommentarsämne Char"/>
    <w:basedOn w:val="KommentarerChar"/>
    <w:link w:val="Kommentarsmne"/>
    <w:rsid w:val="007527B0"/>
    <w:rPr>
      <w:b/>
      <w:bCs/>
    </w:rPr>
  </w:style>
  <w:style w:type="paragraph" w:styleId="Ballongtext">
    <w:name w:val="Balloon Text"/>
    <w:basedOn w:val="Normal"/>
    <w:link w:val="BallongtextChar"/>
    <w:rsid w:val="007527B0"/>
    <w:rPr>
      <w:rFonts w:ascii="Tahoma" w:hAnsi="Tahoma" w:cs="Tahoma"/>
      <w:sz w:val="16"/>
      <w:szCs w:val="16"/>
    </w:rPr>
  </w:style>
  <w:style w:type="character" w:customStyle="1" w:styleId="BallongtextChar">
    <w:name w:val="Ballongtext Char"/>
    <w:basedOn w:val="Standardstycketeckensnitt"/>
    <w:link w:val="Ballongtext"/>
    <w:rsid w:val="007527B0"/>
    <w:rPr>
      <w:rFonts w:ascii="Tahoma" w:hAnsi="Tahoma" w:cs="Tahoma"/>
      <w:sz w:val="16"/>
      <w:szCs w:val="16"/>
    </w:rPr>
  </w:style>
  <w:style w:type="paragraph" w:customStyle="1" w:styleId="Default">
    <w:name w:val="Default"/>
    <w:rsid w:val="00C95D69"/>
    <w:pPr>
      <w:autoSpaceDE w:val="0"/>
      <w:autoSpaceDN w:val="0"/>
      <w:adjustRightInd w:val="0"/>
    </w:pPr>
    <w:rPr>
      <w:rFonts w:ascii="Palatino Linotype" w:hAnsi="Palatino Linotype" w:cs="Palatino Linotype"/>
      <w:color w:val="000000"/>
      <w:sz w:val="24"/>
      <w:szCs w:val="24"/>
      <w:lang w:eastAsia="en-US"/>
    </w:rPr>
  </w:style>
  <w:style w:type="paragraph" w:styleId="Normalwebb">
    <w:name w:val="Normal (Web)"/>
    <w:basedOn w:val="Normal"/>
    <w:uiPriority w:val="99"/>
    <w:unhideWhenUsed/>
    <w:rsid w:val="00154382"/>
    <w:pPr>
      <w:spacing w:before="100" w:beforeAutospacing="1" w:after="100" w:afterAutospacing="1"/>
    </w:pPr>
  </w:style>
  <w:style w:type="table" w:styleId="Enkeltabell1">
    <w:name w:val="Table Simple 1"/>
    <w:basedOn w:val="Normaltabell"/>
    <w:rsid w:val="008B3E6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BeskrivningChar">
    <w:name w:val="Beskrivning Char"/>
    <w:aliases w:val="dia. tab. fig. karta Char,Beskrivning Char Char Char1,Beskrivning Char Char Char Char"/>
    <w:link w:val="Beskrivning"/>
    <w:locked/>
    <w:rsid w:val="008B3E63"/>
    <w:rPr>
      <w:b/>
      <w:bCs/>
    </w:rPr>
  </w:style>
  <w:style w:type="table" w:styleId="Standardtabell1">
    <w:name w:val="Table Classic 1"/>
    <w:basedOn w:val="Normaltabell"/>
    <w:rsid w:val="008B3E6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getavstnd">
    <w:name w:val="No Spacing"/>
    <w:uiPriority w:val="1"/>
    <w:qFormat/>
    <w:rsid w:val="008B3E63"/>
    <w:rPr>
      <w:rFonts w:asciiTheme="minorHAnsi" w:eastAsiaTheme="minorHAnsi" w:hAnsiTheme="minorHAnsi" w:cstheme="minorBidi"/>
      <w:sz w:val="22"/>
      <w:szCs w:val="22"/>
      <w:lang w:eastAsia="en-US"/>
    </w:rPr>
  </w:style>
  <w:style w:type="paragraph" w:styleId="Revision">
    <w:name w:val="Revision"/>
    <w:hidden/>
    <w:uiPriority w:val="99"/>
    <w:semiHidden/>
    <w:rsid w:val="00875FB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footnote reference" w:uiPriority="99"/>
    <w:lsdException w:name="List Bullet" w:qFormat="1"/>
    <w:lsdException w:name="Default Paragraph Font" w:uiPriority="1"/>
    <w:lsdException w:name="Body Text" w:qFormat="1"/>
    <w:lsdException w:name="Hyperlink"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2"/>
      </w:numPr>
      <w:spacing w:after="800"/>
      <w:outlineLvl w:val="0"/>
    </w:pPr>
    <w:rPr>
      <w:rFonts w:ascii="Arial" w:hAnsi="Arial" w:cs="Arial"/>
      <w:b/>
      <w:bCs/>
      <w:kern w:val="32"/>
      <w:sz w:val="40"/>
      <w:szCs w:val="32"/>
    </w:rPr>
  </w:style>
  <w:style w:type="paragraph" w:styleId="Rubrik2">
    <w:name w:val="heading 2"/>
    <w:basedOn w:val="Normal"/>
    <w:next w:val="Brdtext"/>
    <w:qFormat/>
    <w:rsid w:val="00073A2E"/>
    <w:pPr>
      <w:keepNext/>
      <w:numPr>
        <w:ilvl w:val="1"/>
        <w:numId w:val="2"/>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2"/>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4"/>
      </w:numPr>
    </w:pPr>
  </w:style>
  <w:style w:type="paragraph" w:styleId="Fotnotstext">
    <w:name w:val="footnote text"/>
    <w:aliases w:val="Fotnotstext1 Char,Fotnotstext1,Fotnotstext1 Char1,Fotnotstext1 Char2,Fotnotstext11,(Diplomarbeit),(Diplomarbeit)1,(Diplomarbeit)2,(Diplomarbeit)3,(Diplomarbeit)4,(Diplomarbeit)5,(Diplomarbeit)6,(Diplomarbeit)7,(Diplomarbeit)8,(Diplomarbeit)9"/>
    <w:basedOn w:val="Normal"/>
    <w:link w:val="FotnotstextChar"/>
    <w:rsid w:val="00073A2E"/>
    <w:rPr>
      <w:sz w:val="20"/>
      <w:szCs w:val="20"/>
    </w:rPr>
  </w:style>
  <w:style w:type="character" w:styleId="Fotnotsreferens">
    <w:name w:val="footnote reference"/>
    <w:aliases w:val="SUPERS,-E Fußnotenzeichen,Footnote reference number,Footnote symbol,note TESI,number,BVI fnr,Footnote call"/>
    <w:basedOn w:val="Standardstycketeckensnitt"/>
    <w:uiPriority w:val="99"/>
    <w:rsid w:val="00073A2E"/>
    <w:rPr>
      <w:vertAlign w:val="superscript"/>
    </w:rPr>
  </w:style>
  <w:style w:type="paragraph" w:styleId="Beskrivning">
    <w:name w:val="caption"/>
    <w:aliases w:val="dia. tab. fig. karta,Beskrivning Char Char,Beskrivning Char Char Char"/>
    <w:basedOn w:val="Normal"/>
    <w:link w:val="BeskrivningChar"/>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uiPriority w:val="59"/>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7527B0"/>
    <w:rPr>
      <w:sz w:val="24"/>
      <w:szCs w:val="24"/>
    </w:rPr>
  </w:style>
  <w:style w:type="character" w:customStyle="1" w:styleId="FotnotstextChar">
    <w:name w:val="Fotnotstext Char"/>
    <w:aliases w:val="Fotnotstext1 Char Char,Fotnotstext1 Char3,Fotnotstext1 Char1 Char,Fotnotstext1 Char2 Char,Fotnotstext11 Char,(Diplomarbeit) Char,(Diplomarbeit)1 Char,(Diplomarbeit)2 Char,(Diplomarbeit)3 Char,(Diplomarbeit)4 Char,(Diplomarbeit)5 Char"/>
    <w:basedOn w:val="Standardstycketeckensnitt"/>
    <w:link w:val="Fotnotstext"/>
    <w:rsid w:val="007527B0"/>
  </w:style>
  <w:style w:type="character" w:styleId="Kommentarsreferens">
    <w:name w:val="annotation reference"/>
    <w:basedOn w:val="Standardstycketeckensnitt"/>
    <w:rsid w:val="007527B0"/>
    <w:rPr>
      <w:sz w:val="16"/>
      <w:szCs w:val="16"/>
    </w:rPr>
  </w:style>
  <w:style w:type="paragraph" w:styleId="Kommentarer">
    <w:name w:val="annotation text"/>
    <w:basedOn w:val="Normal"/>
    <w:link w:val="KommentarerChar"/>
    <w:rsid w:val="007527B0"/>
    <w:rPr>
      <w:sz w:val="20"/>
      <w:szCs w:val="20"/>
    </w:rPr>
  </w:style>
  <w:style w:type="character" w:customStyle="1" w:styleId="KommentarerChar">
    <w:name w:val="Kommentarer Char"/>
    <w:basedOn w:val="Standardstycketeckensnitt"/>
    <w:link w:val="Kommentarer"/>
    <w:rsid w:val="007527B0"/>
  </w:style>
  <w:style w:type="paragraph" w:styleId="Kommentarsmne">
    <w:name w:val="annotation subject"/>
    <w:basedOn w:val="Kommentarer"/>
    <w:next w:val="Kommentarer"/>
    <w:link w:val="KommentarsmneChar"/>
    <w:rsid w:val="007527B0"/>
    <w:rPr>
      <w:b/>
      <w:bCs/>
    </w:rPr>
  </w:style>
  <w:style w:type="character" w:customStyle="1" w:styleId="KommentarsmneChar">
    <w:name w:val="Kommentarsämne Char"/>
    <w:basedOn w:val="KommentarerChar"/>
    <w:link w:val="Kommentarsmne"/>
    <w:rsid w:val="007527B0"/>
    <w:rPr>
      <w:b/>
      <w:bCs/>
    </w:rPr>
  </w:style>
  <w:style w:type="paragraph" w:styleId="Ballongtext">
    <w:name w:val="Balloon Text"/>
    <w:basedOn w:val="Normal"/>
    <w:link w:val="BallongtextChar"/>
    <w:rsid w:val="007527B0"/>
    <w:rPr>
      <w:rFonts w:ascii="Tahoma" w:hAnsi="Tahoma" w:cs="Tahoma"/>
      <w:sz w:val="16"/>
      <w:szCs w:val="16"/>
    </w:rPr>
  </w:style>
  <w:style w:type="character" w:customStyle="1" w:styleId="BallongtextChar">
    <w:name w:val="Ballongtext Char"/>
    <w:basedOn w:val="Standardstycketeckensnitt"/>
    <w:link w:val="Ballongtext"/>
    <w:rsid w:val="007527B0"/>
    <w:rPr>
      <w:rFonts w:ascii="Tahoma" w:hAnsi="Tahoma" w:cs="Tahoma"/>
      <w:sz w:val="16"/>
      <w:szCs w:val="16"/>
    </w:rPr>
  </w:style>
  <w:style w:type="paragraph" w:customStyle="1" w:styleId="Default">
    <w:name w:val="Default"/>
    <w:rsid w:val="00C95D69"/>
    <w:pPr>
      <w:autoSpaceDE w:val="0"/>
      <w:autoSpaceDN w:val="0"/>
      <w:adjustRightInd w:val="0"/>
    </w:pPr>
    <w:rPr>
      <w:rFonts w:ascii="Palatino Linotype" w:hAnsi="Palatino Linotype" w:cs="Palatino Linotype"/>
      <w:color w:val="000000"/>
      <w:sz w:val="24"/>
      <w:szCs w:val="24"/>
      <w:lang w:eastAsia="en-US"/>
    </w:rPr>
  </w:style>
  <w:style w:type="paragraph" w:styleId="Normalwebb">
    <w:name w:val="Normal (Web)"/>
    <w:basedOn w:val="Normal"/>
    <w:uiPriority w:val="99"/>
    <w:unhideWhenUsed/>
    <w:rsid w:val="00154382"/>
    <w:pPr>
      <w:spacing w:before="100" w:beforeAutospacing="1" w:after="100" w:afterAutospacing="1"/>
    </w:pPr>
  </w:style>
  <w:style w:type="table" w:styleId="Enkeltabell1">
    <w:name w:val="Table Simple 1"/>
    <w:basedOn w:val="Normaltabell"/>
    <w:rsid w:val="008B3E6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BeskrivningChar">
    <w:name w:val="Beskrivning Char"/>
    <w:aliases w:val="dia. tab. fig. karta Char,Beskrivning Char Char Char1,Beskrivning Char Char Char Char"/>
    <w:link w:val="Beskrivning"/>
    <w:locked/>
    <w:rsid w:val="008B3E63"/>
    <w:rPr>
      <w:b/>
      <w:bCs/>
    </w:rPr>
  </w:style>
  <w:style w:type="table" w:styleId="Standardtabell1">
    <w:name w:val="Table Classic 1"/>
    <w:basedOn w:val="Normaltabell"/>
    <w:rsid w:val="008B3E6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getavstnd">
    <w:name w:val="No Spacing"/>
    <w:uiPriority w:val="1"/>
    <w:qFormat/>
    <w:rsid w:val="008B3E63"/>
    <w:rPr>
      <w:rFonts w:asciiTheme="minorHAnsi" w:eastAsiaTheme="minorHAnsi" w:hAnsiTheme="minorHAnsi" w:cstheme="minorBidi"/>
      <w:sz w:val="22"/>
      <w:szCs w:val="22"/>
      <w:lang w:eastAsia="en-US"/>
    </w:rPr>
  </w:style>
  <w:style w:type="paragraph" w:styleId="Revision">
    <w:name w:val="Revision"/>
    <w:hidden/>
    <w:uiPriority w:val="99"/>
    <w:semiHidden/>
    <w:rsid w:val="00875F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799119">
      <w:bodyDiv w:val="1"/>
      <w:marLeft w:val="0"/>
      <w:marRight w:val="0"/>
      <w:marTop w:val="0"/>
      <w:marBottom w:val="0"/>
      <w:divBdr>
        <w:top w:val="none" w:sz="0" w:space="0" w:color="auto"/>
        <w:left w:val="none" w:sz="0" w:space="0" w:color="auto"/>
        <w:bottom w:val="none" w:sz="0" w:space="0" w:color="auto"/>
        <w:right w:val="none" w:sz="0" w:space="0" w:color="auto"/>
      </w:divBdr>
    </w:div>
    <w:div w:id="264967137">
      <w:bodyDiv w:val="1"/>
      <w:marLeft w:val="0"/>
      <w:marRight w:val="0"/>
      <w:marTop w:val="0"/>
      <w:marBottom w:val="0"/>
      <w:divBdr>
        <w:top w:val="none" w:sz="0" w:space="0" w:color="auto"/>
        <w:left w:val="none" w:sz="0" w:space="0" w:color="auto"/>
        <w:bottom w:val="none" w:sz="0" w:space="0" w:color="auto"/>
        <w:right w:val="none" w:sz="0" w:space="0" w:color="auto"/>
      </w:divBdr>
    </w:div>
    <w:div w:id="393623771">
      <w:bodyDiv w:val="1"/>
      <w:marLeft w:val="0"/>
      <w:marRight w:val="0"/>
      <w:marTop w:val="0"/>
      <w:marBottom w:val="0"/>
      <w:divBdr>
        <w:top w:val="none" w:sz="0" w:space="0" w:color="auto"/>
        <w:left w:val="none" w:sz="0" w:space="0" w:color="auto"/>
        <w:bottom w:val="none" w:sz="0" w:space="0" w:color="auto"/>
        <w:right w:val="none" w:sz="0" w:space="0" w:color="auto"/>
      </w:divBdr>
    </w:div>
    <w:div w:id="568342863">
      <w:bodyDiv w:val="1"/>
      <w:marLeft w:val="0"/>
      <w:marRight w:val="0"/>
      <w:marTop w:val="0"/>
      <w:marBottom w:val="0"/>
      <w:divBdr>
        <w:top w:val="none" w:sz="0" w:space="0" w:color="auto"/>
        <w:left w:val="none" w:sz="0" w:space="0" w:color="auto"/>
        <w:bottom w:val="none" w:sz="0" w:space="0" w:color="auto"/>
        <w:right w:val="none" w:sz="0" w:space="0" w:color="auto"/>
      </w:divBdr>
    </w:div>
    <w:div w:id="584339274">
      <w:bodyDiv w:val="1"/>
      <w:marLeft w:val="0"/>
      <w:marRight w:val="0"/>
      <w:marTop w:val="0"/>
      <w:marBottom w:val="0"/>
      <w:divBdr>
        <w:top w:val="none" w:sz="0" w:space="0" w:color="auto"/>
        <w:left w:val="none" w:sz="0" w:space="0" w:color="auto"/>
        <w:bottom w:val="none" w:sz="0" w:space="0" w:color="auto"/>
        <w:right w:val="none" w:sz="0" w:space="0" w:color="auto"/>
      </w:divBdr>
    </w:div>
    <w:div w:id="746533012">
      <w:bodyDiv w:val="1"/>
      <w:marLeft w:val="0"/>
      <w:marRight w:val="0"/>
      <w:marTop w:val="0"/>
      <w:marBottom w:val="0"/>
      <w:divBdr>
        <w:top w:val="none" w:sz="0" w:space="0" w:color="auto"/>
        <w:left w:val="none" w:sz="0" w:space="0" w:color="auto"/>
        <w:bottom w:val="none" w:sz="0" w:space="0" w:color="auto"/>
        <w:right w:val="none" w:sz="0" w:space="0" w:color="auto"/>
      </w:divBdr>
      <w:divsChild>
        <w:div w:id="584268403">
          <w:marLeft w:val="691"/>
          <w:marRight w:val="0"/>
          <w:marTop w:val="86"/>
          <w:marBottom w:val="0"/>
          <w:divBdr>
            <w:top w:val="none" w:sz="0" w:space="0" w:color="auto"/>
            <w:left w:val="none" w:sz="0" w:space="0" w:color="auto"/>
            <w:bottom w:val="none" w:sz="0" w:space="0" w:color="auto"/>
            <w:right w:val="none" w:sz="0" w:space="0" w:color="auto"/>
          </w:divBdr>
        </w:div>
        <w:div w:id="1725248937">
          <w:marLeft w:val="691"/>
          <w:marRight w:val="0"/>
          <w:marTop w:val="86"/>
          <w:marBottom w:val="0"/>
          <w:divBdr>
            <w:top w:val="none" w:sz="0" w:space="0" w:color="auto"/>
            <w:left w:val="none" w:sz="0" w:space="0" w:color="auto"/>
            <w:bottom w:val="none" w:sz="0" w:space="0" w:color="auto"/>
            <w:right w:val="none" w:sz="0" w:space="0" w:color="auto"/>
          </w:divBdr>
        </w:div>
        <w:div w:id="1974948141">
          <w:marLeft w:val="691"/>
          <w:marRight w:val="0"/>
          <w:marTop w:val="86"/>
          <w:marBottom w:val="0"/>
          <w:divBdr>
            <w:top w:val="none" w:sz="0" w:space="0" w:color="auto"/>
            <w:left w:val="none" w:sz="0" w:space="0" w:color="auto"/>
            <w:bottom w:val="none" w:sz="0" w:space="0" w:color="auto"/>
            <w:right w:val="none" w:sz="0" w:space="0" w:color="auto"/>
          </w:divBdr>
        </w:div>
      </w:divsChild>
    </w:div>
    <w:div w:id="820927557">
      <w:bodyDiv w:val="1"/>
      <w:marLeft w:val="0"/>
      <w:marRight w:val="0"/>
      <w:marTop w:val="0"/>
      <w:marBottom w:val="0"/>
      <w:divBdr>
        <w:top w:val="none" w:sz="0" w:space="0" w:color="auto"/>
        <w:left w:val="none" w:sz="0" w:space="0" w:color="auto"/>
        <w:bottom w:val="none" w:sz="0" w:space="0" w:color="auto"/>
        <w:right w:val="none" w:sz="0" w:space="0" w:color="auto"/>
      </w:divBdr>
    </w:div>
    <w:div w:id="870919323">
      <w:bodyDiv w:val="1"/>
      <w:marLeft w:val="0"/>
      <w:marRight w:val="0"/>
      <w:marTop w:val="0"/>
      <w:marBottom w:val="0"/>
      <w:divBdr>
        <w:top w:val="none" w:sz="0" w:space="0" w:color="auto"/>
        <w:left w:val="none" w:sz="0" w:space="0" w:color="auto"/>
        <w:bottom w:val="none" w:sz="0" w:space="0" w:color="auto"/>
        <w:right w:val="none" w:sz="0" w:space="0" w:color="auto"/>
      </w:divBdr>
      <w:divsChild>
        <w:div w:id="1539051159">
          <w:marLeft w:val="547"/>
          <w:marRight w:val="0"/>
          <w:marTop w:val="134"/>
          <w:marBottom w:val="0"/>
          <w:divBdr>
            <w:top w:val="none" w:sz="0" w:space="0" w:color="auto"/>
            <w:left w:val="none" w:sz="0" w:space="0" w:color="auto"/>
            <w:bottom w:val="none" w:sz="0" w:space="0" w:color="auto"/>
            <w:right w:val="none" w:sz="0" w:space="0" w:color="auto"/>
          </w:divBdr>
        </w:div>
      </w:divsChild>
    </w:div>
    <w:div w:id="892501846">
      <w:bodyDiv w:val="1"/>
      <w:marLeft w:val="0"/>
      <w:marRight w:val="0"/>
      <w:marTop w:val="0"/>
      <w:marBottom w:val="0"/>
      <w:divBdr>
        <w:top w:val="none" w:sz="0" w:space="0" w:color="auto"/>
        <w:left w:val="none" w:sz="0" w:space="0" w:color="auto"/>
        <w:bottom w:val="none" w:sz="0" w:space="0" w:color="auto"/>
        <w:right w:val="none" w:sz="0" w:space="0" w:color="auto"/>
      </w:divBdr>
    </w:div>
    <w:div w:id="970357198">
      <w:bodyDiv w:val="1"/>
      <w:marLeft w:val="0"/>
      <w:marRight w:val="0"/>
      <w:marTop w:val="0"/>
      <w:marBottom w:val="0"/>
      <w:divBdr>
        <w:top w:val="none" w:sz="0" w:space="0" w:color="auto"/>
        <w:left w:val="none" w:sz="0" w:space="0" w:color="auto"/>
        <w:bottom w:val="none" w:sz="0" w:space="0" w:color="auto"/>
        <w:right w:val="none" w:sz="0" w:space="0" w:color="auto"/>
      </w:divBdr>
    </w:div>
    <w:div w:id="1046484729">
      <w:bodyDiv w:val="1"/>
      <w:marLeft w:val="0"/>
      <w:marRight w:val="0"/>
      <w:marTop w:val="0"/>
      <w:marBottom w:val="0"/>
      <w:divBdr>
        <w:top w:val="none" w:sz="0" w:space="0" w:color="auto"/>
        <w:left w:val="none" w:sz="0" w:space="0" w:color="auto"/>
        <w:bottom w:val="none" w:sz="0" w:space="0" w:color="auto"/>
        <w:right w:val="none" w:sz="0" w:space="0" w:color="auto"/>
      </w:divBdr>
    </w:div>
    <w:div w:id="1202401150">
      <w:bodyDiv w:val="1"/>
      <w:marLeft w:val="0"/>
      <w:marRight w:val="0"/>
      <w:marTop w:val="0"/>
      <w:marBottom w:val="0"/>
      <w:divBdr>
        <w:top w:val="none" w:sz="0" w:space="0" w:color="auto"/>
        <w:left w:val="none" w:sz="0" w:space="0" w:color="auto"/>
        <w:bottom w:val="none" w:sz="0" w:space="0" w:color="auto"/>
        <w:right w:val="none" w:sz="0" w:space="0" w:color="auto"/>
      </w:divBdr>
      <w:divsChild>
        <w:div w:id="622418248">
          <w:marLeft w:val="547"/>
          <w:marRight w:val="0"/>
          <w:marTop w:val="134"/>
          <w:marBottom w:val="0"/>
          <w:divBdr>
            <w:top w:val="none" w:sz="0" w:space="0" w:color="auto"/>
            <w:left w:val="none" w:sz="0" w:space="0" w:color="auto"/>
            <w:bottom w:val="none" w:sz="0" w:space="0" w:color="auto"/>
            <w:right w:val="none" w:sz="0" w:space="0" w:color="auto"/>
          </w:divBdr>
        </w:div>
      </w:divsChild>
    </w:div>
    <w:div w:id="1706908131">
      <w:bodyDiv w:val="1"/>
      <w:marLeft w:val="0"/>
      <w:marRight w:val="0"/>
      <w:marTop w:val="0"/>
      <w:marBottom w:val="0"/>
      <w:divBdr>
        <w:top w:val="none" w:sz="0" w:space="0" w:color="auto"/>
        <w:left w:val="none" w:sz="0" w:space="0" w:color="auto"/>
        <w:bottom w:val="none" w:sz="0" w:space="0" w:color="auto"/>
        <w:right w:val="none" w:sz="0" w:space="0" w:color="auto"/>
      </w:divBdr>
    </w:div>
    <w:div w:id="174399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2.emf"/><Relationship Id="rId34"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chart" Target="charts/chart3.xml"/><Relationship Id="rId25" Type="http://schemas.openxmlformats.org/officeDocument/2006/relationships/chart" Target="charts/chart7.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v.wikipedia.org/wiki/Tillg%C3%A5ngar" TargetMode="External"/><Relationship Id="rId20" Type="http://schemas.openxmlformats.org/officeDocument/2006/relationships/chart" Target="charts/chart6.xml"/><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sv.wikipedia.org/wiki/Kortfristig_skuld" TargetMode="External"/><Relationship Id="rId23" Type="http://schemas.openxmlformats.org/officeDocument/2006/relationships/image" Target="media/image4.png"/><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5.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2.xml"/><Relationship Id="rId22" Type="http://schemas.openxmlformats.org/officeDocument/2006/relationships/image" Target="media/image3.emf"/><Relationship Id="rId27" Type="http://schemas.openxmlformats.org/officeDocument/2006/relationships/chart" Target="charts/chart8.xml"/><Relationship Id="rId30" Type="http://schemas.openxmlformats.org/officeDocument/2006/relationships/chart" Target="charts/chart9.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venskfjarrvarme.se/Rapporter--Dokument/Rapporter_och_Dokument/Tekniska-bestammelser/" TargetMode="External"/><Relationship Id="rId2" Type="http://schemas.openxmlformats.org/officeDocument/2006/relationships/hyperlink" Target="https://www.e-conomic.se/bokforingsprogram/ordlista/vinstmarginal" TargetMode="External"/><Relationship Id="rId1" Type="http://schemas.openxmlformats.org/officeDocument/2006/relationships/hyperlink" Target="https://www.e-conomic.se/bokforingsprogram/ordlista/rorelsemargin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lu\AppData\Local\Axalon\SPSeries\3.0\OfficeConnector\Local%20Templates\Mallar\Rapporter\Rapport.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ileserver.stem.se\gemensam\Analys\Gemensamma%20projekt\P&#229;g&#229;ende\Fj&#228;rrv&#228;rmens%20ekonomiska%20st&#228;llning%20RB%209\RB%209%20All%20da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afr\AppData\Local\Microsoft\Windows\Temporary%20Internet%20Files\Content.Outlook\BLLA2R7B\Fj&#228;rrv&#228;rme%20och%20befolkningsutv.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ileserver.stem.se\users$\dafr\IEA%20CHPDHC%20Collaborative%20and%20CEM\CHP%20%20DHC%20data%20Scorecards%20template%20Sweden%20Final20150817.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fileserver.stem.se\gemensam\Analys\Enheten%20TEF\04%20Personliga%20arbetsmappar\Daniel\02%20Projekt%20uppdrag%20remisser\V&#228;rmef&#246;rs&#246;rjning\Incidentrapportering%20v&#228;rme\Incidenter%20testdiagram%20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'[2]Intäkter och kostnader'!$E$11</c:f>
              <c:strCache>
                <c:ptCount val="1"/>
                <c:pt idx="0">
                  <c:v>Intäkter fjärrvärme</c:v>
                </c:pt>
              </c:strCache>
            </c:strRef>
          </c:tx>
          <c:invertIfNegative val="0"/>
          <c:cat>
            <c:numRef>
              <c:f>'[2]Intäkter och kostnader'!$F$10:$L$10</c:f>
              <c:numCache>
                <c:formatCode>General</c:formatCode>
                <c:ptCount val="7"/>
                <c:pt idx="0">
                  <c:v>2008</c:v>
                </c:pt>
                <c:pt idx="1">
                  <c:v>2009</c:v>
                </c:pt>
                <c:pt idx="2">
                  <c:v>2010</c:v>
                </c:pt>
                <c:pt idx="3">
                  <c:v>2011</c:v>
                </c:pt>
                <c:pt idx="4">
                  <c:v>2012</c:v>
                </c:pt>
                <c:pt idx="5">
                  <c:v>2013</c:v>
                </c:pt>
                <c:pt idx="6">
                  <c:v>2014</c:v>
                </c:pt>
              </c:numCache>
            </c:numRef>
          </c:cat>
          <c:val>
            <c:numRef>
              <c:f>'[2]Intäkter och kostnader'!$F$11:$L$11</c:f>
              <c:numCache>
                <c:formatCode>General</c:formatCode>
                <c:ptCount val="7"/>
                <c:pt idx="0">
                  <c:v>25741766</c:v>
                </c:pt>
                <c:pt idx="1">
                  <c:v>28273227</c:v>
                </c:pt>
                <c:pt idx="2">
                  <c:v>32811498</c:v>
                </c:pt>
                <c:pt idx="3">
                  <c:v>29341499</c:v>
                </c:pt>
                <c:pt idx="4">
                  <c:v>31552039</c:v>
                </c:pt>
                <c:pt idx="5">
                  <c:v>32999889</c:v>
                </c:pt>
                <c:pt idx="6">
                  <c:v>30780569</c:v>
                </c:pt>
              </c:numCache>
            </c:numRef>
          </c:val>
        </c:ser>
        <c:ser>
          <c:idx val="1"/>
          <c:order val="1"/>
          <c:tx>
            <c:strRef>
              <c:f>'[2]Intäkter och kostnader'!$E$12</c:f>
              <c:strCache>
                <c:ptCount val="1"/>
                <c:pt idx="0">
                  <c:v>Intäkter ej värme</c:v>
                </c:pt>
              </c:strCache>
            </c:strRef>
          </c:tx>
          <c:invertIfNegative val="0"/>
          <c:cat>
            <c:numRef>
              <c:f>'[2]Intäkter och kostnader'!$F$10:$L$10</c:f>
              <c:numCache>
                <c:formatCode>General</c:formatCode>
                <c:ptCount val="7"/>
                <c:pt idx="0">
                  <c:v>2008</c:v>
                </c:pt>
                <c:pt idx="1">
                  <c:v>2009</c:v>
                </c:pt>
                <c:pt idx="2">
                  <c:v>2010</c:v>
                </c:pt>
                <c:pt idx="3">
                  <c:v>2011</c:v>
                </c:pt>
                <c:pt idx="4">
                  <c:v>2012</c:v>
                </c:pt>
                <c:pt idx="5">
                  <c:v>2013</c:v>
                </c:pt>
                <c:pt idx="6">
                  <c:v>2014</c:v>
                </c:pt>
              </c:numCache>
            </c:numRef>
          </c:cat>
          <c:val>
            <c:numRef>
              <c:f>'[2]Intäkter och kostnader'!$F$12:$L$12</c:f>
              <c:numCache>
                <c:formatCode>General</c:formatCode>
                <c:ptCount val="7"/>
                <c:pt idx="0">
                  <c:v>8299951</c:v>
                </c:pt>
                <c:pt idx="1">
                  <c:v>9106495</c:v>
                </c:pt>
                <c:pt idx="2">
                  <c:v>10385689</c:v>
                </c:pt>
                <c:pt idx="3">
                  <c:v>9550164</c:v>
                </c:pt>
                <c:pt idx="4">
                  <c:v>7059216</c:v>
                </c:pt>
                <c:pt idx="5">
                  <c:v>6678073</c:v>
                </c:pt>
                <c:pt idx="6">
                  <c:v>6195912</c:v>
                </c:pt>
              </c:numCache>
            </c:numRef>
          </c:val>
        </c:ser>
        <c:dLbls>
          <c:showLegendKey val="0"/>
          <c:showVal val="0"/>
          <c:showCatName val="0"/>
          <c:showSerName val="0"/>
          <c:showPercent val="0"/>
          <c:showBubbleSize val="0"/>
        </c:dLbls>
        <c:gapWidth val="150"/>
        <c:overlap val="100"/>
        <c:axId val="349405184"/>
        <c:axId val="349406720"/>
      </c:barChart>
      <c:lineChart>
        <c:grouping val="standard"/>
        <c:varyColors val="0"/>
        <c:ser>
          <c:idx val="2"/>
          <c:order val="2"/>
          <c:tx>
            <c:strRef>
              <c:f>'[2]Intäkter och kostnader'!$E$13</c:f>
              <c:strCache>
                <c:ptCount val="1"/>
                <c:pt idx="0">
                  <c:v>kostnader</c:v>
                </c:pt>
              </c:strCache>
            </c:strRef>
          </c:tx>
          <c:marker>
            <c:symbol val="none"/>
          </c:marker>
          <c:cat>
            <c:numRef>
              <c:f>'[2]Intäkter och kostnader'!$F$10:$L$10</c:f>
              <c:numCache>
                <c:formatCode>General</c:formatCode>
                <c:ptCount val="7"/>
                <c:pt idx="0">
                  <c:v>2008</c:v>
                </c:pt>
                <c:pt idx="1">
                  <c:v>2009</c:v>
                </c:pt>
                <c:pt idx="2">
                  <c:v>2010</c:v>
                </c:pt>
                <c:pt idx="3">
                  <c:v>2011</c:v>
                </c:pt>
                <c:pt idx="4">
                  <c:v>2012</c:v>
                </c:pt>
                <c:pt idx="5">
                  <c:v>2013</c:v>
                </c:pt>
                <c:pt idx="6">
                  <c:v>2014</c:v>
                </c:pt>
              </c:numCache>
            </c:numRef>
          </c:cat>
          <c:val>
            <c:numRef>
              <c:f>'[2]Intäkter och kostnader'!$F$13:$L$13</c:f>
              <c:numCache>
                <c:formatCode>General</c:formatCode>
                <c:ptCount val="7"/>
                <c:pt idx="0">
                  <c:v>28417668</c:v>
                </c:pt>
                <c:pt idx="1">
                  <c:v>31629148</c:v>
                </c:pt>
                <c:pt idx="2">
                  <c:v>36579434</c:v>
                </c:pt>
                <c:pt idx="3">
                  <c:v>32395184</c:v>
                </c:pt>
                <c:pt idx="4">
                  <c:v>32562546</c:v>
                </c:pt>
                <c:pt idx="5">
                  <c:v>33215248</c:v>
                </c:pt>
                <c:pt idx="6">
                  <c:v>31549053</c:v>
                </c:pt>
              </c:numCache>
            </c:numRef>
          </c:val>
          <c:smooth val="0"/>
        </c:ser>
        <c:dLbls>
          <c:showLegendKey val="0"/>
          <c:showVal val="0"/>
          <c:showCatName val="0"/>
          <c:showSerName val="0"/>
          <c:showPercent val="0"/>
          <c:showBubbleSize val="0"/>
        </c:dLbls>
        <c:marker val="1"/>
        <c:smooth val="0"/>
        <c:axId val="349405184"/>
        <c:axId val="349406720"/>
      </c:lineChart>
      <c:catAx>
        <c:axId val="349405184"/>
        <c:scaling>
          <c:orientation val="minMax"/>
        </c:scaling>
        <c:delete val="0"/>
        <c:axPos val="b"/>
        <c:numFmt formatCode="General" sourceLinked="1"/>
        <c:majorTickMark val="out"/>
        <c:minorTickMark val="none"/>
        <c:tickLblPos val="nextTo"/>
        <c:crossAx val="349406720"/>
        <c:crosses val="autoZero"/>
        <c:auto val="1"/>
        <c:lblAlgn val="ctr"/>
        <c:lblOffset val="100"/>
        <c:noMultiLvlLbl val="0"/>
      </c:catAx>
      <c:valAx>
        <c:axId val="349406720"/>
        <c:scaling>
          <c:orientation val="minMax"/>
        </c:scaling>
        <c:delete val="0"/>
        <c:axPos val="l"/>
        <c:majorGridlines/>
        <c:numFmt formatCode="General" sourceLinked="1"/>
        <c:majorTickMark val="out"/>
        <c:minorTickMark val="none"/>
        <c:tickLblPos val="nextTo"/>
        <c:crossAx val="349405184"/>
        <c:crosses val="autoZero"/>
        <c:crossBetween val="between"/>
        <c:dispUnits>
          <c:builtInUnit val="millions"/>
          <c:dispUnitsLbl>
            <c:tx>
              <c:rich>
                <a:bodyPr/>
                <a:lstStyle/>
                <a:p>
                  <a:pPr>
                    <a:defRPr/>
                  </a:pPr>
                  <a:r>
                    <a:rPr lang="sv-SE"/>
                    <a:t>MMiljarder kr</a:t>
                  </a:r>
                </a:p>
              </c:rich>
            </c:tx>
          </c:dispUnitsLbl>
        </c:dispUnits>
      </c:valAx>
    </c:plotArea>
    <c:legend>
      <c:legendPos val="b"/>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'Nyckeltal för hela branschen'!$C$6</c:f>
              <c:strCache>
                <c:ptCount val="1"/>
                <c:pt idx="0">
                  <c:v>Soliditet</c:v>
                </c:pt>
              </c:strCache>
            </c:strRef>
          </c:tx>
          <c:invertIfNegative val="0"/>
          <c:dLbls>
            <c:numFmt formatCode="0.0%" sourceLinked="0"/>
            <c:showLegendKey val="0"/>
            <c:showVal val="1"/>
            <c:showCatName val="0"/>
            <c:showSerName val="0"/>
            <c:showPercent val="0"/>
            <c:showBubbleSize val="0"/>
            <c:showLeaderLines val="0"/>
          </c:dLbls>
          <c:cat>
            <c:numRef>
              <c:f>'Nyckeltal för hela branschen'!$D$5:$J$5</c:f>
              <c:numCache>
                <c:formatCode>General</c:formatCode>
                <c:ptCount val="7"/>
                <c:pt idx="0">
                  <c:v>2008</c:v>
                </c:pt>
                <c:pt idx="1">
                  <c:v>2009</c:v>
                </c:pt>
                <c:pt idx="2">
                  <c:v>2010</c:v>
                </c:pt>
                <c:pt idx="3">
                  <c:v>2011</c:v>
                </c:pt>
                <c:pt idx="4">
                  <c:v>2012</c:v>
                </c:pt>
                <c:pt idx="5">
                  <c:v>2013</c:v>
                </c:pt>
                <c:pt idx="6">
                  <c:v>2014</c:v>
                </c:pt>
              </c:numCache>
            </c:numRef>
          </c:cat>
          <c:val>
            <c:numRef>
              <c:f>'Nyckeltal för hela branschen'!$D$6:$J$6</c:f>
              <c:numCache>
                <c:formatCode>0%</c:formatCode>
                <c:ptCount val="7"/>
                <c:pt idx="0">
                  <c:v>0.38822898746535606</c:v>
                </c:pt>
                <c:pt idx="1">
                  <c:v>0.36712716410163587</c:v>
                </c:pt>
                <c:pt idx="2">
                  <c:v>0.36769488275837531</c:v>
                </c:pt>
                <c:pt idx="3">
                  <c:v>0.38598615248420781</c:v>
                </c:pt>
                <c:pt idx="4">
                  <c:v>0.38730965097668918</c:v>
                </c:pt>
                <c:pt idx="5">
                  <c:v>0.38671285722414517</c:v>
                </c:pt>
                <c:pt idx="6">
                  <c:v>0.38925537626031115</c:v>
                </c:pt>
              </c:numCache>
            </c:numRef>
          </c:val>
        </c:ser>
        <c:dLbls>
          <c:showLegendKey val="0"/>
          <c:showVal val="1"/>
          <c:showCatName val="0"/>
          <c:showSerName val="0"/>
          <c:showPercent val="0"/>
          <c:showBubbleSize val="0"/>
        </c:dLbls>
        <c:gapWidth val="75"/>
        <c:axId val="349414528"/>
        <c:axId val="349429760"/>
      </c:barChart>
      <c:catAx>
        <c:axId val="349414528"/>
        <c:scaling>
          <c:orientation val="minMax"/>
        </c:scaling>
        <c:delete val="0"/>
        <c:axPos val="b"/>
        <c:numFmt formatCode="General" sourceLinked="1"/>
        <c:majorTickMark val="none"/>
        <c:minorTickMark val="none"/>
        <c:tickLblPos val="nextTo"/>
        <c:crossAx val="349429760"/>
        <c:crossesAt val="0.35500000000000009"/>
        <c:auto val="1"/>
        <c:lblAlgn val="ctr"/>
        <c:lblOffset val="100"/>
        <c:noMultiLvlLbl val="0"/>
      </c:catAx>
      <c:valAx>
        <c:axId val="349429760"/>
        <c:scaling>
          <c:orientation val="minMax"/>
          <c:min val="0.35500000000000009"/>
        </c:scaling>
        <c:delete val="0"/>
        <c:axPos val="l"/>
        <c:numFmt formatCode="0.0%" sourceLinked="0"/>
        <c:majorTickMark val="none"/>
        <c:minorTickMark val="none"/>
        <c:tickLblPos val="nextTo"/>
        <c:crossAx val="349414528"/>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'Nyckeltal för hela branschen'!$C$10</c:f>
              <c:strCache>
                <c:ptCount val="1"/>
                <c:pt idx="0">
                  <c:v>Kassalikviditet</c:v>
                </c:pt>
              </c:strCache>
            </c:strRef>
          </c:tx>
          <c:invertIfNegative val="0"/>
          <c:cat>
            <c:numRef>
              <c:f>'Nyckeltal för hela branschen'!$D$9:$J$9</c:f>
              <c:numCache>
                <c:formatCode>General</c:formatCode>
                <c:ptCount val="7"/>
                <c:pt idx="0">
                  <c:v>2008</c:v>
                </c:pt>
                <c:pt idx="1">
                  <c:v>2009</c:v>
                </c:pt>
                <c:pt idx="2">
                  <c:v>2010</c:v>
                </c:pt>
                <c:pt idx="3">
                  <c:v>2011</c:v>
                </c:pt>
                <c:pt idx="4">
                  <c:v>2012</c:v>
                </c:pt>
                <c:pt idx="5">
                  <c:v>2013</c:v>
                </c:pt>
                <c:pt idx="6">
                  <c:v>2014</c:v>
                </c:pt>
              </c:numCache>
            </c:numRef>
          </c:cat>
          <c:val>
            <c:numRef>
              <c:f>'Nyckeltal för hela branschen'!$D$10:$J$10</c:f>
              <c:numCache>
                <c:formatCode>0.00%</c:formatCode>
                <c:ptCount val="7"/>
                <c:pt idx="0">
                  <c:v>1.2084255573180296</c:v>
                </c:pt>
                <c:pt idx="1">
                  <c:v>1.130729811282156</c:v>
                </c:pt>
                <c:pt idx="2">
                  <c:v>1.119222157722529</c:v>
                </c:pt>
                <c:pt idx="3">
                  <c:v>1.2603973128710997</c:v>
                </c:pt>
                <c:pt idx="4">
                  <c:v>1.2698073670858379</c:v>
                </c:pt>
                <c:pt idx="5">
                  <c:v>1.1417225443033217</c:v>
                </c:pt>
                <c:pt idx="6">
                  <c:v>1.0250977220159803</c:v>
                </c:pt>
              </c:numCache>
            </c:numRef>
          </c:val>
        </c:ser>
        <c:dLbls>
          <c:showLegendKey val="0"/>
          <c:showVal val="0"/>
          <c:showCatName val="0"/>
          <c:showSerName val="0"/>
          <c:showPercent val="0"/>
          <c:showBubbleSize val="0"/>
        </c:dLbls>
        <c:gapWidth val="150"/>
        <c:axId val="349436928"/>
        <c:axId val="356340480"/>
      </c:barChart>
      <c:catAx>
        <c:axId val="349436928"/>
        <c:scaling>
          <c:orientation val="minMax"/>
        </c:scaling>
        <c:delete val="0"/>
        <c:axPos val="b"/>
        <c:numFmt formatCode="General" sourceLinked="1"/>
        <c:majorTickMark val="out"/>
        <c:minorTickMark val="none"/>
        <c:tickLblPos val="nextTo"/>
        <c:crossAx val="356340480"/>
        <c:crosses val="autoZero"/>
        <c:auto val="1"/>
        <c:lblAlgn val="ctr"/>
        <c:lblOffset val="100"/>
        <c:noMultiLvlLbl val="0"/>
      </c:catAx>
      <c:valAx>
        <c:axId val="356340480"/>
        <c:scaling>
          <c:orientation val="minMax"/>
        </c:scaling>
        <c:delete val="0"/>
        <c:axPos val="l"/>
        <c:majorGridlines/>
        <c:numFmt formatCode="0%" sourceLinked="0"/>
        <c:majorTickMark val="out"/>
        <c:minorTickMark val="none"/>
        <c:tickLblPos val="nextTo"/>
        <c:crossAx val="349436928"/>
        <c:crosses val="autoZero"/>
        <c:crossBetween val="between"/>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'Nyckeltal för hela branschen'!$C$29</c:f>
              <c:strCache>
                <c:ptCount val="1"/>
                <c:pt idx="0">
                  <c:v>Rörelsemarginal</c:v>
                </c:pt>
              </c:strCache>
            </c:strRef>
          </c:tx>
          <c:marker>
            <c:symbol val="none"/>
          </c:marker>
          <c:cat>
            <c:numRef>
              <c:f>'Nyckeltal för hela branschen'!$D$28:$J$28</c:f>
              <c:numCache>
                <c:formatCode>General</c:formatCode>
                <c:ptCount val="7"/>
                <c:pt idx="0">
                  <c:v>2008</c:v>
                </c:pt>
                <c:pt idx="1">
                  <c:v>2009</c:v>
                </c:pt>
                <c:pt idx="2">
                  <c:v>2010</c:v>
                </c:pt>
                <c:pt idx="3">
                  <c:v>2011</c:v>
                </c:pt>
                <c:pt idx="4">
                  <c:v>2012</c:v>
                </c:pt>
                <c:pt idx="5">
                  <c:v>2013</c:v>
                </c:pt>
                <c:pt idx="6">
                  <c:v>2014</c:v>
                </c:pt>
              </c:numCache>
            </c:numRef>
          </c:cat>
          <c:val>
            <c:numRef>
              <c:f>'Nyckeltal för hela branschen'!$D$29:$J$29</c:f>
              <c:numCache>
                <c:formatCode>0.00%</c:formatCode>
                <c:ptCount val="7"/>
                <c:pt idx="0">
                  <c:v>0.1652104974611005</c:v>
                </c:pt>
                <c:pt idx="1">
                  <c:v>0.15384207512297715</c:v>
                </c:pt>
                <c:pt idx="2">
                  <c:v>0.15319870249884562</c:v>
                </c:pt>
                <c:pt idx="3">
                  <c:v>0.1670404014351354</c:v>
                </c:pt>
                <c:pt idx="4">
                  <c:v>0.15665662771127228</c:v>
                </c:pt>
                <c:pt idx="5">
                  <c:v>0.16475208183643436</c:v>
                </c:pt>
                <c:pt idx="6">
                  <c:v>0.14678054409774691</c:v>
                </c:pt>
              </c:numCache>
            </c:numRef>
          </c:val>
          <c:smooth val="0"/>
        </c:ser>
        <c:ser>
          <c:idx val="1"/>
          <c:order val="1"/>
          <c:tx>
            <c:strRef>
              <c:f>'Nyckeltal för hela branschen'!$C$30</c:f>
              <c:strCache>
                <c:ptCount val="1"/>
                <c:pt idx="0">
                  <c:v>Vinstmarginal</c:v>
                </c:pt>
              </c:strCache>
            </c:strRef>
          </c:tx>
          <c:marker>
            <c:symbol val="none"/>
          </c:marker>
          <c:cat>
            <c:numRef>
              <c:f>'Nyckeltal för hela branschen'!$D$28:$J$28</c:f>
              <c:numCache>
                <c:formatCode>General</c:formatCode>
                <c:ptCount val="7"/>
                <c:pt idx="0">
                  <c:v>2008</c:v>
                </c:pt>
                <c:pt idx="1">
                  <c:v>2009</c:v>
                </c:pt>
                <c:pt idx="2">
                  <c:v>2010</c:v>
                </c:pt>
                <c:pt idx="3">
                  <c:v>2011</c:v>
                </c:pt>
                <c:pt idx="4">
                  <c:v>2012</c:v>
                </c:pt>
                <c:pt idx="5">
                  <c:v>2013</c:v>
                </c:pt>
                <c:pt idx="6">
                  <c:v>2014</c:v>
                </c:pt>
              </c:numCache>
            </c:numRef>
          </c:cat>
          <c:val>
            <c:numRef>
              <c:f>'Nyckeltal för hela branschen'!$D$30:$J$30</c:f>
              <c:numCache>
                <c:formatCode>0.00%</c:formatCode>
                <c:ptCount val="7"/>
                <c:pt idx="0">
                  <c:v>0.13272629579759448</c:v>
                </c:pt>
                <c:pt idx="1">
                  <c:v>0.11390817727322852</c:v>
                </c:pt>
                <c:pt idx="2">
                  <c:v>0.11348375531953042</c:v>
                </c:pt>
                <c:pt idx="3">
                  <c:v>0.12347278644268828</c:v>
                </c:pt>
                <c:pt idx="4">
                  <c:v>0.11089445292570782</c:v>
                </c:pt>
                <c:pt idx="5">
                  <c:v>0.12104692609812277</c:v>
                </c:pt>
                <c:pt idx="6">
                  <c:v>0.13844210864738593</c:v>
                </c:pt>
              </c:numCache>
            </c:numRef>
          </c:val>
          <c:smooth val="0"/>
        </c:ser>
        <c:dLbls>
          <c:showLegendKey val="0"/>
          <c:showVal val="0"/>
          <c:showCatName val="0"/>
          <c:showSerName val="0"/>
          <c:showPercent val="0"/>
          <c:showBubbleSize val="0"/>
        </c:dLbls>
        <c:marker val="1"/>
        <c:smooth val="0"/>
        <c:axId val="356352768"/>
        <c:axId val="356354304"/>
      </c:lineChart>
      <c:catAx>
        <c:axId val="356352768"/>
        <c:scaling>
          <c:orientation val="minMax"/>
        </c:scaling>
        <c:delete val="0"/>
        <c:axPos val="b"/>
        <c:numFmt formatCode="General" sourceLinked="1"/>
        <c:majorTickMark val="out"/>
        <c:minorTickMark val="none"/>
        <c:tickLblPos val="nextTo"/>
        <c:crossAx val="356354304"/>
        <c:crosses val="autoZero"/>
        <c:auto val="1"/>
        <c:lblAlgn val="ctr"/>
        <c:lblOffset val="100"/>
        <c:noMultiLvlLbl val="0"/>
      </c:catAx>
      <c:valAx>
        <c:axId val="356354304"/>
        <c:scaling>
          <c:orientation val="minMax"/>
        </c:scaling>
        <c:delete val="0"/>
        <c:axPos val="l"/>
        <c:majorGridlines/>
        <c:numFmt formatCode="0.00%" sourceLinked="1"/>
        <c:majorTickMark val="out"/>
        <c:minorTickMark val="none"/>
        <c:tickLblPos val="nextTo"/>
        <c:crossAx val="356352768"/>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'Nyckeltal för hela branschen'!$C$31</c:f>
              <c:strCache>
                <c:ptCount val="1"/>
                <c:pt idx="0">
                  <c:v>Avkastning på eget kapital</c:v>
                </c:pt>
              </c:strCache>
            </c:strRef>
          </c:tx>
          <c:marker>
            <c:symbol val="none"/>
          </c:marker>
          <c:cat>
            <c:numRef>
              <c:f>'Nyckeltal för hela branschen'!$D$28:$J$28</c:f>
              <c:numCache>
                <c:formatCode>General</c:formatCode>
                <c:ptCount val="7"/>
                <c:pt idx="0">
                  <c:v>2008</c:v>
                </c:pt>
                <c:pt idx="1">
                  <c:v>2009</c:v>
                </c:pt>
                <c:pt idx="2">
                  <c:v>2010</c:v>
                </c:pt>
                <c:pt idx="3">
                  <c:v>2011</c:v>
                </c:pt>
                <c:pt idx="4">
                  <c:v>2012</c:v>
                </c:pt>
                <c:pt idx="5">
                  <c:v>2013</c:v>
                </c:pt>
                <c:pt idx="6">
                  <c:v>2014</c:v>
                </c:pt>
              </c:numCache>
            </c:numRef>
          </c:cat>
          <c:val>
            <c:numRef>
              <c:f>'Nyckeltal för hela branschen'!$D$31:$J$31</c:f>
              <c:numCache>
                <c:formatCode>0.00%</c:formatCode>
                <c:ptCount val="7"/>
                <c:pt idx="0">
                  <c:v>0.12510046288459586</c:v>
                </c:pt>
                <c:pt idx="1">
                  <c:v>0.11631820922645332</c:v>
                </c:pt>
                <c:pt idx="2">
                  <c:v>0.129773488123545</c:v>
                </c:pt>
                <c:pt idx="3">
                  <c:v>0.12068508933323957</c:v>
                </c:pt>
                <c:pt idx="4">
                  <c:v>0.10300756609673688</c:v>
                </c:pt>
                <c:pt idx="5">
                  <c:v>0.11155939561076382</c:v>
                </c:pt>
                <c:pt idx="6">
                  <c:v>0.11567644019362439</c:v>
                </c:pt>
              </c:numCache>
            </c:numRef>
          </c:val>
          <c:smooth val="0"/>
        </c:ser>
        <c:ser>
          <c:idx val="1"/>
          <c:order val="1"/>
          <c:tx>
            <c:strRef>
              <c:f>'Nyckeltal för hela branschen'!$C$32</c:f>
              <c:strCache>
                <c:ptCount val="1"/>
                <c:pt idx="0">
                  <c:v>Avkastning på sysselsatt kapital</c:v>
                </c:pt>
              </c:strCache>
            </c:strRef>
          </c:tx>
          <c:marker>
            <c:symbol val="none"/>
          </c:marker>
          <c:cat>
            <c:numRef>
              <c:f>'Nyckeltal för hela branschen'!$D$28:$J$28</c:f>
              <c:numCache>
                <c:formatCode>General</c:formatCode>
                <c:ptCount val="7"/>
                <c:pt idx="0">
                  <c:v>2008</c:v>
                </c:pt>
                <c:pt idx="1">
                  <c:v>2009</c:v>
                </c:pt>
                <c:pt idx="2">
                  <c:v>2010</c:v>
                </c:pt>
                <c:pt idx="3">
                  <c:v>2011</c:v>
                </c:pt>
                <c:pt idx="4">
                  <c:v>2012</c:v>
                </c:pt>
                <c:pt idx="5">
                  <c:v>2013</c:v>
                </c:pt>
                <c:pt idx="6">
                  <c:v>2014</c:v>
                </c:pt>
              </c:numCache>
            </c:numRef>
          </c:cat>
          <c:val>
            <c:numRef>
              <c:f>'Nyckeltal för hela branschen'!$D$32:$J$32</c:f>
              <c:numCache>
                <c:formatCode>0.00%</c:formatCode>
                <c:ptCount val="7"/>
                <c:pt idx="0">
                  <c:v>3.5932240762875961E-2</c:v>
                </c:pt>
                <c:pt idx="1">
                  <c:v>3.3437060066900968E-2</c:v>
                </c:pt>
                <c:pt idx="2">
                  <c:v>4.024983545207355E-2</c:v>
                </c:pt>
                <c:pt idx="3">
                  <c:v>3.6678267484311786E-2</c:v>
                </c:pt>
                <c:pt idx="4">
                  <c:v>3.0623050255297726E-2</c:v>
                </c:pt>
                <c:pt idx="5">
                  <c:v>3.7018686813544088E-2</c:v>
                </c:pt>
                <c:pt idx="6">
                  <c:v>4.00421927461748E-2</c:v>
                </c:pt>
              </c:numCache>
            </c:numRef>
          </c:val>
          <c:smooth val="0"/>
        </c:ser>
        <c:dLbls>
          <c:showLegendKey val="0"/>
          <c:showVal val="0"/>
          <c:showCatName val="0"/>
          <c:showSerName val="0"/>
          <c:showPercent val="0"/>
          <c:showBubbleSize val="0"/>
        </c:dLbls>
        <c:marker val="1"/>
        <c:smooth val="0"/>
        <c:axId val="356367360"/>
        <c:axId val="356266752"/>
      </c:lineChart>
      <c:catAx>
        <c:axId val="356367360"/>
        <c:scaling>
          <c:orientation val="minMax"/>
        </c:scaling>
        <c:delete val="0"/>
        <c:axPos val="b"/>
        <c:numFmt formatCode="General" sourceLinked="1"/>
        <c:majorTickMark val="out"/>
        <c:minorTickMark val="none"/>
        <c:tickLblPos val="nextTo"/>
        <c:crossAx val="356266752"/>
        <c:crosses val="autoZero"/>
        <c:auto val="1"/>
        <c:lblAlgn val="ctr"/>
        <c:lblOffset val="100"/>
        <c:noMultiLvlLbl val="0"/>
      </c:catAx>
      <c:valAx>
        <c:axId val="356266752"/>
        <c:scaling>
          <c:orientation val="minMax"/>
        </c:scaling>
        <c:delete val="0"/>
        <c:axPos val="l"/>
        <c:majorGridlines/>
        <c:numFmt formatCode="0.00%" sourceLinked="1"/>
        <c:majorTickMark val="out"/>
        <c:minorTickMark val="none"/>
        <c:tickLblPos val="nextTo"/>
        <c:crossAx val="356367360"/>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1"/>
          <c:tx>
            <c:strRef>
              <c:f>'Soliditet (2)'!$D$3</c:f>
              <c:strCache>
                <c:ptCount val="1"/>
                <c:pt idx="0">
                  <c:v>2013</c:v>
                </c:pt>
              </c:strCache>
            </c:strRef>
          </c:tx>
          <c:invertIfNegative val="0"/>
          <c:cat>
            <c:strRef>
              <c:f>'Soliditet (2)'!$B$4:$B$222</c:f>
              <c:strCache>
                <c:ptCount val="177"/>
                <c:pt idx="0">
                  <c:v>Bengtsfors kommun</c:v>
                </c:pt>
                <c:pt idx="1">
                  <c:v>Habo Energi AB</c:v>
                </c:pt>
                <c:pt idx="2">
                  <c:v>Eksta Bostads AB</c:v>
                </c:pt>
                <c:pt idx="3">
                  <c:v>Mörbylånga kommun</c:v>
                </c:pt>
                <c:pt idx="4">
                  <c:v>SEVAB Strängnäs Energi AB</c:v>
                </c:pt>
                <c:pt idx="5">
                  <c:v>Borgholm Energi AB</c:v>
                </c:pt>
                <c:pt idx="6">
                  <c:v>Arjeplogs kommun</c:v>
                </c:pt>
                <c:pt idx="7">
                  <c:v>Malung-Sälens kommun</c:v>
                </c:pt>
                <c:pt idx="8">
                  <c:v>Finspångs Tekniska Verk AB</c:v>
                </c:pt>
                <c:pt idx="9">
                  <c:v>Sävsjö Energi AB</c:v>
                </c:pt>
                <c:pt idx="10">
                  <c:v>Bräcke kommun</c:v>
                </c:pt>
                <c:pt idx="11">
                  <c:v>Österlens Kraft AB</c:v>
                </c:pt>
                <c:pt idx="12">
                  <c:v>Tidaholms Energi AB</c:v>
                </c:pt>
                <c:pt idx="13">
                  <c:v>Rättviks Teknik AB</c:v>
                </c:pt>
                <c:pt idx="14">
                  <c:v>Ronneby Miljö &amp; Teknik AB</c:v>
                </c:pt>
                <c:pt idx="15">
                  <c:v>Smedjebacken Energi &amp; Vatten AB</c:v>
                </c:pt>
                <c:pt idx="16">
                  <c:v>Trelleborgs Fjärrvärme AB</c:v>
                </c:pt>
                <c:pt idx="17">
                  <c:v>Ånge Energi AB</c:v>
                </c:pt>
                <c:pt idx="18">
                  <c:v>Arboga Energi AB</c:v>
                </c:pt>
                <c:pt idx="19">
                  <c:v>Aneby Miljö &amp; Vatten AB</c:v>
                </c:pt>
                <c:pt idx="20">
                  <c:v>C4 Energi AB</c:v>
                </c:pt>
                <c:pt idx="21">
                  <c:v>Köpings kommun</c:v>
                </c:pt>
                <c:pt idx="22">
                  <c:v>Mullsjö Energi &amp; Miljö AB</c:v>
                </c:pt>
                <c:pt idx="23">
                  <c:v>Gällivare Energi AB</c:v>
                </c:pt>
                <c:pt idx="24">
                  <c:v>Lidköpings Värmeverk AB                 </c:v>
                </c:pt>
                <c:pt idx="25">
                  <c:v>Pajala Värmeverk AB</c:v>
                </c:pt>
                <c:pt idx="26">
                  <c:v>Höganäs Energi AB</c:v>
                </c:pt>
                <c:pt idx="27">
                  <c:v>Munkfors Energi AB</c:v>
                </c:pt>
                <c:pt idx="28">
                  <c:v>Älvsbyns Energi AB</c:v>
                </c:pt>
                <c:pt idx="29">
                  <c:v>Överkalix Värmeverk AB</c:v>
                </c:pt>
                <c:pt idx="30">
                  <c:v>Sölvesborgs Fjärrvärme AB</c:v>
                </c:pt>
                <c:pt idx="31">
                  <c:v>Götene Vatten &amp; Värme AB</c:v>
                </c:pt>
                <c:pt idx="32">
                  <c:v>Eksjö Energi AB</c:v>
                </c:pt>
                <c:pt idx="33">
                  <c:v>Örkelljunga Fjärrvärmeverk AB</c:v>
                </c:pt>
                <c:pt idx="34">
                  <c:v>Hedemora Energi AB</c:v>
                </c:pt>
                <c:pt idx="35">
                  <c:v>Vimmerby Energi &amp; Miljö AB</c:v>
                </c:pt>
                <c:pt idx="36">
                  <c:v>Arvidsjaurs Energi AB</c:v>
                </c:pt>
                <c:pt idx="37">
                  <c:v>Bollnäs Energi AB</c:v>
                </c:pt>
                <c:pt idx="38">
                  <c:v>Tierps Fjärrvärme AB</c:v>
                </c:pt>
                <c:pt idx="39">
                  <c:v>VänerEnergi AB</c:v>
                </c:pt>
                <c:pt idx="40">
                  <c:v>Mjölby-Svartådalen Energi AB</c:v>
                </c:pt>
                <c:pt idx="41">
                  <c:v>Sundsvall Energi AB</c:v>
                </c:pt>
                <c:pt idx="42">
                  <c:v>Jönköping Energi AB</c:v>
                </c:pt>
                <c:pt idx="43">
                  <c:v>Nossebro Energi Värme AB</c:v>
                </c:pt>
                <c:pt idx="44">
                  <c:v>Norrtälje Energi AB</c:v>
                </c:pt>
                <c:pt idx="45">
                  <c:v>Affärsverken Karlskrona AB</c:v>
                </c:pt>
                <c:pt idx="46">
                  <c:v>Hammarö Energi AB</c:v>
                </c:pt>
                <c:pt idx="47">
                  <c:v>Emmaboda Energi &amp; Miljö AB</c:v>
                </c:pt>
                <c:pt idx="48">
                  <c:v>Oskarshamn Energi AB</c:v>
                </c:pt>
                <c:pt idx="49">
                  <c:v>Hässleholm Miljö AB</c:v>
                </c:pt>
                <c:pt idx="50">
                  <c:v>Säffle Fjärrvärme AB</c:v>
                </c:pt>
                <c:pt idx="51">
                  <c:v>Tranås Energi AB</c:v>
                </c:pt>
                <c:pt idx="52">
                  <c:v>Gislaved Energiring AB</c:v>
                </c:pt>
                <c:pt idx="53">
                  <c:v>Umeå Energi AB</c:v>
                </c:pt>
                <c:pt idx="54">
                  <c:v>Övertorneå Värmeverk AB</c:v>
                </c:pt>
                <c:pt idx="55">
                  <c:v>Sala-Heby Energi AB</c:v>
                </c:pt>
                <c:pt idx="56">
                  <c:v>Olofströms Kraft AB</c:v>
                </c:pt>
                <c:pt idx="57">
                  <c:v>Vetlanda Energi &amp; Teknik AB Vetab</c:v>
                </c:pt>
                <c:pt idx="58">
                  <c:v>Sorsele Värmeverk AB</c:v>
                </c:pt>
                <c:pt idx="59">
                  <c:v>Öresundskraft AB</c:v>
                </c:pt>
                <c:pt idx="60">
                  <c:v>Gotlands Energi AB</c:v>
                </c:pt>
                <c:pt idx="61">
                  <c:v>Alvesta Energi AB</c:v>
                </c:pt>
                <c:pt idx="62">
                  <c:v>Stenungsunds Energi &amp; Miljö AB</c:v>
                </c:pt>
                <c:pt idx="63">
                  <c:v>Vattenfall AB</c:v>
                </c:pt>
                <c:pt idx="64">
                  <c:v>Rindi Syd AB</c:v>
                </c:pt>
                <c:pt idx="65">
                  <c:v>Gotlands Närvärme AB</c:v>
                </c:pt>
                <c:pt idx="66">
                  <c:v>Hagfors Energi AB</c:v>
                </c:pt>
                <c:pt idx="67">
                  <c:v>Borås Energi och Miljö AB</c:v>
                </c:pt>
                <c:pt idx="68">
                  <c:v>Ystad Energi AB</c:v>
                </c:pt>
                <c:pt idx="69">
                  <c:v>Solör Bioenergi Svenljunga AB</c:v>
                </c:pt>
                <c:pt idx="70">
                  <c:v>Skara Energi AB</c:v>
                </c:pt>
                <c:pt idx="71">
                  <c:v>Kalmar Energi Värme AB</c:v>
                </c:pt>
                <c:pt idx="72">
                  <c:v>Laxåvärme AB</c:v>
                </c:pt>
                <c:pt idx="73">
                  <c:v>Rindi Vadstena AB</c:v>
                </c:pt>
                <c:pt idx="74">
                  <c:v>Rindi Gnesta AB</c:v>
                </c:pt>
                <c:pt idx="75">
                  <c:v>Karlstads Energi AB</c:v>
                </c:pt>
                <c:pt idx="76">
                  <c:v>Varberg Energi AB</c:v>
                </c:pt>
                <c:pt idx="77">
                  <c:v>Skurups Fjärrvärme AB</c:v>
                </c:pt>
                <c:pt idx="78">
                  <c:v>Mälarenergi AB</c:v>
                </c:pt>
                <c:pt idx="79">
                  <c:v>Ydre kommun</c:v>
                </c:pt>
                <c:pt idx="80">
                  <c:v>Kils Energi AB</c:v>
                </c:pt>
                <c:pt idx="81">
                  <c:v>Rindi Flen AB</c:v>
                </c:pt>
                <c:pt idx="82">
                  <c:v>Rindi Sunne AB</c:v>
                </c:pt>
                <c:pt idx="83">
                  <c:v>Söderhamn Nära AB</c:v>
                </c:pt>
                <c:pt idx="84">
                  <c:v>Arvika Fjärrvärme AB </c:v>
                </c:pt>
                <c:pt idx="85">
                  <c:v>Skellefteå Kraft AB</c:v>
                </c:pt>
                <c:pt idx="86">
                  <c:v>Vårgårda Ångfabrik AB</c:v>
                </c:pt>
                <c:pt idx="87">
                  <c:v>Vaggeryds Energi AB</c:v>
                </c:pt>
                <c:pt idx="88">
                  <c:v>Vara Värme AB</c:v>
                </c:pt>
                <c:pt idx="89">
                  <c:v>Mark Kraftvärme AB</c:v>
                </c:pt>
                <c:pt idx="90">
                  <c:v>Rindi Vingåker AB</c:v>
                </c:pt>
                <c:pt idx="91">
                  <c:v>Trollhättan Energi AB</c:v>
                </c:pt>
                <c:pt idx="92">
                  <c:v>Lantmännen Agrovärme AB</c:v>
                </c:pt>
                <c:pt idx="93">
                  <c:v>Ljungby Energinät AB</c:v>
                </c:pt>
                <c:pt idx="94">
                  <c:v>Kungälv Energi AB</c:v>
                </c:pt>
                <c:pt idx="95">
                  <c:v>Alingsås Energi Nät AB</c:v>
                </c:pt>
                <c:pt idx="96">
                  <c:v>Uddevalla Energi AB</c:v>
                </c:pt>
                <c:pt idx="97">
                  <c:v>Nybro Energi AB</c:v>
                </c:pt>
                <c:pt idx="98">
                  <c:v>ENA Energi AB</c:v>
                </c:pt>
                <c:pt idx="99">
                  <c:v>Jämtlands Värme AB</c:v>
                </c:pt>
                <c:pt idx="100">
                  <c:v>LEVA i Lysekil AB</c:v>
                </c:pt>
                <c:pt idx="101">
                  <c:v>Forshaga Energi AB</c:v>
                </c:pt>
                <c:pt idx="102">
                  <c:v>Växjö Energi AB</c:v>
                </c:pt>
                <c:pt idx="103">
                  <c:v>Västervik Miljö &amp; Energi AB</c:v>
                </c:pt>
                <c:pt idx="104">
                  <c:v>Elektra Värme AB</c:v>
                </c:pt>
                <c:pt idx="105">
                  <c:v>Norrenergi AB</c:v>
                </c:pt>
                <c:pt idx="106">
                  <c:v>Eskilstuna Energi &amp; Miljö AB</c:v>
                </c:pt>
                <c:pt idx="107">
                  <c:v>Degerfors Energi AB</c:v>
                </c:pt>
                <c:pt idx="108">
                  <c:v>Hjo Energi AB</c:v>
                </c:pt>
                <c:pt idx="109">
                  <c:v>Sandviken Energi AB</c:v>
                </c:pt>
                <c:pt idx="110">
                  <c:v>Övik Energi AB</c:v>
                </c:pt>
                <c:pt idx="111">
                  <c:v>Kristinehamns Fjärrvärme AB</c:v>
                </c:pt>
                <c:pt idx="112">
                  <c:v>Ljusdal Energi AB</c:v>
                </c:pt>
                <c:pt idx="113">
                  <c:v>Jämtkraft AB</c:v>
                </c:pt>
                <c:pt idx="114">
                  <c:v>Mölndal Energi AB</c:v>
                </c:pt>
                <c:pt idx="115">
                  <c:v>Jokkmokks Värmeverk AB</c:v>
                </c:pt>
                <c:pt idx="116">
                  <c:v>Filipstads Värme AB</c:v>
                </c:pt>
                <c:pt idx="117">
                  <c:v>Nässjö Affärsverk AB</c:v>
                </c:pt>
                <c:pt idx="118">
                  <c:v>Sollentuna Energi AB</c:v>
                </c:pt>
                <c:pt idx="119">
                  <c:v>AB PiteEnergi</c:v>
                </c:pt>
                <c:pt idx="120">
                  <c:v>Karlshamn Energi AB</c:v>
                </c:pt>
                <c:pt idx="121">
                  <c:v>Bostadsstiftelsen Hyltebostäder</c:v>
                </c:pt>
                <c:pt idx="122">
                  <c:v>Värnamo Energi AB</c:v>
                </c:pt>
                <c:pt idx="123">
                  <c:v>Ulricehamns Energi AB</c:v>
                </c:pt>
                <c:pt idx="124">
                  <c:v>Skövde Värmeverk AB</c:v>
                </c:pt>
                <c:pt idx="125">
                  <c:v>E.ON Mälarkraft Värme AB</c:v>
                </c:pt>
                <c:pt idx="126">
                  <c:v>Pålsboda Bioenergi AB</c:v>
                </c:pt>
                <c:pt idx="127">
                  <c:v>Halmstads Energi &amp; Miljö AB</c:v>
                </c:pt>
                <c:pt idx="128">
                  <c:v>Telge Nät AB</c:v>
                </c:pt>
                <c:pt idx="129">
                  <c:v>Vasa Värme Kalix AB</c:v>
                </c:pt>
                <c:pt idx="130">
                  <c:v>AB Borlänge Energi</c:v>
                </c:pt>
                <c:pt idx="131">
                  <c:v>Härnösand Energi &amp; Miljö AB</c:v>
                </c:pt>
                <c:pt idx="132">
                  <c:v>Södertörns Fjärrvärme AB</c:v>
                </c:pt>
                <c:pt idx="133">
                  <c:v>Bromölla Fjärrvärme AB</c:v>
                </c:pt>
                <c:pt idx="134">
                  <c:v>Karlsborgs Värme AB</c:v>
                </c:pt>
                <c:pt idx="135">
                  <c:v>Perstorps Fjärrvärme AB</c:v>
                </c:pt>
                <c:pt idx="136">
                  <c:v>Fjärrvärme i Osby AB</c:v>
                </c:pt>
                <c:pt idx="137">
                  <c:v>Tingsryds Energi AB</c:v>
                </c:pt>
                <c:pt idx="138">
                  <c:v>Bodens Energi AB</c:v>
                </c:pt>
                <c:pt idx="139">
                  <c:v>Åstorps Bioenergi AB</c:v>
                </c:pt>
                <c:pt idx="140">
                  <c:v>Partille Energi AB</c:v>
                </c:pt>
                <c:pt idx="141">
                  <c:v>Falu Energi &amp; Vatten AB</c:v>
                </c:pt>
                <c:pt idx="142">
                  <c:v>Göteborg Energi AB</c:v>
                </c:pt>
                <c:pt idx="143">
                  <c:v>Åsele Energiverk AB</c:v>
                </c:pt>
                <c:pt idx="144">
                  <c:v>Falbygdens Energi AB</c:v>
                </c:pt>
                <c:pt idx="145">
                  <c:v>Bionär Närvärme AB</c:v>
                </c:pt>
                <c:pt idx="146">
                  <c:v>Torsås Fjärrvärmenät AB</c:v>
                </c:pt>
                <c:pt idx="147">
                  <c:v>Åre Fjärrvärme AB</c:v>
                </c:pt>
                <c:pt idx="148">
                  <c:v>Tekniska verken i Linköping AB</c:v>
                </c:pt>
                <c:pt idx="149">
                  <c:v>BTEA Energi AB</c:v>
                </c:pt>
                <c:pt idx="150">
                  <c:v>Värmevärden i Nynäshamn AB</c:v>
                </c:pt>
                <c:pt idx="151">
                  <c:v>Farmarenergi i Ed AB</c:v>
                </c:pt>
                <c:pt idx="152">
                  <c:v>Hällefors Värme AB</c:v>
                </c:pt>
                <c:pt idx="153">
                  <c:v>Falkenberg Energi AB</c:v>
                </c:pt>
                <c:pt idx="154">
                  <c:v>Tekniska verken i Kiruna AB</c:v>
                </c:pt>
                <c:pt idx="155">
                  <c:v>E.ON Värme Sverige AB</c:v>
                </c:pt>
                <c:pt idx="156">
                  <c:v>Karlskoga Kraftvärmeverk AB</c:v>
                </c:pt>
                <c:pt idx="157">
                  <c:v>Haparanda Värmeverk AB</c:v>
                </c:pt>
                <c:pt idx="158">
                  <c:v>E.ON Värme Timrå AB</c:v>
                </c:pt>
                <c:pt idx="159">
                  <c:v>Västerbergslagens Energi AB</c:v>
                </c:pt>
                <c:pt idx="160">
                  <c:v>Molkom Biovärme AB</c:v>
                </c:pt>
                <c:pt idx="161">
                  <c:v>Ale Fjärrvärme AB</c:v>
                </c:pt>
                <c:pt idx="162">
                  <c:v>AB Fortum Värme samägt med Stockholms stad</c:v>
                </c:pt>
                <c:pt idx="163">
                  <c:v>Dala Energi Värme AB</c:v>
                </c:pt>
                <c:pt idx="164">
                  <c:v>Linde Energi AB</c:v>
                </c:pt>
                <c:pt idx="165">
                  <c:v>Herrljunga Elektriska AB</c:v>
                </c:pt>
                <c:pt idx="166">
                  <c:v>Gävle Energi AB</c:v>
                </c:pt>
                <c:pt idx="167">
                  <c:v>Lerum Fjärrvärme AB</c:v>
                </c:pt>
                <c:pt idx="168">
                  <c:v>Agrovärme Enköping AB</c:v>
                </c:pt>
                <c:pt idx="169">
                  <c:v>Solör Bioenergi Charlottenberg AB</c:v>
                </c:pt>
                <c:pt idx="170">
                  <c:v>Lilla Edets Fjärrvärme AB</c:v>
                </c:pt>
                <c:pt idx="171">
                  <c:v>Grästorps Fjärrvärme AB</c:v>
                </c:pt>
                <c:pt idx="172">
                  <c:v>Rindi Västerdala AB</c:v>
                </c:pt>
                <c:pt idx="173">
                  <c:v>Statkraft Värme AB</c:v>
                </c:pt>
                <c:pt idx="174">
                  <c:v>Luleå Energi AB</c:v>
                </c:pt>
                <c:pt idx="175">
                  <c:v>Oxelö Energi AB</c:v>
                </c:pt>
                <c:pt idx="176">
                  <c:v>Hofors Energi AB</c:v>
                </c:pt>
              </c:strCache>
            </c:strRef>
          </c:cat>
          <c:val>
            <c:numRef>
              <c:f>'Soliditet (2)'!$D$4:$D$222</c:f>
              <c:numCache>
                <c:formatCode>0.00%</c:formatCode>
                <c:ptCount val="177"/>
                <c:pt idx="0">
                  <c:v>-0.32149748521178001</c:v>
                </c:pt>
                <c:pt idx="1">
                  <c:v>-0.24498360248061055</c:v>
                </c:pt>
                <c:pt idx="2">
                  <c:v>-0.14521680839365203</c:v>
                </c:pt>
                <c:pt idx="3">
                  <c:v>-0.13790045248868779</c:v>
                </c:pt>
                <c:pt idx="4">
                  <c:v>-0.10609963276259829</c:v>
                </c:pt>
                <c:pt idx="5">
                  <c:v>-0.13854876425513543</c:v>
                </c:pt>
                <c:pt idx="6">
                  <c:v>-4.6024213075060529E-2</c:v>
                </c:pt>
                <c:pt idx="7">
                  <c:v>-0.14387320384143265</c:v>
                </c:pt>
                <c:pt idx="8">
                  <c:v>-5.5582742866072565E-2</c:v>
                </c:pt>
                <c:pt idx="9">
                  <c:v>-8.816493244292592E-2</c:v>
                </c:pt>
                <c:pt idx="10">
                  <c:v>-1.8406521167499346E-2</c:v>
                </c:pt>
                <c:pt idx="11">
                  <c:v>-5.193749746117287E-2</c:v>
                </c:pt>
                <c:pt idx="12">
                  <c:v>-5.9035138433866513E-2</c:v>
                </c:pt>
                <c:pt idx="13">
                  <c:v>-7.3463988668143701E-2</c:v>
                </c:pt>
                <c:pt idx="14">
                  <c:v>-1.8308410413858132E-2</c:v>
                </c:pt>
                <c:pt idx="15">
                  <c:v>6.4970339627561336E-3</c:v>
                </c:pt>
                <c:pt idx="16">
                  <c:v>1.3959543333637423E-2</c:v>
                </c:pt>
                <c:pt idx="17">
                  <c:v>1.1133792885812059E-2</c:v>
                </c:pt>
                <c:pt idx="18">
                  <c:v>1.4072544571236594E-2</c:v>
                </c:pt>
                <c:pt idx="19">
                  <c:v>3.4250231800174211E-2</c:v>
                </c:pt>
                <c:pt idx="20">
                  <c:v>2.605811827032805E-2</c:v>
                </c:pt>
                <c:pt idx="21">
                  <c:v>-4.2358003332460856E-2</c:v>
                </c:pt>
                <c:pt idx="22">
                  <c:v>4.1006799273617972E-2</c:v>
                </c:pt>
                <c:pt idx="23">
                  <c:v>5.2920830417773755E-2</c:v>
                </c:pt>
                <c:pt idx="24">
                  <c:v>4.641209973511818E-2</c:v>
                </c:pt>
                <c:pt idx="25">
                  <c:v>4.1453963958423039E-2</c:v>
                </c:pt>
                <c:pt idx="26">
                  <c:v>3.3298092392553436E-2</c:v>
                </c:pt>
                <c:pt idx="27">
                  <c:v>7.0556061072858972E-2</c:v>
                </c:pt>
                <c:pt idx="28">
                  <c:v>5.8416791022664234E-2</c:v>
                </c:pt>
                <c:pt idx="29">
                  <c:v>8.7436312269094263E-2</c:v>
                </c:pt>
                <c:pt idx="30">
                  <c:v>5.6559482431122167E-2</c:v>
                </c:pt>
                <c:pt idx="31">
                  <c:v>7.8210059437231791E-2</c:v>
                </c:pt>
                <c:pt idx="32">
                  <c:v>6.8912875071011723E-2</c:v>
                </c:pt>
                <c:pt idx="33">
                  <c:v>9.1365140429819455E-2</c:v>
                </c:pt>
                <c:pt idx="34">
                  <c:v>9.422330947758005E-2</c:v>
                </c:pt>
                <c:pt idx="35">
                  <c:v>0.23302009035004498</c:v>
                </c:pt>
                <c:pt idx="36">
                  <c:v>9.5628706745743919E-2</c:v>
                </c:pt>
                <c:pt idx="37">
                  <c:v>0.11787062068845555</c:v>
                </c:pt>
                <c:pt idx="38">
                  <c:v>0.12613122600033388</c:v>
                </c:pt>
                <c:pt idx="39">
                  <c:v>0.11095211896196834</c:v>
                </c:pt>
                <c:pt idx="40">
                  <c:v>0.16636881230598768</c:v>
                </c:pt>
                <c:pt idx="41">
                  <c:v>0.11847136231779171</c:v>
                </c:pt>
                <c:pt idx="42">
                  <c:v>0.17685420440853156</c:v>
                </c:pt>
                <c:pt idx="43">
                  <c:v>0.14187384044526904</c:v>
                </c:pt>
                <c:pt idx="44">
                  <c:v>0.10947363266605255</c:v>
                </c:pt>
                <c:pt idx="45">
                  <c:v>0.16858008682013936</c:v>
                </c:pt>
                <c:pt idx="46">
                  <c:v>0.17266374917817223</c:v>
                </c:pt>
                <c:pt idx="47">
                  <c:v>0.15211056747375901</c:v>
                </c:pt>
                <c:pt idx="48">
                  <c:v>-1.6573434870777042E-2</c:v>
                </c:pt>
                <c:pt idx="49">
                  <c:v>0.15652028168679244</c:v>
                </c:pt>
                <c:pt idx="50">
                  <c:v>0.12950967997441015</c:v>
                </c:pt>
                <c:pt idx="51">
                  <c:v>0.18877839602207191</c:v>
                </c:pt>
                <c:pt idx="52">
                  <c:v>0.135043573446927</c:v>
                </c:pt>
                <c:pt idx="53">
                  <c:v>0.13413936811652455</c:v>
                </c:pt>
                <c:pt idx="54">
                  <c:v>0.19599134108810187</c:v>
                </c:pt>
                <c:pt idx="55">
                  <c:v>0.13680391361554367</c:v>
                </c:pt>
                <c:pt idx="56">
                  <c:v>0.13601058486266637</c:v>
                </c:pt>
                <c:pt idx="57">
                  <c:v>0.18301279405695423</c:v>
                </c:pt>
                <c:pt idx="58">
                  <c:v>0.21651848973124876</c:v>
                </c:pt>
                <c:pt idx="59">
                  <c:v>0.19761573359231766</c:v>
                </c:pt>
                <c:pt idx="60">
                  <c:v>0.18976173083199929</c:v>
                </c:pt>
                <c:pt idx="61">
                  <c:v>0.15177139952293439</c:v>
                </c:pt>
                <c:pt idx="62">
                  <c:v>0.18017817341008355</c:v>
                </c:pt>
                <c:pt idx="63">
                  <c:v>0.19824047823818636</c:v>
                </c:pt>
                <c:pt idx="64">
                  <c:v>0.22996667033178483</c:v>
                </c:pt>
                <c:pt idx="65">
                  <c:v>0.29713028906577299</c:v>
                </c:pt>
                <c:pt idx="66">
                  <c:v>0.20702036554998271</c:v>
                </c:pt>
                <c:pt idx="67">
                  <c:v>0.16946133608733904</c:v>
                </c:pt>
                <c:pt idx="68">
                  <c:v>0.16701506544474698</c:v>
                </c:pt>
                <c:pt idx="69">
                  <c:v>0.16935930145951855</c:v>
                </c:pt>
                <c:pt idx="70">
                  <c:v>0.20563909850800841</c:v>
                </c:pt>
                <c:pt idx="71">
                  <c:v>0.20611977601056131</c:v>
                </c:pt>
                <c:pt idx="72">
                  <c:v>0.19620711643922972</c:v>
                </c:pt>
                <c:pt idx="73">
                  <c:v>0.21253091852332212</c:v>
                </c:pt>
                <c:pt idx="74">
                  <c:v>0.21366409072202666</c:v>
                </c:pt>
                <c:pt idx="75">
                  <c:v>0.23109145344219145</c:v>
                </c:pt>
                <c:pt idx="76">
                  <c:v>0.23544168557438572</c:v>
                </c:pt>
                <c:pt idx="77">
                  <c:v>0.22772390894510255</c:v>
                </c:pt>
                <c:pt idx="78">
                  <c:v>0.31152214641121551</c:v>
                </c:pt>
                <c:pt idx="79">
                  <c:v>0.20877345594631541</c:v>
                </c:pt>
                <c:pt idx="80">
                  <c:v>0.2276958764459909</c:v>
                </c:pt>
                <c:pt idx="81">
                  <c:v>0.24648591557208513</c:v>
                </c:pt>
                <c:pt idx="82">
                  <c:v>0.2565186121955243</c:v>
                </c:pt>
                <c:pt idx="83">
                  <c:v>0.24784871660796071</c:v>
                </c:pt>
                <c:pt idx="84">
                  <c:v>0.22165496399561202</c:v>
                </c:pt>
                <c:pt idx="85">
                  <c:v>0.22624305779850484</c:v>
                </c:pt>
                <c:pt idx="86">
                  <c:v>0.29103278041074254</c:v>
                </c:pt>
                <c:pt idx="87">
                  <c:v>0.26930641577230396</c:v>
                </c:pt>
                <c:pt idx="88">
                  <c:v>0.23583574212121572</c:v>
                </c:pt>
                <c:pt idx="89">
                  <c:v>0.28426500176190422</c:v>
                </c:pt>
                <c:pt idx="90">
                  <c:v>0.28156157162662437</c:v>
                </c:pt>
                <c:pt idx="91">
                  <c:v>0.27191142275138885</c:v>
                </c:pt>
                <c:pt idx="92">
                  <c:v>0.28490566537356521</c:v>
                </c:pt>
                <c:pt idx="93">
                  <c:v>0.2778029630641089</c:v>
                </c:pt>
                <c:pt idx="94">
                  <c:v>0.26730951199220165</c:v>
                </c:pt>
                <c:pt idx="95">
                  <c:v>0.27268818079124335</c:v>
                </c:pt>
                <c:pt idx="96">
                  <c:v>0.28055321566686831</c:v>
                </c:pt>
                <c:pt idx="97">
                  <c:v>0.31062571497474023</c:v>
                </c:pt>
                <c:pt idx="98">
                  <c:v>0.31062422163816444</c:v>
                </c:pt>
                <c:pt idx="99">
                  <c:v>0.29893567388502473</c:v>
                </c:pt>
                <c:pt idx="100">
                  <c:v>0.332640607648369</c:v>
                </c:pt>
                <c:pt idx="101">
                  <c:v>0.35761219778268272</c:v>
                </c:pt>
                <c:pt idx="102">
                  <c:v>0.33703085564051938</c:v>
                </c:pt>
                <c:pt idx="103">
                  <c:v>0.34818084632018076</c:v>
                </c:pt>
                <c:pt idx="104">
                  <c:v>0.33508087718176599</c:v>
                </c:pt>
                <c:pt idx="105">
                  <c:v>0.30117594591295188</c:v>
                </c:pt>
                <c:pt idx="106">
                  <c:v>0.32044930748501366</c:v>
                </c:pt>
                <c:pt idx="107">
                  <c:v>0.30566012394712105</c:v>
                </c:pt>
                <c:pt idx="108">
                  <c:v>0.29762682151857134</c:v>
                </c:pt>
                <c:pt idx="109">
                  <c:v>0.34391846706981832</c:v>
                </c:pt>
                <c:pt idx="110">
                  <c:v>0.31288919461933068</c:v>
                </c:pt>
                <c:pt idx="111">
                  <c:v>0.35237810336595859</c:v>
                </c:pt>
                <c:pt idx="112">
                  <c:v>0.45973784603345391</c:v>
                </c:pt>
                <c:pt idx="113">
                  <c:v>0.33116986991171427</c:v>
                </c:pt>
                <c:pt idx="114">
                  <c:v>0.36025844600509405</c:v>
                </c:pt>
                <c:pt idx="115">
                  <c:v>0.29295519590286045</c:v>
                </c:pt>
                <c:pt idx="116">
                  <c:v>0.3691174685933884</c:v>
                </c:pt>
                <c:pt idx="117">
                  <c:v>0.36786542064400113</c:v>
                </c:pt>
                <c:pt idx="118">
                  <c:v>0.40722571916559525</c:v>
                </c:pt>
                <c:pt idx="119">
                  <c:v>0.39196708908643846</c:v>
                </c:pt>
                <c:pt idx="120">
                  <c:v>0.42484673421781616</c:v>
                </c:pt>
                <c:pt idx="121">
                  <c:v>0.35450503983449982</c:v>
                </c:pt>
                <c:pt idx="122">
                  <c:v>0.41507842460207123</c:v>
                </c:pt>
                <c:pt idx="123">
                  <c:v>0.4051407218015538</c:v>
                </c:pt>
                <c:pt idx="124">
                  <c:v>0.41702375726664864</c:v>
                </c:pt>
                <c:pt idx="125">
                  <c:v>0.52858900434769207</c:v>
                </c:pt>
                <c:pt idx="126">
                  <c:v>0.35965864814501108</c:v>
                </c:pt>
                <c:pt idx="127">
                  <c:v>0.39293278229500334</c:v>
                </c:pt>
                <c:pt idx="128">
                  <c:v>0.39596154965605801</c:v>
                </c:pt>
                <c:pt idx="129">
                  <c:v>0.3049034943059164</c:v>
                </c:pt>
                <c:pt idx="130">
                  <c:v>0.42182300620643109</c:v>
                </c:pt>
                <c:pt idx="131">
                  <c:v>0.52668215257200013</c:v>
                </c:pt>
                <c:pt idx="132">
                  <c:v>0.43226864090091827</c:v>
                </c:pt>
                <c:pt idx="133">
                  <c:v>0.49254866572128414</c:v>
                </c:pt>
                <c:pt idx="134">
                  <c:v>0.40171659591671721</c:v>
                </c:pt>
                <c:pt idx="135">
                  <c:v>0.63708648005253654</c:v>
                </c:pt>
                <c:pt idx="136">
                  <c:v>0.43478623629719865</c:v>
                </c:pt>
                <c:pt idx="137">
                  <c:v>0.44156246848845426</c:v>
                </c:pt>
                <c:pt idx="138">
                  <c:v>0.42921146585624237</c:v>
                </c:pt>
                <c:pt idx="139">
                  <c:v>0.29886580503967636</c:v>
                </c:pt>
                <c:pt idx="140">
                  <c:v>0.47852125449907551</c:v>
                </c:pt>
                <c:pt idx="141">
                  <c:v>0.49026227846979781</c:v>
                </c:pt>
                <c:pt idx="142">
                  <c:v>0.49015595415760438</c:v>
                </c:pt>
                <c:pt idx="143">
                  <c:v>0.43970561797752816</c:v>
                </c:pt>
                <c:pt idx="144">
                  <c:v>0.49075898000785012</c:v>
                </c:pt>
                <c:pt idx="145">
                  <c:v>0.47408155670157903</c:v>
                </c:pt>
                <c:pt idx="146">
                  <c:v>0.50773938795656459</c:v>
                </c:pt>
                <c:pt idx="147">
                  <c:v>0.62814067926147432</c:v>
                </c:pt>
                <c:pt idx="148">
                  <c:v>0.4864102306281135</c:v>
                </c:pt>
                <c:pt idx="149">
                  <c:v>0.49225728884881281</c:v>
                </c:pt>
                <c:pt idx="150">
                  <c:v>0.60422409092213658</c:v>
                </c:pt>
                <c:pt idx="151">
                  <c:v>0.52929206190713929</c:v>
                </c:pt>
                <c:pt idx="152">
                  <c:v>0.49597841424812183</c:v>
                </c:pt>
                <c:pt idx="153">
                  <c:v>0.46007960441289408</c:v>
                </c:pt>
                <c:pt idx="154">
                  <c:v>0.72391453135694128</c:v>
                </c:pt>
                <c:pt idx="155">
                  <c:v>0.50037122527534506</c:v>
                </c:pt>
                <c:pt idx="156">
                  <c:v>0.56524459072735078</c:v>
                </c:pt>
                <c:pt idx="157">
                  <c:v>0.53588107236929172</c:v>
                </c:pt>
                <c:pt idx="158">
                  <c:v>0.60840003637166662</c:v>
                </c:pt>
                <c:pt idx="159">
                  <c:v>0.5023201180615825</c:v>
                </c:pt>
                <c:pt idx="160">
                  <c:v>0.60381982981872007</c:v>
                </c:pt>
                <c:pt idx="161">
                  <c:v>0.66202105160804181</c:v>
                </c:pt>
                <c:pt idx="162">
                  <c:v>0.66585025305402412</c:v>
                </c:pt>
                <c:pt idx="163">
                  <c:v>0.64744192565081826</c:v>
                </c:pt>
                <c:pt idx="164">
                  <c:v>0.56762182613407686</c:v>
                </c:pt>
                <c:pt idx="165">
                  <c:v>0.7936554102413953</c:v>
                </c:pt>
                <c:pt idx="166">
                  <c:v>0.53108896483415513</c:v>
                </c:pt>
                <c:pt idx="167">
                  <c:v>0.64183690732617671</c:v>
                </c:pt>
                <c:pt idx="168">
                  <c:v>0.53249438762783741</c:v>
                </c:pt>
                <c:pt idx="169">
                  <c:v>0.72566662871456222</c:v>
                </c:pt>
                <c:pt idx="170">
                  <c:v>0.70295592361299664</c:v>
                </c:pt>
                <c:pt idx="171">
                  <c:v>0.63783632429680548</c:v>
                </c:pt>
                <c:pt idx="172">
                  <c:v>0.70554550934297766</c:v>
                </c:pt>
                <c:pt idx="173">
                  <c:v>0.70448950881383321</c:v>
                </c:pt>
                <c:pt idx="174">
                  <c:v>0.76649654987910687</c:v>
                </c:pt>
                <c:pt idx="175">
                  <c:v>0.82421854398191741</c:v>
                </c:pt>
                <c:pt idx="176">
                  <c:v>0.84196975726223644</c:v>
                </c:pt>
              </c:numCache>
            </c:numRef>
          </c:val>
        </c:ser>
        <c:ser>
          <c:idx val="2"/>
          <c:order val="2"/>
          <c:tx>
            <c:strRef>
              <c:f>'Soliditet (2)'!$E$3</c:f>
              <c:strCache>
                <c:ptCount val="1"/>
                <c:pt idx="0">
                  <c:v>2012</c:v>
                </c:pt>
              </c:strCache>
            </c:strRef>
          </c:tx>
          <c:invertIfNegative val="0"/>
          <c:cat>
            <c:strRef>
              <c:f>'Soliditet (2)'!$B$4:$B$222</c:f>
              <c:strCache>
                <c:ptCount val="177"/>
                <c:pt idx="0">
                  <c:v>Bengtsfors kommun</c:v>
                </c:pt>
                <c:pt idx="1">
                  <c:v>Habo Energi AB</c:v>
                </c:pt>
                <c:pt idx="2">
                  <c:v>Eksta Bostads AB</c:v>
                </c:pt>
                <c:pt idx="3">
                  <c:v>Mörbylånga kommun</c:v>
                </c:pt>
                <c:pt idx="4">
                  <c:v>SEVAB Strängnäs Energi AB</c:v>
                </c:pt>
                <c:pt idx="5">
                  <c:v>Borgholm Energi AB</c:v>
                </c:pt>
                <c:pt idx="6">
                  <c:v>Arjeplogs kommun</c:v>
                </c:pt>
                <c:pt idx="7">
                  <c:v>Malung-Sälens kommun</c:v>
                </c:pt>
                <c:pt idx="8">
                  <c:v>Finspångs Tekniska Verk AB</c:v>
                </c:pt>
                <c:pt idx="9">
                  <c:v>Sävsjö Energi AB</c:v>
                </c:pt>
                <c:pt idx="10">
                  <c:v>Bräcke kommun</c:v>
                </c:pt>
                <c:pt idx="11">
                  <c:v>Österlens Kraft AB</c:v>
                </c:pt>
                <c:pt idx="12">
                  <c:v>Tidaholms Energi AB</c:v>
                </c:pt>
                <c:pt idx="13">
                  <c:v>Rättviks Teknik AB</c:v>
                </c:pt>
                <c:pt idx="14">
                  <c:v>Ronneby Miljö &amp; Teknik AB</c:v>
                </c:pt>
                <c:pt idx="15">
                  <c:v>Smedjebacken Energi &amp; Vatten AB</c:v>
                </c:pt>
                <c:pt idx="16">
                  <c:v>Trelleborgs Fjärrvärme AB</c:v>
                </c:pt>
                <c:pt idx="17">
                  <c:v>Ånge Energi AB</c:v>
                </c:pt>
                <c:pt idx="18">
                  <c:v>Arboga Energi AB</c:v>
                </c:pt>
                <c:pt idx="19">
                  <c:v>Aneby Miljö &amp; Vatten AB</c:v>
                </c:pt>
                <c:pt idx="20">
                  <c:v>C4 Energi AB</c:v>
                </c:pt>
                <c:pt idx="21">
                  <c:v>Köpings kommun</c:v>
                </c:pt>
                <c:pt idx="22">
                  <c:v>Mullsjö Energi &amp; Miljö AB</c:v>
                </c:pt>
                <c:pt idx="23">
                  <c:v>Gällivare Energi AB</c:v>
                </c:pt>
                <c:pt idx="24">
                  <c:v>Lidköpings Värmeverk AB                 </c:v>
                </c:pt>
                <c:pt idx="25">
                  <c:v>Pajala Värmeverk AB</c:v>
                </c:pt>
                <c:pt idx="26">
                  <c:v>Höganäs Energi AB</c:v>
                </c:pt>
                <c:pt idx="27">
                  <c:v>Munkfors Energi AB</c:v>
                </c:pt>
                <c:pt idx="28">
                  <c:v>Älvsbyns Energi AB</c:v>
                </c:pt>
                <c:pt idx="29">
                  <c:v>Överkalix Värmeverk AB</c:v>
                </c:pt>
                <c:pt idx="30">
                  <c:v>Sölvesborgs Fjärrvärme AB</c:v>
                </c:pt>
                <c:pt idx="31">
                  <c:v>Götene Vatten &amp; Värme AB</c:v>
                </c:pt>
                <c:pt idx="32">
                  <c:v>Eksjö Energi AB</c:v>
                </c:pt>
                <c:pt idx="33">
                  <c:v>Örkelljunga Fjärrvärmeverk AB</c:v>
                </c:pt>
                <c:pt idx="34">
                  <c:v>Hedemora Energi AB</c:v>
                </c:pt>
                <c:pt idx="35">
                  <c:v>Vimmerby Energi &amp; Miljö AB</c:v>
                </c:pt>
                <c:pt idx="36">
                  <c:v>Arvidsjaurs Energi AB</c:v>
                </c:pt>
                <c:pt idx="37">
                  <c:v>Bollnäs Energi AB</c:v>
                </c:pt>
                <c:pt idx="38">
                  <c:v>Tierps Fjärrvärme AB</c:v>
                </c:pt>
                <c:pt idx="39">
                  <c:v>VänerEnergi AB</c:v>
                </c:pt>
                <c:pt idx="40">
                  <c:v>Mjölby-Svartådalen Energi AB</c:v>
                </c:pt>
                <c:pt idx="41">
                  <c:v>Sundsvall Energi AB</c:v>
                </c:pt>
                <c:pt idx="42">
                  <c:v>Jönköping Energi AB</c:v>
                </c:pt>
                <c:pt idx="43">
                  <c:v>Nossebro Energi Värme AB</c:v>
                </c:pt>
                <c:pt idx="44">
                  <c:v>Norrtälje Energi AB</c:v>
                </c:pt>
                <c:pt idx="45">
                  <c:v>Affärsverken Karlskrona AB</c:v>
                </c:pt>
                <c:pt idx="46">
                  <c:v>Hammarö Energi AB</c:v>
                </c:pt>
                <c:pt idx="47">
                  <c:v>Emmaboda Energi &amp; Miljö AB</c:v>
                </c:pt>
                <c:pt idx="48">
                  <c:v>Oskarshamn Energi AB</c:v>
                </c:pt>
                <c:pt idx="49">
                  <c:v>Hässleholm Miljö AB</c:v>
                </c:pt>
                <c:pt idx="50">
                  <c:v>Säffle Fjärrvärme AB</c:v>
                </c:pt>
                <c:pt idx="51">
                  <c:v>Tranås Energi AB</c:v>
                </c:pt>
                <c:pt idx="52">
                  <c:v>Gislaved Energiring AB</c:v>
                </c:pt>
                <c:pt idx="53">
                  <c:v>Umeå Energi AB</c:v>
                </c:pt>
                <c:pt idx="54">
                  <c:v>Övertorneå Värmeverk AB</c:v>
                </c:pt>
                <c:pt idx="55">
                  <c:v>Sala-Heby Energi AB</c:v>
                </c:pt>
                <c:pt idx="56">
                  <c:v>Olofströms Kraft AB</c:v>
                </c:pt>
                <c:pt idx="57">
                  <c:v>Vetlanda Energi &amp; Teknik AB Vetab</c:v>
                </c:pt>
                <c:pt idx="58">
                  <c:v>Sorsele Värmeverk AB</c:v>
                </c:pt>
                <c:pt idx="59">
                  <c:v>Öresundskraft AB</c:v>
                </c:pt>
                <c:pt idx="60">
                  <c:v>Gotlands Energi AB</c:v>
                </c:pt>
                <c:pt idx="61">
                  <c:v>Alvesta Energi AB</c:v>
                </c:pt>
                <c:pt idx="62">
                  <c:v>Stenungsunds Energi &amp; Miljö AB</c:v>
                </c:pt>
                <c:pt idx="63">
                  <c:v>Vattenfall AB</c:v>
                </c:pt>
                <c:pt idx="64">
                  <c:v>Rindi Syd AB</c:v>
                </c:pt>
                <c:pt idx="65">
                  <c:v>Gotlands Närvärme AB</c:v>
                </c:pt>
                <c:pt idx="66">
                  <c:v>Hagfors Energi AB</c:v>
                </c:pt>
                <c:pt idx="67">
                  <c:v>Borås Energi och Miljö AB</c:v>
                </c:pt>
                <c:pt idx="68">
                  <c:v>Ystad Energi AB</c:v>
                </c:pt>
                <c:pt idx="69">
                  <c:v>Solör Bioenergi Svenljunga AB</c:v>
                </c:pt>
                <c:pt idx="70">
                  <c:v>Skara Energi AB</c:v>
                </c:pt>
                <c:pt idx="71">
                  <c:v>Kalmar Energi Värme AB</c:v>
                </c:pt>
                <c:pt idx="72">
                  <c:v>Laxåvärme AB</c:v>
                </c:pt>
                <c:pt idx="73">
                  <c:v>Rindi Vadstena AB</c:v>
                </c:pt>
                <c:pt idx="74">
                  <c:v>Rindi Gnesta AB</c:v>
                </c:pt>
                <c:pt idx="75">
                  <c:v>Karlstads Energi AB</c:v>
                </c:pt>
                <c:pt idx="76">
                  <c:v>Varberg Energi AB</c:v>
                </c:pt>
                <c:pt idx="77">
                  <c:v>Skurups Fjärrvärme AB</c:v>
                </c:pt>
                <c:pt idx="78">
                  <c:v>Mälarenergi AB</c:v>
                </c:pt>
                <c:pt idx="79">
                  <c:v>Ydre kommun</c:v>
                </c:pt>
                <c:pt idx="80">
                  <c:v>Kils Energi AB</c:v>
                </c:pt>
                <c:pt idx="81">
                  <c:v>Rindi Flen AB</c:v>
                </c:pt>
                <c:pt idx="82">
                  <c:v>Rindi Sunne AB</c:v>
                </c:pt>
                <c:pt idx="83">
                  <c:v>Söderhamn Nära AB</c:v>
                </c:pt>
                <c:pt idx="84">
                  <c:v>Arvika Fjärrvärme AB </c:v>
                </c:pt>
                <c:pt idx="85">
                  <c:v>Skellefteå Kraft AB</c:v>
                </c:pt>
                <c:pt idx="86">
                  <c:v>Vårgårda Ångfabrik AB</c:v>
                </c:pt>
                <c:pt idx="87">
                  <c:v>Vaggeryds Energi AB</c:v>
                </c:pt>
                <c:pt idx="88">
                  <c:v>Vara Värme AB</c:v>
                </c:pt>
                <c:pt idx="89">
                  <c:v>Mark Kraftvärme AB</c:v>
                </c:pt>
                <c:pt idx="90">
                  <c:v>Rindi Vingåker AB</c:v>
                </c:pt>
                <c:pt idx="91">
                  <c:v>Trollhättan Energi AB</c:v>
                </c:pt>
                <c:pt idx="92">
                  <c:v>Lantmännen Agrovärme AB</c:v>
                </c:pt>
                <c:pt idx="93">
                  <c:v>Ljungby Energinät AB</c:v>
                </c:pt>
                <c:pt idx="94">
                  <c:v>Kungälv Energi AB</c:v>
                </c:pt>
                <c:pt idx="95">
                  <c:v>Alingsås Energi Nät AB</c:v>
                </c:pt>
                <c:pt idx="96">
                  <c:v>Uddevalla Energi AB</c:v>
                </c:pt>
                <c:pt idx="97">
                  <c:v>Nybro Energi AB</c:v>
                </c:pt>
                <c:pt idx="98">
                  <c:v>ENA Energi AB</c:v>
                </c:pt>
                <c:pt idx="99">
                  <c:v>Jämtlands Värme AB</c:v>
                </c:pt>
                <c:pt idx="100">
                  <c:v>LEVA i Lysekil AB</c:v>
                </c:pt>
                <c:pt idx="101">
                  <c:v>Forshaga Energi AB</c:v>
                </c:pt>
                <c:pt idx="102">
                  <c:v>Växjö Energi AB</c:v>
                </c:pt>
                <c:pt idx="103">
                  <c:v>Västervik Miljö &amp; Energi AB</c:v>
                </c:pt>
                <c:pt idx="104">
                  <c:v>Elektra Värme AB</c:v>
                </c:pt>
                <c:pt idx="105">
                  <c:v>Norrenergi AB</c:v>
                </c:pt>
                <c:pt idx="106">
                  <c:v>Eskilstuna Energi &amp; Miljö AB</c:v>
                </c:pt>
                <c:pt idx="107">
                  <c:v>Degerfors Energi AB</c:v>
                </c:pt>
                <c:pt idx="108">
                  <c:v>Hjo Energi AB</c:v>
                </c:pt>
                <c:pt idx="109">
                  <c:v>Sandviken Energi AB</c:v>
                </c:pt>
                <c:pt idx="110">
                  <c:v>Övik Energi AB</c:v>
                </c:pt>
                <c:pt idx="111">
                  <c:v>Kristinehamns Fjärrvärme AB</c:v>
                </c:pt>
                <c:pt idx="112">
                  <c:v>Ljusdal Energi AB</c:v>
                </c:pt>
                <c:pt idx="113">
                  <c:v>Jämtkraft AB</c:v>
                </c:pt>
                <c:pt idx="114">
                  <c:v>Mölndal Energi AB</c:v>
                </c:pt>
                <c:pt idx="115">
                  <c:v>Jokkmokks Värmeverk AB</c:v>
                </c:pt>
                <c:pt idx="116">
                  <c:v>Filipstads Värme AB</c:v>
                </c:pt>
                <c:pt idx="117">
                  <c:v>Nässjö Affärsverk AB</c:v>
                </c:pt>
                <c:pt idx="118">
                  <c:v>Sollentuna Energi AB</c:v>
                </c:pt>
                <c:pt idx="119">
                  <c:v>AB PiteEnergi</c:v>
                </c:pt>
                <c:pt idx="120">
                  <c:v>Karlshamn Energi AB</c:v>
                </c:pt>
                <c:pt idx="121">
                  <c:v>Bostadsstiftelsen Hyltebostäder</c:v>
                </c:pt>
                <c:pt idx="122">
                  <c:v>Värnamo Energi AB</c:v>
                </c:pt>
                <c:pt idx="123">
                  <c:v>Ulricehamns Energi AB</c:v>
                </c:pt>
                <c:pt idx="124">
                  <c:v>Skövde Värmeverk AB</c:v>
                </c:pt>
                <c:pt idx="125">
                  <c:v>E.ON Mälarkraft Värme AB</c:v>
                </c:pt>
                <c:pt idx="126">
                  <c:v>Pålsboda Bioenergi AB</c:v>
                </c:pt>
                <c:pt idx="127">
                  <c:v>Halmstads Energi &amp; Miljö AB</c:v>
                </c:pt>
                <c:pt idx="128">
                  <c:v>Telge Nät AB</c:v>
                </c:pt>
                <c:pt idx="129">
                  <c:v>Vasa Värme Kalix AB</c:v>
                </c:pt>
                <c:pt idx="130">
                  <c:v>AB Borlänge Energi</c:v>
                </c:pt>
                <c:pt idx="131">
                  <c:v>Härnösand Energi &amp; Miljö AB</c:v>
                </c:pt>
                <c:pt idx="132">
                  <c:v>Södertörns Fjärrvärme AB</c:v>
                </c:pt>
                <c:pt idx="133">
                  <c:v>Bromölla Fjärrvärme AB</c:v>
                </c:pt>
                <c:pt idx="134">
                  <c:v>Karlsborgs Värme AB</c:v>
                </c:pt>
                <c:pt idx="135">
                  <c:v>Perstorps Fjärrvärme AB</c:v>
                </c:pt>
                <c:pt idx="136">
                  <c:v>Fjärrvärme i Osby AB</c:v>
                </c:pt>
                <c:pt idx="137">
                  <c:v>Tingsryds Energi AB</c:v>
                </c:pt>
                <c:pt idx="138">
                  <c:v>Bodens Energi AB</c:v>
                </c:pt>
                <c:pt idx="139">
                  <c:v>Åstorps Bioenergi AB</c:v>
                </c:pt>
                <c:pt idx="140">
                  <c:v>Partille Energi AB</c:v>
                </c:pt>
                <c:pt idx="141">
                  <c:v>Falu Energi &amp; Vatten AB</c:v>
                </c:pt>
                <c:pt idx="142">
                  <c:v>Göteborg Energi AB</c:v>
                </c:pt>
                <c:pt idx="143">
                  <c:v>Åsele Energiverk AB</c:v>
                </c:pt>
                <c:pt idx="144">
                  <c:v>Falbygdens Energi AB</c:v>
                </c:pt>
                <c:pt idx="145">
                  <c:v>Bionär Närvärme AB</c:v>
                </c:pt>
                <c:pt idx="146">
                  <c:v>Torsås Fjärrvärmenät AB</c:v>
                </c:pt>
                <c:pt idx="147">
                  <c:v>Åre Fjärrvärme AB</c:v>
                </c:pt>
                <c:pt idx="148">
                  <c:v>Tekniska verken i Linköping AB</c:v>
                </c:pt>
                <c:pt idx="149">
                  <c:v>BTEA Energi AB</c:v>
                </c:pt>
                <c:pt idx="150">
                  <c:v>Värmevärden i Nynäshamn AB</c:v>
                </c:pt>
                <c:pt idx="151">
                  <c:v>Farmarenergi i Ed AB</c:v>
                </c:pt>
                <c:pt idx="152">
                  <c:v>Hällefors Värme AB</c:v>
                </c:pt>
                <c:pt idx="153">
                  <c:v>Falkenberg Energi AB</c:v>
                </c:pt>
                <c:pt idx="154">
                  <c:v>Tekniska verken i Kiruna AB</c:v>
                </c:pt>
                <c:pt idx="155">
                  <c:v>E.ON Värme Sverige AB</c:v>
                </c:pt>
                <c:pt idx="156">
                  <c:v>Karlskoga Kraftvärmeverk AB</c:v>
                </c:pt>
                <c:pt idx="157">
                  <c:v>Haparanda Värmeverk AB</c:v>
                </c:pt>
                <c:pt idx="158">
                  <c:v>E.ON Värme Timrå AB</c:v>
                </c:pt>
                <c:pt idx="159">
                  <c:v>Västerbergslagens Energi AB</c:v>
                </c:pt>
                <c:pt idx="160">
                  <c:v>Molkom Biovärme AB</c:v>
                </c:pt>
                <c:pt idx="161">
                  <c:v>Ale Fjärrvärme AB</c:v>
                </c:pt>
                <c:pt idx="162">
                  <c:v>AB Fortum Värme samägt med Stockholms stad</c:v>
                </c:pt>
                <c:pt idx="163">
                  <c:v>Dala Energi Värme AB</c:v>
                </c:pt>
                <c:pt idx="164">
                  <c:v>Linde Energi AB</c:v>
                </c:pt>
                <c:pt idx="165">
                  <c:v>Herrljunga Elektriska AB</c:v>
                </c:pt>
                <c:pt idx="166">
                  <c:v>Gävle Energi AB</c:v>
                </c:pt>
                <c:pt idx="167">
                  <c:v>Lerum Fjärrvärme AB</c:v>
                </c:pt>
                <c:pt idx="168">
                  <c:v>Agrovärme Enköping AB</c:v>
                </c:pt>
                <c:pt idx="169">
                  <c:v>Solör Bioenergi Charlottenberg AB</c:v>
                </c:pt>
                <c:pt idx="170">
                  <c:v>Lilla Edets Fjärrvärme AB</c:v>
                </c:pt>
                <c:pt idx="171">
                  <c:v>Grästorps Fjärrvärme AB</c:v>
                </c:pt>
                <c:pt idx="172">
                  <c:v>Rindi Västerdala AB</c:v>
                </c:pt>
                <c:pt idx="173">
                  <c:v>Statkraft Värme AB</c:v>
                </c:pt>
                <c:pt idx="174">
                  <c:v>Luleå Energi AB</c:v>
                </c:pt>
                <c:pt idx="175">
                  <c:v>Oxelö Energi AB</c:v>
                </c:pt>
                <c:pt idx="176">
                  <c:v>Hofors Energi AB</c:v>
                </c:pt>
              </c:strCache>
            </c:strRef>
          </c:cat>
          <c:val>
            <c:numRef>
              <c:f>'Soliditet (2)'!$E$4:$E$222</c:f>
              <c:numCache>
                <c:formatCode>0.00%</c:formatCode>
                <c:ptCount val="177"/>
                <c:pt idx="0">
                  <c:v>-0.3380291357092608</c:v>
                </c:pt>
                <c:pt idx="1">
                  <c:v>-0.34815853681965775</c:v>
                </c:pt>
                <c:pt idx="2">
                  <c:v>-0.13364892723524469</c:v>
                </c:pt>
                <c:pt idx="3">
                  <c:v>-0.11462943515115147</c:v>
                </c:pt>
                <c:pt idx="4">
                  <c:v>-5.429182583873024E-2</c:v>
                </c:pt>
                <c:pt idx="5">
                  <c:v>-0.14983813256091333</c:v>
                </c:pt>
                <c:pt idx="6">
                  <c:v>-2.8504734974285004E-2</c:v>
                </c:pt>
                <c:pt idx="7">
                  <c:v>-0.14896107696810071</c:v>
                </c:pt>
                <c:pt idx="8">
                  <c:v>-1.7862412823659152E-2</c:v>
                </c:pt>
                <c:pt idx="9">
                  <c:v>-0.10428757980266976</c:v>
                </c:pt>
                <c:pt idx="10">
                  <c:v>3.6763512416815462E-2</c:v>
                </c:pt>
                <c:pt idx="11">
                  <c:v>-7.0405649989241745E-2</c:v>
                </c:pt>
                <c:pt idx="12">
                  <c:v>-1.2535528850722674E-2</c:v>
                </c:pt>
                <c:pt idx="13">
                  <c:v>-1.1620180984256847E-2</c:v>
                </c:pt>
                <c:pt idx="14">
                  <c:v>-2.7323725327685185E-2</c:v>
                </c:pt>
                <c:pt idx="15">
                  <c:v>8.3552227127927144E-3</c:v>
                </c:pt>
                <c:pt idx="16">
                  <c:v>2.2875627742840347E-2</c:v>
                </c:pt>
                <c:pt idx="17">
                  <c:v>6.4937502346008053E-3</c:v>
                </c:pt>
                <c:pt idx="18">
                  <c:v>1.1690966796692036E-2</c:v>
                </c:pt>
                <c:pt idx="19">
                  <c:v>3.0486578868000404E-2</c:v>
                </c:pt>
                <c:pt idx="20">
                  <c:v>1.092825251898626E-2</c:v>
                </c:pt>
                <c:pt idx="21">
                  <c:v>-0.10012238908911415</c:v>
                </c:pt>
                <c:pt idx="22">
                  <c:v>2.3312611012433388E-2</c:v>
                </c:pt>
                <c:pt idx="23">
                  <c:v>4.0730077070727753E-2</c:v>
                </c:pt>
                <c:pt idx="24">
                  <c:v>4.0254322474347307E-2</c:v>
                </c:pt>
                <c:pt idx="25">
                  <c:v>3.2203787760212869E-2</c:v>
                </c:pt>
                <c:pt idx="26">
                  <c:v>0.12295572046565613</c:v>
                </c:pt>
                <c:pt idx="27">
                  <c:v>6.4243430946326535E-2</c:v>
                </c:pt>
                <c:pt idx="28">
                  <c:v>4.856019109811948E-2</c:v>
                </c:pt>
                <c:pt idx="29">
                  <c:v>0.11895438450322848</c:v>
                </c:pt>
                <c:pt idx="30">
                  <c:v>3.6620635603978324E-2</c:v>
                </c:pt>
                <c:pt idx="31">
                  <c:v>6.8427034779490872E-2</c:v>
                </c:pt>
                <c:pt idx="32">
                  <c:v>7.5391294990853577E-2</c:v>
                </c:pt>
                <c:pt idx="33">
                  <c:v>7.3986709430305289E-2</c:v>
                </c:pt>
                <c:pt idx="34">
                  <c:v>9.3647873536129994E-2</c:v>
                </c:pt>
                <c:pt idx="35">
                  <c:v>0.3831413480296984</c:v>
                </c:pt>
                <c:pt idx="36">
                  <c:v>7.9103548454036124E-2</c:v>
                </c:pt>
                <c:pt idx="37">
                  <c:v>0.11358843689719236</c:v>
                </c:pt>
                <c:pt idx="38">
                  <c:v>0.12092020738905014</c:v>
                </c:pt>
                <c:pt idx="39">
                  <c:v>0.10828638549841779</c:v>
                </c:pt>
                <c:pt idx="40">
                  <c:v>0.16803719922879648</c:v>
                </c:pt>
                <c:pt idx="41">
                  <c:v>0.11002543928055072</c:v>
                </c:pt>
                <c:pt idx="42">
                  <c:v>0.20341140837297317</c:v>
                </c:pt>
                <c:pt idx="43">
                  <c:v>0.10846887041168124</c:v>
                </c:pt>
                <c:pt idx="44">
                  <c:v>8.6173116344717374E-2</c:v>
                </c:pt>
                <c:pt idx="45">
                  <c:v>0.16794400664586473</c:v>
                </c:pt>
                <c:pt idx="46">
                  <c:v>0.17040812633822217</c:v>
                </c:pt>
                <c:pt idx="47">
                  <c:v>0.14194456264510691</c:v>
                </c:pt>
                <c:pt idx="48">
                  <c:v>0.10486609604985142</c:v>
                </c:pt>
                <c:pt idx="49">
                  <c:v>0.12978922412393235</c:v>
                </c:pt>
                <c:pt idx="50">
                  <c:v>0.10936664315784117</c:v>
                </c:pt>
                <c:pt idx="51">
                  <c:v>0.27086467380466117</c:v>
                </c:pt>
                <c:pt idx="52">
                  <c:v>0.19286057692307687</c:v>
                </c:pt>
                <c:pt idx="53">
                  <c:v>0.11886892444964704</c:v>
                </c:pt>
                <c:pt idx="54">
                  <c:v>0.16442603061514238</c:v>
                </c:pt>
                <c:pt idx="55">
                  <c:v>0.10078015648344738</c:v>
                </c:pt>
                <c:pt idx="56">
                  <c:v>0.104290666898617</c:v>
                </c:pt>
                <c:pt idx="57">
                  <c:v>0.17593253463623593</c:v>
                </c:pt>
                <c:pt idx="58">
                  <c:v>0.19249261316629243</c:v>
                </c:pt>
                <c:pt idx="59">
                  <c:v>0.17817154981680788</c:v>
                </c:pt>
                <c:pt idx="60">
                  <c:v>0.27121846468266614</c:v>
                </c:pt>
                <c:pt idx="61">
                  <c:v>0.11945114979036971</c:v>
                </c:pt>
                <c:pt idx="62">
                  <c:v>0.15873372998487825</c:v>
                </c:pt>
                <c:pt idx="63">
                  <c:v>0.15725147781029922</c:v>
                </c:pt>
                <c:pt idx="64">
                  <c:v>0.22417559853255437</c:v>
                </c:pt>
                <c:pt idx="65">
                  <c:v>0.279483204134367</c:v>
                </c:pt>
                <c:pt idx="66">
                  <c:v>0.1602929431035183</c:v>
                </c:pt>
                <c:pt idx="67">
                  <c:v>0.15104326584049779</c:v>
                </c:pt>
                <c:pt idx="68">
                  <c:v>0.14465332201515277</c:v>
                </c:pt>
                <c:pt idx="69">
                  <c:v>0.14436178005677139</c:v>
                </c:pt>
                <c:pt idx="70">
                  <c:v>0.16722298427962012</c:v>
                </c:pt>
                <c:pt idx="71">
                  <c:v>0.18389067550053509</c:v>
                </c:pt>
                <c:pt idx="72">
                  <c:v>0.22204076984398133</c:v>
                </c:pt>
                <c:pt idx="73">
                  <c:v>0.20238405678405677</c:v>
                </c:pt>
                <c:pt idx="74">
                  <c:v>0.20705084745762714</c:v>
                </c:pt>
                <c:pt idx="75">
                  <c:v>0.24407436641175023</c:v>
                </c:pt>
                <c:pt idx="76">
                  <c:v>0.24072946647344479</c:v>
                </c:pt>
                <c:pt idx="77">
                  <c:v>0.24871891044363148</c:v>
                </c:pt>
                <c:pt idx="78">
                  <c:v>0.40099952659805577</c:v>
                </c:pt>
                <c:pt idx="79">
                  <c:v>0.18080907745436609</c:v>
                </c:pt>
                <c:pt idx="80">
                  <c:v>0.21169598397124256</c:v>
                </c:pt>
                <c:pt idx="81">
                  <c:v>0.24159425556987263</c:v>
                </c:pt>
                <c:pt idx="82">
                  <c:v>0.28168043278751875</c:v>
                </c:pt>
                <c:pt idx="83">
                  <c:v>0.22480763539917972</c:v>
                </c:pt>
                <c:pt idx="84">
                  <c:v>0.22358108218930933</c:v>
                </c:pt>
                <c:pt idx="85">
                  <c:v>0.20683075496327943</c:v>
                </c:pt>
                <c:pt idx="86">
                  <c:v>0.25939894258417584</c:v>
                </c:pt>
                <c:pt idx="87">
                  <c:v>0.24858327329419969</c:v>
                </c:pt>
                <c:pt idx="88">
                  <c:v>0.18946266739611334</c:v>
                </c:pt>
                <c:pt idx="89">
                  <c:v>0.25292042112143431</c:v>
                </c:pt>
                <c:pt idx="90">
                  <c:v>0.41532091236818175</c:v>
                </c:pt>
                <c:pt idx="91">
                  <c:v>0.21584584321675684</c:v>
                </c:pt>
                <c:pt idx="92">
                  <c:v>0.15661409507003424</c:v>
                </c:pt>
                <c:pt idx="93">
                  <c:v>0.26282985429997707</c:v>
                </c:pt>
                <c:pt idx="94">
                  <c:v>0.22959017275711754</c:v>
                </c:pt>
                <c:pt idx="95">
                  <c:v>0.37919323944780225</c:v>
                </c:pt>
                <c:pt idx="96">
                  <c:v>0.21918090917803409</c:v>
                </c:pt>
                <c:pt idx="97">
                  <c:v>0.3031314100567013</c:v>
                </c:pt>
                <c:pt idx="98">
                  <c:v>0.29253179781093996</c:v>
                </c:pt>
                <c:pt idx="99">
                  <c:v>0.2788499401968903</c:v>
                </c:pt>
                <c:pt idx="100">
                  <c:v>0.35049461618617578</c:v>
                </c:pt>
                <c:pt idx="101">
                  <c:v>0.33898477933865356</c:v>
                </c:pt>
                <c:pt idx="102">
                  <c:v>0.47161372299872939</c:v>
                </c:pt>
                <c:pt idx="103">
                  <c:v>0.44009919544314541</c:v>
                </c:pt>
                <c:pt idx="104">
                  <c:v>0.28757705073494555</c:v>
                </c:pt>
                <c:pt idx="105">
                  <c:v>0.24614447682209176</c:v>
                </c:pt>
                <c:pt idx="106">
                  <c:v>0.31530055064222218</c:v>
                </c:pt>
                <c:pt idx="107">
                  <c:v>0.24849261151774624</c:v>
                </c:pt>
                <c:pt idx="108">
                  <c:v>0.38639421606041585</c:v>
                </c:pt>
                <c:pt idx="109">
                  <c:v>0.34286475369699354</c:v>
                </c:pt>
                <c:pt idx="110">
                  <c:v>0.28564708577225301</c:v>
                </c:pt>
                <c:pt idx="111">
                  <c:v>0.32308127768578676</c:v>
                </c:pt>
                <c:pt idx="112">
                  <c:v>0.6543669498371103</c:v>
                </c:pt>
                <c:pt idx="113">
                  <c:v>0.28290809820413321</c:v>
                </c:pt>
                <c:pt idx="114">
                  <c:v>0.34262654986987212</c:v>
                </c:pt>
                <c:pt idx="115">
                  <c:v>0.24428919158539542</c:v>
                </c:pt>
                <c:pt idx="116">
                  <c:v>0.34011637461967276</c:v>
                </c:pt>
                <c:pt idx="117">
                  <c:v>0.32384049546484672</c:v>
                </c:pt>
                <c:pt idx="118">
                  <c:v>0.43430729528587275</c:v>
                </c:pt>
                <c:pt idx="119">
                  <c:v>0.36803572686417885</c:v>
                </c:pt>
                <c:pt idx="120">
                  <c:v>0.43160690093726684</c:v>
                </c:pt>
                <c:pt idx="121">
                  <c:v>0.28450848514542787</c:v>
                </c:pt>
                <c:pt idx="122">
                  <c:v>0.43729842061512886</c:v>
                </c:pt>
                <c:pt idx="123">
                  <c:v>0.3687066958982434</c:v>
                </c:pt>
                <c:pt idx="124">
                  <c:v>0.38101807759748652</c:v>
                </c:pt>
                <c:pt idx="125">
                  <c:v>0.54493139223560927</c:v>
                </c:pt>
                <c:pt idx="126">
                  <c:v>0.32994189640252192</c:v>
                </c:pt>
                <c:pt idx="127">
                  <c:v>0.39418252349969973</c:v>
                </c:pt>
                <c:pt idx="128">
                  <c:v>0.31323673192749374</c:v>
                </c:pt>
                <c:pt idx="129">
                  <c:v>0.31196614066817729</c:v>
                </c:pt>
                <c:pt idx="130">
                  <c:v>0.39514693684014673</c:v>
                </c:pt>
                <c:pt idx="131">
                  <c:v>0.44452178843483192</c:v>
                </c:pt>
                <c:pt idx="132">
                  <c:v>0.45105480697933087</c:v>
                </c:pt>
                <c:pt idx="133">
                  <c:v>0.43061234136081122</c:v>
                </c:pt>
                <c:pt idx="134">
                  <c:v>0.25542804049724471</c:v>
                </c:pt>
                <c:pt idx="135">
                  <c:v>0.78991047568145378</c:v>
                </c:pt>
                <c:pt idx="136">
                  <c:v>0.4021962216583978</c:v>
                </c:pt>
                <c:pt idx="137">
                  <c:v>0.44632526405563216</c:v>
                </c:pt>
                <c:pt idx="138">
                  <c:v>0.40568091660233435</c:v>
                </c:pt>
                <c:pt idx="139">
                  <c:v>4.8587663674545013E-3</c:v>
                </c:pt>
                <c:pt idx="140">
                  <c:v>0.47168864084672074</c:v>
                </c:pt>
                <c:pt idx="141">
                  <c:v>0.43053857058119777</c:v>
                </c:pt>
                <c:pt idx="142">
                  <c:v>0.47540045119066182</c:v>
                </c:pt>
                <c:pt idx="143">
                  <c:v>0.39360283906804516</c:v>
                </c:pt>
                <c:pt idx="144">
                  <c:v>0.51461505907728855</c:v>
                </c:pt>
                <c:pt idx="145">
                  <c:v>0.45181645873208809</c:v>
                </c:pt>
                <c:pt idx="146">
                  <c:v>0.43440773361976381</c:v>
                </c:pt>
                <c:pt idx="147">
                  <c:v>0.6076749910192788</c:v>
                </c:pt>
                <c:pt idx="148">
                  <c:v>0.45925742307650874</c:v>
                </c:pt>
                <c:pt idx="149">
                  <c:v>0.46511599324012909</c:v>
                </c:pt>
                <c:pt idx="150">
                  <c:v>0.55427254938034143</c:v>
                </c:pt>
                <c:pt idx="151">
                  <c:v>0.46088581314878901</c:v>
                </c:pt>
                <c:pt idx="152">
                  <c:v>0.4628387309339691</c:v>
                </c:pt>
                <c:pt idx="153">
                  <c:v>0.32466764220554817</c:v>
                </c:pt>
                <c:pt idx="154">
                  <c:v>0.65662108837294664</c:v>
                </c:pt>
                <c:pt idx="155">
                  <c:v>0.49741527749085268</c:v>
                </c:pt>
                <c:pt idx="156">
                  <c:v>0.53666248001318362</c:v>
                </c:pt>
                <c:pt idx="157">
                  <c:v>0.47080389503696912</c:v>
                </c:pt>
                <c:pt idx="158">
                  <c:v>0.57823907228114024</c:v>
                </c:pt>
                <c:pt idx="159">
                  <c:v>0.41158032989531435</c:v>
                </c:pt>
                <c:pt idx="160">
                  <c:v>0.56924832406218795</c:v>
                </c:pt>
                <c:pt idx="161">
                  <c:v>0.57778204249485965</c:v>
                </c:pt>
                <c:pt idx="162">
                  <c:v>0.67321657516496913</c:v>
                </c:pt>
                <c:pt idx="163">
                  <c:v>0.53874628555256832</c:v>
                </c:pt>
                <c:pt idx="164">
                  <c:v>0.56888279729644897</c:v>
                </c:pt>
                <c:pt idx="165">
                  <c:v>0.77034648546427775</c:v>
                </c:pt>
                <c:pt idx="166">
                  <c:v>0.52838468104274539</c:v>
                </c:pt>
                <c:pt idx="167">
                  <c:v>0.62512748464980772</c:v>
                </c:pt>
                <c:pt idx="168">
                  <c:v>0.45741511996378459</c:v>
                </c:pt>
                <c:pt idx="169">
                  <c:v>0.71889275270686792</c:v>
                </c:pt>
                <c:pt idx="170">
                  <c:v>0.69321753364859973</c:v>
                </c:pt>
                <c:pt idx="171">
                  <c:v>0.60816066705518468</c:v>
                </c:pt>
                <c:pt idx="172">
                  <c:v>0.59790314528207678</c:v>
                </c:pt>
                <c:pt idx="173">
                  <c:v>0.66203741050234499</c:v>
                </c:pt>
                <c:pt idx="174">
                  <c:v>0.74929714279104498</c:v>
                </c:pt>
                <c:pt idx="175">
                  <c:v>0.80433166284783053</c:v>
                </c:pt>
                <c:pt idx="176">
                  <c:v>0.79542597684061578</c:v>
                </c:pt>
              </c:numCache>
            </c:numRef>
          </c:val>
        </c:ser>
        <c:dLbls>
          <c:showLegendKey val="0"/>
          <c:showVal val="0"/>
          <c:showCatName val="0"/>
          <c:showSerName val="0"/>
          <c:showPercent val="0"/>
          <c:showBubbleSize val="0"/>
        </c:dLbls>
        <c:gapWidth val="150"/>
        <c:axId val="356296960"/>
        <c:axId val="356315136"/>
      </c:barChart>
      <c:lineChart>
        <c:grouping val="standard"/>
        <c:varyColors val="0"/>
        <c:ser>
          <c:idx val="0"/>
          <c:order val="0"/>
          <c:tx>
            <c:strRef>
              <c:f>'Soliditet (2)'!$C$3</c:f>
              <c:strCache>
                <c:ptCount val="1"/>
                <c:pt idx="0">
                  <c:v>2014</c:v>
                </c:pt>
              </c:strCache>
            </c:strRef>
          </c:tx>
          <c:marker>
            <c:symbol val="none"/>
          </c:marker>
          <c:cat>
            <c:strRef>
              <c:f>'Soliditet (2)'!$B$4:$B$222</c:f>
              <c:strCache>
                <c:ptCount val="177"/>
                <c:pt idx="0">
                  <c:v>Bengtsfors kommun</c:v>
                </c:pt>
                <c:pt idx="1">
                  <c:v>Habo Energi AB</c:v>
                </c:pt>
                <c:pt idx="2">
                  <c:v>Eksta Bostads AB</c:v>
                </c:pt>
                <c:pt idx="3">
                  <c:v>Mörbylånga kommun</c:v>
                </c:pt>
                <c:pt idx="4">
                  <c:v>SEVAB Strängnäs Energi AB</c:v>
                </c:pt>
                <c:pt idx="5">
                  <c:v>Borgholm Energi AB</c:v>
                </c:pt>
                <c:pt idx="6">
                  <c:v>Arjeplogs kommun</c:v>
                </c:pt>
                <c:pt idx="7">
                  <c:v>Malung-Sälens kommun</c:v>
                </c:pt>
                <c:pt idx="8">
                  <c:v>Finspångs Tekniska Verk AB</c:v>
                </c:pt>
                <c:pt idx="9">
                  <c:v>Sävsjö Energi AB</c:v>
                </c:pt>
                <c:pt idx="10">
                  <c:v>Bräcke kommun</c:v>
                </c:pt>
                <c:pt idx="11">
                  <c:v>Österlens Kraft AB</c:v>
                </c:pt>
                <c:pt idx="12">
                  <c:v>Tidaholms Energi AB</c:v>
                </c:pt>
                <c:pt idx="13">
                  <c:v>Rättviks Teknik AB</c:v>
                </c:pt>
                <c:pt idx="14">
                  <c:v>Ronneby Miljö &amp; Teknik AB</c:v>
                </c:pt>
                <c:pt idx="15">
                  <c:v>Smedjebacken Energi &amp; Vatten AB</c:v>
                </c:pt>
                <c:pt idx="16">
                  <c:v>Trelleborgs Fjärrvärme AB</c:v>
                </c:pt>
                <c:pt idx="17">
                  <c:v>Ånge Energi AB</c:v>
                </c:pt>
                <c:pt idx="18">
                  <c:v>Arboga Energi AB</c:v>
                </c:pt>
                <c:pt idx="19">
                  <c:v>Aneby Miljö &amp; Vatten AB</c:v>
                </c:pt>
                <c:pt idx="20">
                  <c:v>C4 Energi AB</c:v>
                </c:pt>
                <c:pt idx="21">
                  <c:v>Köpings kommun</c:v>
                </c:pt>
                <c:pt idx="22">
                  <c:v>Mullsjö Energi &amp; Miljö AB</c:v>
                </c:pt>
                <c:pt idx="23">
                  <c:v>Gällivare Energi AB</c:v>
                </c:pt>
                <c:pt idx="24">
                  <c:v>Lidköpings Värmeverk AB                 </c:v>
                </c:pt>
                <c:pt idx="25">
                  <c:v>Pajala Värmeverk AB</c:v>
                </c:pt>
                <c:pt idx="26">
                  <c:v>Höganäs Energi AB</c:v>
                </c:pt>
                <c:pt idx="27">
                  <c:v>Munkfors Energi AB</c:v>
                </c:pt>
                <c:pt idx="28">
                  <c:v>Älvsbyns Energi AB</c:v>
                </c:pt>
                <c:pt idx="29">
                  <c:v>Överkalix Värmeverk AB</c:v>
                </c:pt>
                <c:pt idx="30">
                  <c:v>Sölvesborgs Fjärrvärme AB</c:v>
                </c:pt>
                <c:pt idx="31">
                  <c:v>Götene Vatten &amp; Värme AB</c:v>
                </c:pt>
                <c:pt idx="32">
                  <c:v>Eksjö Energi AB</c:v>
                </c:pt>
                <c:pt idx="33">
                  <c:v>Örkelljunga Fjärrvärmeverk AB</c:v>
                </c:pt>
                <c:pt idx="34">
                  <c:v>Hedemora Energi AB</c:v>
                </c:pt>
                <c:pt idx="35">
                  <c:v>Vimmerby Energi &amp; Miljö AB</c:v>
                </c:pt>
                <c:pt idx="36">
                  <c:v>Arvidsjaurs Energi AB</c:v>
                </c:pt>
                <c:pt idx="37">
                  <c:v>Bollnäs Energi AB</c:v>
                </c:pt>
                <c:pt idx="38">
                  <c:v>Tierps Fjärrvärme AB</c:v>
                </c:pt>
                <c:pt idx="39">
                  <c:v>VänerEnergi AB</c:v>
                </c:pt>
                <c:pt idx="40">
                  <c:v>Mjölby-Svartådalen Energi AB</c:v>
                </c:pt>
                <c:pt idx="41">
                  <c:v>Sundsvall Energi AB</c:v>
                </c:pt>
                <c:pt idx="42">
                  <c:v>Jönköping Energi AB</c:v>
                </c:pt>
                <c:pt idx="43">
                  <c:v>Nossebro Energi Värme AB</c:v>
                </c:pt>
                <c:pt idx="44">
                  <c:v>Norrtälje Energi AB</c:v>
                </c:pt>
                <c:pt idx="45">
                  <c:v>Affärsverken Karlskrona AB</c:v>
                </c:pt>
                <c:pt idx="46">
                  <c:v>Hammarö Energi AB</c:v>
                </c:pt>
                <c:pt idx="47">
                  <c:v>Emmaboda Energi &amp; Miljö AB</c:v>
                </c:pt>
                <c:pt idx="48">
                  <c:v>Oskarshamn Energi AB</c:v>
                </c:pt>
                <c:pt idx="49">
                  <c:v>Hässleholm Miljö AB</c:v>
                </c:pt>
                <c:pt idx="50">
                  <c:v>Säffle Fjärrvärme AB</c:v>
                </c:pt>
                <c:pt idx="51">
                  <c:v>Tranås Energi AB</c:v>
                </c:pt>
                <c:pt idx="52">
                  <c:v>Gislaved Energiring AB</c:v>
                </c:pt>
                <c:pt idx="53">
                  <c:v>Umeå Energi AB</c:v>
                </c:pt>
                <c:pt idx="54">
                  <c:v>Övertorneå Värmeverk AB</c:v>
                </c:pt>
                <c:pt idx="55">
                  <c:v>Sala-Heby Energi AB</c:v>
                </c:pt>
                <c:pt idx="56">
                  <c:v>Olofströms Kraft AB</c:v>
                </c:pt>
                <c:pt idx="57">
                  <c:v>Vetlanda Energi &amp; Teknik AB Vetab</c:v>
                </c:pt>
                <c:pt idx="58">
                  <c:v>Sorsele Värmeverk AB</c:v>
                </c:pt>
                <c:pt idx="59">
                  <c:v>Öresundskraft AB</c:v>
                </c:pt>
                <c:pt idx="60">
                  <c:v>Gotlands Energi AB</c:v>
                </c:pt>
                <c:pt idx="61">
                  <c:v>Alvesta Energi AB</c:v>
                </c:pt>
                <c:pt idx="62">
                  <c:v>Stenungsunds Energi &amp; Miljö AB</c:v>
                </c:pt>
                <c:pt idx="63">
                  <c:v>Vattenfall AB</c:v>
                </c:pt>
                <c:pt idx="64">
                  <c:v>Rindi Syd AB</c:v>
                </c:pt>
                <c:pt idx="65">
                  <c:v>Gotlands Närvärme AB</c:v>
                </c:pt>
                <c:pt idx="66">
                  <c:v>Hagfors Energi AB</c:v>
                </c:pt>
                <c:pt idx="67">
                  <c:v>Borås Energi och Miljö AB</c:v>
                </c:pt>
                <c:pt idx="68">
                  <c:v>Ystad Energi AB</c:v>
                </c:pt>
                <c:pt idx="69">
                  <c:v>Solör Bioenergi Svenljunga AB</c:v>
                </c:pt>
                <c:pt idx="70">
                  <c:v>Skara Energi AB</c:v>
                </c:pt>
                <c:pt idx="71">
                  <c:v>Kalmar Energi Värme AB</c:v>
                </c:pt>
                <c:pt idx="72">
                  <c:v>Laxåvärme AB</c:v>
                </c:pt>
                <c:pt idx="73">
                  <c:v>Rindi Vadstena AB</c:v>
                </c:pt>
                <c:pt idx="74">
                  <c:v>Rindi Gnesta AB</c:v>
                </c:pt>
                <c:pt idx="75">
                  <c:v>Karlstads Energi AB</c:v>
                </c:pt>
                <c:pt idx="76">
                  <c:v>Varberg Energi AB</c:v>
                </c:pt>
                <c:pt idx="77">
                  <c:v>Skurups Fjärrvärme AB</c:v>
                </c:pt>
                <c:pt idx="78">
                  <c:v>Mälarenergi AB</c:v>
                </c:pt>
                <c:pt idx="79">
                  <c:v>Ydre kommun</c:v>
                </c:pt>
                <c:pt idx="80">
                  <c:v>Kils Energi AB</c:v>
                </c:pt>
                <c:pt idx="81">
                  <c:v>Rindi Flen AB</c:v>
                </c:pt>
                <c:pt idx="82">
                  <c:v>Rindi Sunne AB</c:v>
                </c:pt>
                <c:pt idx="83">
                  <c:v>Söderhamn Nära AB</c:v>
                </c:pt>
                <c:pt idx="84">
                  <c:v>Arvika Fjärrvärme AB </c:v>
                </c:pt>
                <c:pt idx="85">
                  <c:v>Skellefteå Kraft AB</c:v>
                </c:pt>
                <c:pt idx="86">
                  <c:v>Vårgårda Ångfabrik AB</c:v>
                </c:pt>
                <c:pt idx="87">
                  <c:v>Vaggeryds Energi AB</c:v>
                </c:pt>
                <c:pt idx="88">
                  <c:v>Vara Värme AB</c:v>
                </c:pt>
                <c:pt idx="89">
                  <c:v>Mark Kraftvärme AB</c:v>
                </c:pt>
                <c:pt idx="90">
                  <c:v>Rindi Vingåker AB</c:v>
                </c:pt>
                <c:pt idx="91">
                  <c:v>Trollhättan Energi AB</c:v>
                </c:pt>
                <c:pt idx="92">
                  <c:v>Lantmännen Agrovärme AB</c:v>
                </c:pt>
                <c:pt idx="93">
                  <c:v>Ljungby Energinät AB</c:v>
                </c:pt>
                <c:pt idx="94">
                  <c:v>Kungälv Energi AB</c:v>
                </c:pt>
                <c:pt idx="95">
                  <c:v>Alingsås Energi Nät AB</c:v>
                </c:pt>
                <c:pt idx="96">
                  <c:v>Uddevalla Energi AB</c:v>
                </c:pt>
                <c:pt idx="97">
                  <c:v>Nybro Energi AB</c:v>
                </c:pt>
                <c:pt idx="98">
                  <c:v>ENA Energi AB</c:v>
                </c:pt>
                <c:pt idx="99">
                  <c:v>Jämtlands Värme AB</c:v>
                </c:pt>
                <c:pt idx="100">
                  <c:v>LEVA i Lysekil AB</c:v>
                </c:pt>
                <c:pt idx="101">
                  <c:v>Forshaga Energi AB</c:v>
                </c:pt>
                <c:pt idx="102">
                  <c:v>Växjö Energi AB</c:v>
                </c:pt>
                <c:pt idx="103">
                  <c:v>Västervik Miljö &amp; Energi AB</c:v>
                </c:pt>
                <c:pt idx="104">
                  <c:v>Elektra Värme AB</c:v>
                </c:pt>
                <c:pt idx="105">
                  <c:v>Norrenergi AB</c:v>
                </c:pt>
                <c:pt idx="106">
                  <c:v>Eskilstuna Energi &amp; Miljö AB</c:v>
                </c:pt>
                <c:pt idx="107">
                  <c:v>Degerfors Energi AB</c:v>
                </c:pt>
                <c:pt idx="108">
                  <c:v>Hjo Energi AB</c:v>
                </c:pt>
                <c:pt idx="109">
                  <c:v>Sandviken Energi AB</c:v>
                </c:pt>
                <c:pt idx="110">
                  <c:v>Övik Energi AB</c:v>
                </c:pt>
                <c:pt idx="111">
                  <c:v>Kristinehamns Fjärrvärme AB</c:v>
                </c:pt>
                <c:pt idx="112">
                  <c:v>Ljusdal Energi AB</c:v>
                </c:pt>
                <c:pt idx="113">
                  <c:v>Jämtkraft AB</c:v>
                </c:pt>
                <c:pt idx="114">
                  <c:v>Mölndal Energi AB</c:v>
                </c:pt>
                <c:pt idx="115">
                  <c:v>Jokkmokks Värmeverk AB</c:v>
                </c:pt>
                <c:pt idx="116">
                  <c:v>Filipstads Värme AB</c:v>
                </c:pt>
                <c:pt idx="117">
                  <c:v>Nässjö Affärsverk AB</c:v>
                </c:pt>
                <c:pt idx="118">
                  <c:v>Sollentuna Energi AB</c:v>
                </c:pt>
                <c:pt idx="119">
                  <c:v>AB PiteEnergi</c:v>
                </c:pt>
                <c:pt idx="120">
                  <c:v>Karlshamn Energi AB</c:v>
                </c:pt>
                <c:pt idx="121">
                  <c:v>Bostadsstiftelsen Hyltebostäder</c:v>
                </c:pt>
                <c:pt idx="122">
                  <c:v>Värnamo Energi AB</c:v>
                </c:pt>
                <c:pt idx="123">
                  <c:v>Ulricehamns Energi AB</c:v>
                </c:pt>
                <c:pt idx="124">
                  <c:v>Skövde Värmeverk AB</c:v>
                </c:pt>
                <c:pt idx="125">
                  <c:v>E.ON Mälarkraft Värme AB</c:v>
                </c:pt>
                <c:pt idx="126">
                  <c:v>Pålsboda Bioenergi AB</c:v>
                </c:pt>
                <c:pt idx="127">
                  <c:v>Halmstads Energi &amp; Miljö AB</c:v>
                </c:pt>
                <c:pt idx="128">
                  <c:v>Telge Nät AB</c:v>
                </c:pt>
                <c:pt idx="129">
                  <c:v>Vasa Värme Kalix AB</c:v>
                </c:pt>
                <c:pt idx="130">
                  <c:v>AB Borlänge Energi</c:v>
                </c:pt>
                <c:pt idx="131">
                  <c:v>Härnösand Energi &amp; Miljö AB</c:v>
                </c:pt>
                <c:pt idx="132">
                  <c:v>Södertörns Fjärrvärme AB</c:v>
                </c:pt>
                <c:pt idx="133">
                  <c:v>Bromölla Fjärrvärme AB</c:v>
                </c:pt>
                <c:pt idx="134">
                  <c:v>Karlsborgs Värme AB</c:v>
                </c:pt>
                <c:pt idx="135">
                  <c:v>Perstorps Fjärrvärme AB</c:v>
                </c:pt>
                <c:pt idx="136">
                  <c:v>Fjärrvärme i Osby AB</c:v>
                </c:pt>
                <c:pt idx="137">
                  <c:v>Tingsryds Energi AB</c:v>
                </c:pt>
                <c:pt idx="138">
                  <c:v>Bodens Energi AB</c:v>
                </c:pt>
                <c:pt idx="139">
                  <c:v>Åstorps Bioenergi AB</c:v>
                </c:pt>
                <c:pt idx="140">
                  <c:v>Partille Energi AB</c:v>
                </c:pt>
                <c:pt idx="141">
                  <c:v>Falu Energi &amp; Vatten AB</c:v>
                </c:pt>
                <c:pt idx="142">
                  <c:v>Göteborg Energi AB</c:v>
                </c:pt>
                <c:pt idx="143">
                  <c:v>Åsele Energiverk AB</c:v>
                </c:pt>
                <c:pt idx="144">
                  <c:v>Falbygdens Energi AB</c:v>
                </c:pt>
                <c:pt idx="145">
                  <c:v>Bionär Närvärme AB</c:v>
                </c:pt>
                <c:pt idx="146">
                  <c:v>Torsås Fjärrvärmenät AB</c:v>
                </c:pt>
                <c:pt idx="147">
                  <c:v>Åre Fjärrvärme AB</c:v>
                </c:pt>
                <c:pt idx="148">
                  <c:v>Tekniska verken i Linköping AB</c:v>
                </c:pt>
                <c:pt idx="149">
                  <c:v>BTEA Energi AB</c:v>
                </c:pt>
                <c:pt idx="150">
                  <c:v>Värmevärden i Nynäshamn AB</c:v>
                </c:pt>
                <c:pt idx="151">
                  <c:v>Farmarenergi i Ed AB</c:v>
                </c:pt>
                <c:pt idx="152">
                  <c:v>Hällefors Värme AB</c:v>
                </c:pt>
                <c:pt idx="153">
                  <c:v>Falkenberg Energi AB</c:v>
                </c:pt>
                <c:pt idx="154">
                  <c:v>Tekniska verken i Kiruna AB</c:v>
                </c:pt>
                <c:pt idx="155">
                  <c:v>E.ON Värme Sverige AB</c:v>
                </c:pt>
                <c:pt idx="156">
                  <c:v>Karlskoga Kraftvärmeverk AB</c:v>
                </c:pt>
                <c:pt idx="157">
                  <c:v>Haparanda Värmeverk AB</c:v>
                </c:pt>
                <c:pt idx="158">
                  <c:v>E.ON Värme Timrå AB</c:v>
                </c:pt>
                <c:pt idx="159">
                  <c:v>Västerbergslagens Energi AB</c:v>
                </c:pt>
                <c:pt idx="160">
                  <c:v>Molkom Biovärme AB</c:v>
                </c:pt>
                <c:pt idx="161">
                  <c:v>Ale Fjärrvärme AB</c:v>
                </c:pt>
                <c:pt idx="162">
                  <c:v>AB Fortum Värme samägt med Stockholms stad</c:v>
                </c:pt>
                <c:pt idx="163">
                  <c:v>Dala Energi Värme AB</c:v>
                </c:pt>
                <c:pt idx="164">
                  <c:v>Linde Energi AB</c:v>
                </c:pt>
                <c:pt idx="165">
                  <c:v>Herrljunga Elektriska AB</c:v>
                </c:pt>
                <c:pt idx="166">
                  <c:v>Gävle Energi AB</c:v>
                </c:pt>
                <c:pt idx="167">
                  <c:v>Lerum Fjärrvärme AB</c:v>
                </c:pt>
                <c:pt idx="168">
                  <c:v>Agrovärme Enköping AB</c:v>
                </c:pt>
                <c:pt idx="169">
                  <c:v>Solör Bioenergi Charlottenberg AB</c:v>
                </c:pt>
                <c:pt idx="170">
                  <c:v>Lilla Edets Fjärrvärme AB</c:v>
                </c:pt>
                <c:pt idx="171">
                  <c:v>Grästorps Fjärrvärme AB</c:v>
                </c:pt>
                <c:pt idx="172">
                  <c:v>Rindi Västerdala AB</c:v>
                </c:pt>
                <c:pt idx="173">
                  <c:v>Statkraft Värme AB</c:v>
                </c:pt>
                <c:pt idx="174">
                  <c:v>Luleå Energi AB</c:v>
                </c:pt>
                <c:pt idx="175">
                  <c:v>Oxelö Energi AB</c:v>
                </c:pt>
                <c:pt idx="176">
                  <c:v>Hofors Energi AB</c:v>
                </c:pt>
              </c:strCache>
            </c:strRef>
          </c:cat>
          <c:val>
            <c:numRef>
              <c:f>'Soliditet (2)'!$C$4:$C$222</c:f>
              <c:numCache>
                <c:formatCode>0.00%</c:formatCode>
                <c:ptCount val="177"/>
                <c:pt idx="0">
                  <c:v>-0.28815812540174135</c:v>
                </c:pt>
                <c:pt idx="1">
                  <c:v>-0.23695726389621677</c:v>
                </c:pt>
                <c:pt idx="2">
                  <c:v>-0.17561175751101205</c:v>
                </c:pt>
                <c:pt idx="3">
                  <c:v>-0.17091193358956944</c:v>
                </c:pt>
                <c:pt idx="4">
                  <c:v>-0.15530073612085074</c:v>
                </c:pt>
                <c:pt idx="5">
                  <c:v>-0.13548027073732724</c:v>
                </c:pt>
                <c:pt idx="6">
                  <c:v>-8.7318581965262904E-2</c:v>
                </c:pt>
                <c:pt idx="7">
                  <c:v>-6.3842052168900418E-2</c:v>
                </c:pt>
                <c:pt idx="8">
                  <c:v>-5.3883413360289782E-2</c:v>
                </c:pt>
                <c:pt idx="9">
                  <c:v>-4.9343874198315561E-2</c:v>
                </c:pt>
                <c:pt idx="10">
                  <c:v>-4.3074242570903094E-2</c:v>
                </c:pt>
                <c:pt idx="11">
                  <c:v>-3.4848215352350109E-2</c:v>
                </c:pt>
                <c:pt idx="12">
                  <c:v>-2.6968663585464285E-2</c:v>
                </c:pt>
                <c:pt idx="13">
                  <c:v>-2.4184592153622606E-2</c:v>
                </c:pt>
                <c:pt idx="14">
                  <c:v>-1.049530111050356E-2</c:v>
                </c:pt>
                <c:pt idx="15">
                  <c:v>5.8028956255094513E-3</c:v>
                </c:pt>
                <c:pt idx="16">
                  <c:v>1.3571877810764937E-2</c:v>
                </c:pt>
                <c:pt idx="17">
                  <c:v>1.4443805691290603E-2</c:v>
                </c:pt>
                <c:pt idx="18">
                  <c:v>2.185760712659118E-2</c:v>
                </c:pt>
                <c:pt idx="19">
                  <c:v>2.3194636039908879E-2</c:v>
                </c:pt>
                <c:pt idx="20">
                  <c:v>2.7479562468913293E-2</c:v>
                </c:pt>
                <c:pt idx="21">
                  <c:v>3.3267570900123312E-2</c:v>
                </c:pt>
                <c:pt idx="22">
                  <c:v>5.0189670265538389E-2</c:v>
                </c:pt>
                <c:pt idx="23">
                  <c:v>5.0657972227582462E-2</c:v>
                </c:pt>
                <c:pt idx="24">
                  <c:v>5.6196117596481375E-2</c:v>
                </c:pt>
                <c:pt idx="25">
                  <c:v>5.9681362218663069E-2</c:v>
                </c:pt>
                <c:pt idx="26">
                  <c:v>6.2255220118695803E-2</c:v>
                </c:pt>
                <c:pt idx="27">
                  <c:v>6.5386495157566504E-2</c:v>
                </c:pt>
                <c:pt idx="28">
                  <c:v>6.7346878471329211E-2</c:v>
                </c:pt>
                <c:pt idx="29">
                  <c:v>6.8519421420445314E-2</c:v>
                </c:pt>
                <c:pt idx="30">
                  <c:v>7.6796990002001977E-2</c:v>
                </c:pt>
                <c:pt idx="31">
                  <c:v>8.2361009286412518E-2</c:v>
                </c:pt>
                <c:pt idx="32">
                  <c:v>8.5932110663154079E-2</c:v>
                </c:pt>
                <c:pt idx="33">
                  <c:v>9.5088655412584114E-2</c:v>
                </c:pt>
                <c:pt idx="34">
                  <c:v>9.8101588958989488E-2</c:v>
                </c:pt>
                <c:pt idx="35">
                  <c:v>0.10336268846862671</c:v>
                </c:pt>
                <c:pt idx="36">
                  <c:v>0.10449147956422745</c:v>
                </c:pt>
                <c:pt idx="37">
                  <c:v>0.10830050138040122</c:v>
                </c:pt>
                <c:pt idx="38">
                  <c:v>0.11687638438101783</c:v>
                </c:pt>
                <c:pt idx="39">
                  <c:v>0.11721184676402209</c:v>
                </c:pt>
                <c:pt idx="40">
                  <c:v>0.1300128676156137</c:v>
                </c:pt>
                <c:pt idx="41">
                  <c:v>0.13915303657458275</c:v>
                </c:pt>
                <c:pt idx="42">
                  <c:v>0.14148475816852646</c:v>
                </c:pt>
                <c:pt idx="43">
                  <c:v>0.15047082746754264</c:v>
                </c:pt>
                <c:pt idx="44">
                  <c:v>0.15135645966606912</c:v>
                </c:pt>
                <c:pt idx="45">
                  <c:v>0.15499041612473233</c:v>
                </c:pt>
                <c:pt idx="46">
                  <c:v>0.15624962925299779</c:v>
                </c:pt>
                <c:pt idx="47">
                  <c:v>0.1588626164079823</c:v>
                </c:pt>
                <c:pt idx="48">
                  <c:v>0.15986916206837706</c:v>
                </c:pt>
                <c:pt idx="49">
                  <c:v>0.16441746628405471</c:v>
                </c:pt>
                <c:pt idx="50">
                  <c:v>0.1646441424593775</c:v>
                </c:pt>
                <c:pt idx="51">
                  <c:v>0.16580417813330384</c:v>
                </c:pt>
                <c:pt idx="52">
                  <c:v>0.1659749329155486</c:v>
                </c:pt>
                <c:pt idx="53">
                  <c:v>0.17240858308716417</c:v>
                </c:pt>
                <c:pt idx="54">
                  <c:v>0.17334817081652529</c:v>
                </c:pt>
                <c:pt idx="55">
                  <c:v>0.17585967937995445</c:v>
                </c:pt>
                <c:pt idx="56">
                  <c:v>0.17964078781500459</c:v>
                </c:pt>
                <c:pt idx="57">
                  <c:v>0.18010956815403809</c:v>
                </c:pt>
                <c:pt idx="58">
                  <c:v>0.18294611882046841</c:v>
                </c:pt>
                <c:pt idx="59">
                  <c:v>0.18551232552800132</c:v>
                </c:pt>
                <c:pt idx="60">
                  <c:v>0.18751754749727384</c:v>
                </c:pt>
                <c:pt idx="61">
                  <c:v>0.19185915465352163</c:v>
                </c:pt>
                <c:pt idx="62">
                  <c:v>0.1975377214375687</c:v>
                </c:pt>
                <c:pt idx="63">
                  <c:v>0.19898032132814478</c:v>
                </c:pt>
                <c:pt idx="64">
                  <c:v>0.20216294425750173</c:v>
                </c:pt>
                <c:pt idx="65">
                  <c:v>0.20781965480803102</c:v>
                </c:pt>
                <c:pt idx="66">
                  <c:v>0.20813797589864419</c:v>
                </c:pt>
                <c:pt idx="67">
                  <c:v>0.20882285167063189</c:v>
                </c:pt>
                <c:pt idx="68">
                  <c:v>0.20908317198238266</c:v>
                </c:pt>
                <c:pt idx="69">
                  <c:v>0.21041211252463723</c:v>
                </c:pt>
                <c:pt idx="70">
                  <c:v>0.21086800340260059</c:v>
                </c:pt>
                <c:pt idx="71">
                  <c:v>0.21194816805779701</c:v>
                </c:pt>
                <c:pt idx="72">
                  <c:v>0.21280069957866288</c:v>
                </c:pt>
                <c:pt idx="73">
                  <c:v>0.21312349859966956</c:v>
                </c:pt>
                <c:pt idx="74">
                  <c:v>0.21402290426019241</c:v>
                </c:pt>
                <c:pt idx="75">
                  <c:v>0.21463273210485173</c:v>
                </c:pt>
                <c:pt idx="76">
                  <c:v>0.22198962111193724</c:v>
                </c:pt>
                <c:pt idx="77">
                  <c:v>0.22358461368409419</c:v>
                </c:pt>
                <c:pt idx="78">
                  <c:v>0.22766809340288213</c:v>
                </c:pt>
                <c:pt idx="79">
                  <c:v>0.23527885862516215</c:v>
                </c:pt>
                <c:pt idx="80">
                  <c:v>0.25454371379789048</c:v>
                </c:pt>
                <c:pt idx="81">
                  <c:v>0.25557471398280412</c:v>
                </c:pt>
                <c:pt idx="82">
                  <c:v>0.2559949956651047</c:v>
                </c:pt>
                <c:pt idx="83">
                  <c:v>0.25784291619691846</c:v>
                </c:pt>
                <c:pt idx="84">
                  <c:v>0.25840576525510006</c:v>
                </c:pt>
                <c:pt idx="85">
                  <c:v>0.26321191368096886</c:v>
                </c:pt>
                <c:pt idx="86">
                  <c:v>0.26884861924396247</c:v>
                </c:pt>
                <c:pt idx="87">
                  <c:v>0.27835448094365345</c:v>
                </c:pt>
                <c:pt idx="88">
                  <c:v>0.27922884975286733</c:v>
                </c:pt>
                <c:pt idx="89">
                  <c:v>0.27976654088331793</c:v>
                </c:pt>
                <c:pt idx="90">
                  <c:v>0.2834269326912755</c:v>
                </c:pt>
                <c:pt idx="91">
                  <c:v>0.29972382990451185</c:v>
                </c:pt>
                <c:pt idx="92">
                  <c:v>0.30061718793400377</c:v>
                </c:pt>
                <c:pt idx="93">
                  <c:v>0.30203990582938106</c:v>
                </c:pt>
                <c:pt idx="94">
                  <c:v>0.30255295648209585</c:v>
                </c:pt>
                <c:pt idx="95">
                  <c:v>0.31254259760956188</c:v>
                </c:pt>
                <c:pt idx="96">
                  <c:v>0.31414785760069025</c:v>
                </c:pt>
                <c:pt idx="97">
                  <c:v>0.32028538973996878</c:v>
                </c:pt>
                <c:pt idx="98">
                  <c:v>0.32395622831433263</c:v>
                </c:pt>
                <c:pt idx="99">
                  <c:v>0.32858742891738207</c:v>
                </c:pt>
                <c:pt idx="100">
                  <c:v>0.32869667476258863</c:v>
                </c:pt>
                <c:pt idx="101">
                  <c:v>0.33356360171510246</c:v>
                </c:pt>
                <c:pt idx="102">
                  <c:v>0.33510209288214904</c:v>
                </c:pt>
                <c:pt idx="103">
                  <c:v>0.34312231065141346</c:v>
                </c:pt>
                <c:pt idx="104">
                  <c:v>0.34602303894679093</c:v>
                </c:pt>
                <c:pt idx="105">
                  <c:v>0.34602924893924725</c:v>
                </c:pt>
                <c:pt idx="106">
                  <c:v>0.34632428020010964</c:v>
                </c:pt>
                <c:pt idx="107">
                  <c:v>0.35321357355256261</c:v>
                </c:pt>
                <c:pt idx="108">
                  <c:v>0.35331035992946641</c:v>
                </c:pt>
                <c:pt idx="109">
                  <c:v>0.3538661182353417</c:v>
                </c:pt>
                <c:pt idx="110">
                  <c:v>0.35668330129999853</c:v>
                </c:pt>
                <c:pt idx="111">
                  <c:v>0.36478639593305001</c:v>
                </c:pt>
                <c:pt idx="112">
                  <c:v>0.36748829660484289</c:v>
                </c:pt>
                <c:pt idx="113">
                  <c:v>0.37067782457492598</c:v>
                </c:pt>
                <c:pt idx="114">
                  <c:v>0.3752719976896538</c:v>
                </c:pt>
                <c:pt idx="115">
                  <c:v>0.38401223241590221</c:v>
                </c:pt>
                <c:pt idx="116">
                  <c:v>0.38902852564480234</c:v>
                </c:pt>
                <c:pt idx="117">
                  <c:v>0.3984376780807809</c:v>
                </c:pt>
                <c:pt idx="118">
                  <c:v>0.40124791153521533</c:v>
                </c:pt>
                <c:pt idx="119">
                  <c:v>0.40491552016860838</c:v>
                </c:pt>
                <c:pt idx="120">
                  <c:v>0.40584401454489932</c:v>
                </c:pt>
                <c:pt idx="121">
                  <c:v>0.40703713024181554</c:v>
                </c:pt>
                <c:pt idx="122">
                  <c:v>0.4116939839738466</c:v>
                </c:pt>
                <c:pt idx="123">
                  <c:v>0.41494527125223063</c:v>
                </c:pt>
                <c:pt idx="124">
                  <c:v>0.41736200504750537</c:v>
                </c:pt>
                <c:pt idx="125">
                  <c:v>0.42287097204320206</c:v>
                </c:pt>
                <c:pt idx="126">
                  <c:v>0.42301942782955454</c:v>
                </c:pt>
                <c:pt idx="127">
                  <c:v>0.42576431888402788</c:v>
                </c:pt>
                <c:pt idx="128">
                  <c:v>0.43689303150367431</c:v>
                </c:pt>
                <c:pt idx="129">
                  <c:v>0.43800328455978554</c:v>
                </c:pt>
                <c:pt idx="130">
                  <c:v>0.44188026205940212</c:v>
                </c:pt>
                <c:pt idx="131">
                  <c:v>0.44504324724599403</c:v>
                </c:pt>
                <c:pt idx="132">
                  <c:v>0.44786786323026423</c:v>
                </c:pt>
                <c:pt idx="133">
                  <c:v>0.44949726583171634</c:v>
                </c:pt>
                <c:pt idx="134">
                  <c:v>0.45281451647828158</c:v>
                </c:pt>
                <c:pt idx="135">
                  <c:v>0.45289587990340846</c:v>
                </c:pt>
                <c:pt idx="136">
                  <c:v>0.46142774741121217</c:v>
                </c:pt>
                <c:pt idx="137">
                  <c:v>0.46243350642385239</c:v>
                </c:pt>
                <c:pt idx="138">
                  <c:v>0.46912270059552036</c:v>
                </c:pt>
                <c:pt idx="139">
                  <c:v>0.47552759948652118</c:v>
                </c:pt>
                <c:pt idx="140">
                  <c:v>0.47836264514738047</c:v>
                </c:pt>
                <c:pt idx="141">
                  <c:v>0.48264849259810966</c:v>
                </c:pt>
                <c:pt idx="142">
                  <c:v>0.49015400475320509</c:v>
                </c:pt>
                <c:pt idx="143">
                  <c:v>0.49363603560259806</c:v>
                </c:pt>
                <c:pt idx="144">
                  <c:v>0.49843176073049938</c:v>
                </c:pt>
                <c:pt idx="145">
                  <c:v>0.51630853297045254</c:v>
                </c:pt>
                <c:pt idx="146">
                  <c:v>0.52907784657560164</c:v>
                </c:pt>
                <c:pt idx="147">
                  <c:v>0.53128117913832207</c:v>
                </c:pt>
                <c:pt idx="148">
                  <c:v>0.53128746292764006</c:v>
                </c:pt>
                <c:pt idx="149">
                  <c:v>0.53960313174946006</c:v>
                </c:pt>
                <c:pt idx="150">
                  <c:v>0.53963879607496157</c:v>
                </c:pt>
                <c:pt idx="151">
                  <c:v>0.5420320051551929</c:v>
                </c:pt>
                <c:pt idx="152">
                  <c:v>0.54404147324640528</c:v>
                </c:pt>
                <c:pt idx="153">
                  <c:v>0.55281641831942774</c:v>
                </c:pt>
                <c:pt idx="154">
                  <c:v>0.55984818444457052</c:v>
                </c:pt>
                <c:pt idx="155">
                  <c:v>0.57582840765075549</c:v>
                </c:pt>
                <c:pt idx="156">
                  <c:v>0.59881561730696642</c:v>
                </c:pt>
                <c:pt idx="157">
                  <c:v>0.60062420729466715</c:v>
                </c:pt>
                <c:pt idx="158">
                  <c:v>0.609944621366177</c:v>
                </c:pt>
                <c:pt idx="159">
                  <c:v>0.61530774692626766</c:v>
                </c:pt>
                <c:pt idx="160">
                  <c:v>0.61885821244735628</c:v>
                </c:pt>
                <c:pt idx="161">
                  <c:v>0.63178060609044595</c:v>
                </c:pt>
                <c:pt idx="162">
                  <c:v>0.6527091627969217</c:v>
                </c:pt>
                <c:pt idx="163">
                  <c:v>0.65498837668318832</c:v>
                </c:pt>
                <c:pt idx="164">
                  <c:v>0.65877953178170634</c:v>
                </c:pt>
                <c:pt idx="165">
                  <c:v>0.66573265168032492</c:v>
                </c:pt>
                <c:pt idx="166">
                  <c:v>0.67339567010225743</c:v>
                </c:pt>
                <c:pt idx="167">
                  <c:v>0.67520785678327633</c:v>
                </c:pt>
                <c:pt idx="168">
                  <c:v>0.68221011036925994</c:v>
                </c:pt>
                <c:pt idx="169">
                  <c:v>0.7002579027156518</c:v>
                </c:pt>
                <c:pt idx="170">
                  <c:v>0.74070281840884789</c:v>
                </c:pt>
                <c:pt idx="171">
                  <c:v>0.75102094118744467</c:v>
                </c:pt>
                <c:pt idx="172">
                  <c:v>0.76117704438302725</c:v>
                </c:pt>
                <c:pt idx="173">
                  <c:v>0.80750558391494698</c:v>
                </c:pt>
                <c:pt idx="174">
                  <c:v>0.8120404799194938</c:v>
                </c:pt>
                <c:pt idx="175">
                  <c:v>0.82184339632076364</c:v>
                </c:pt>
                <c:pt idx="176">
                  <c:v>0.86264949513271671</c:v>
                </c:pt>
              </c:numCache>
            </c:numRef>
          </c:val>
          <c:smooth val="0"/>
        </c:ser>
        <c:dLbls>
          <c:showLegendKey val="0"/>
          <c:showVal val="0"/>
          <c:showCatName val="0"/>
          <c:showSerName val="0"/>
          <c:showPercent val="0"/>
          <c:showBubbleSize val="0"/>
        </c:dLbls>
        <c:marker val="1"/>
        <c:smooth val="0"/>
        <c:axId val="356296960"/>
        <c:axId val="356315136"/>
      </c:lineChart>
      <c:catAx>
        <c:axId val="356296960"/>
        <c:scaling>
          <c:orientation val="minMax"/>
        </c:scaling>
        <c:delete val="1"/>
        <c:axPos val="b"/>
        <c:majorTickMark val="out"/>
        <c:minorTickMark val="none"/>
        <c:tickLblPos val="none"/>
        <c:crossAx val="356315136"/>
        <c:crosses val="autoZero"/>
        <c:auto val="1"/>
        <c:lblAlgn val="ctr"/>
        <c:lblOffset val="100"/>
        <c:noMultiLvlLbl val="0"/>
      </c:catAx>
      <c:valAx>
        <c:axId val="356315136"/>
        <c:scaling>
          <c:orientation val="minMax"/>
        </c:scaling>
        <c:delete val="0"/>
        <c:axPos val="l"/>
        <c:majorGridlines/>
        <c:numFmt formatCode="0.00%" sourceLinked="1"/>
        <c:majorTickMark val="out"/>
        <c:minorTickMark val="none"/>
        <c:tickLblPos val="nextTo"/>
        <c:crossAx val="356296960"/>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BE0101N1!$E$3</c:f>
              <c:strCache>
                <c:ptCount val="1"/>
                <c:pt idx="0">
                  <c:v>2010</c:v>
                </c:pt>
              </c:strCache>
            </c:strRef>
          </c:tx>
          <c:invertIfNegative val="0"/>
          <c:cat>
            <c:strRef>
              <c:f>BE0101N1!$D$4:$D$40</c:f>
              <c:strCache>
                <c:ptCount val="37"/>
                <c:pt idx="0">
                  <c:v>Arjeplog</c:v>
                </c:pt>
                <c:pt idx="1">
                  <c:v>Åsele</c:v>
                </c:pt>
                <c:pt idx="2">
                  <c:v>Sorsele</c:v>
                </c:pt>
                <c:pt idx="3">
                  <c:v>Bräcke</c:v>
                </c:pt>
                <c:pt idx="4">
                  <c:v>Ånge</c:v>
                </c:pt>
                <c:pt idx="5">
                  <c:v>Överkalix</c:v>
                </c:pt>
                <c:pt idx="6">
                  <c:v>Hagfors</c:v>
                </c:pt>
                <c:pt idx="7">
                  <c:v>Hällefors</c:v>
                </c:pt>
                <c:pt idx="8">
                  <c:v>Berg</c:v>
                </c:pt>
                <c:pt idx="9">
                  <c:v>Malung-Sälen</c:v>
                </c:pt>
                <c:pt idx="10">
                  <c:v>Hofors</c:v>
                </c:pt>
                <c:pt idx="11">
                  <c:v>Munkfors</c:v>
                </c:pt>
                <c:pt idx="12">
                  <c:v>Haparanda</c:v>
                </c:pt>
                <c:pt idx="13">
                  <c:v>Ragunda</c:v>
                </c:pt>
                <c:pt idx="14">
                  <c:v>Kalix</c:v>
                </c:pt>
                <c:pt idx="15">
                  <c:v>Grästorp</c:v>
                </c:pt>
                <c:pt idx="16">
                  <c:v>Kramfors</c:v>
                </c:pt>
                <c:pt idx="17">
                  <c:v>Bengtsfors</c:v>
                </c:pt>
                <c:pt idx="18">
                  <c:v>Härjedalen</c:v>
                </c:pt>
                <c:pt idx="19">
                  <c:v>Älvdalen</c:v>
                </c:pt>
                <c:pt idx="20">
                  <c:v>Övertorneå</c:v>
                </c:pt>
                <c:pt idx="21">
                  <c:v>Simrishamn</c:v>
                </c:pt>
                <c:pt idx="22">
                  <c:v>Älvsbyn</c:v>
                </c:pt>
                <c:pt idx="23">
                  <c:v>Emmaboda</c:v>
                </c:pt>
                <c:pt idx="24">
                  <c:v>Vansbro</c:v>
                </c:pt>
                <c:pt idx="25">
                  <c:v>Jokkmokk</c:v>
                </c:pt>
                <c:pt idx="26">
                  <c:v>Lysekil</c:v>
                </c:pt>
                <c:pt idx="27">
                  <c:v>Säffle</c:v>
                </c:pt>
                <c:pt idx="28">
                  <c:v>Gislaved</c:v>
                </c:pt>
                <c:pt idx="29">
                  <c:v>Nordanstig</c:v>
                </c:pt>
                <c:pt idx="30">
                  <c:v>Nordanstig</c:v>
                </c:pt>
                <c:pt idx="31">
                  <c:v>Sunne</c:v>
                </c:pt>
                <c:pt idx="32">
                  <c:v>Degerfors</c:v>
                </c:pt>
                <c:pt idx="33">
                  <c:v>Vimmerby</c:v>
                </c:pt>
                <c:pt idx="34">
                  <c:v>Orust</c:v>
                </c:pt>
                <c:pt idx="35">
                  <c:v>Götene</c:v>
                </c:pt>
                <c:pt idx="36">
                  <c:v>Gällivare</c:v>
                </c:pt>
              </c:strCache>
            </c:strRef>
          </c:cat>
          <c:val>
            <c:numRef>
              <c:f>BE0101N1!$E$4:$E$40</c:f>
              <c:numCache>
                <c:formatCode>General</c:formatCode>
                <c:ptCount val="37"/>
                <c:pt idx="0">
                  <c:v>3161</c:v>
                </c:pt>
                <c:pt idx="1">
                  <c:v>3039</c:v>
                </c:pt>
                <c:pt idx="2">
                  <c:v>2736</c:v>
                </c:pt>
                <c:pt idx="3">
                  <c:v>6885</c:v>
                </c:pt>
                <c:pt idx="4">
                  <c:v>10053</c:v>
                </c:pt>
                <c:pt idx="5">
                  <c:v>3611</c:v>
                </c:pt>
                <c:pt idx="6">
                  <c:v>12480</c:v>
                </c:pt>
                <c:pt idx="7">
                  <c:v>7220</c:v>
                </c:pt>
                <c:pt idx="8">
                  <c:v>7352</c:v>
                </c:pt>
                <c:pt idx="9">
                  <c:v>10356</c:v>
                </c:pt>
                <c:pt idx="10">
                  <c:v>9741</c:v>
                </c:pt>
                <c:pt idx="11">
                  <c:v>3771</c:v>
                </c:pt>
                <c:pt idx="12">
                  <c:v>10059</c:v>
                </c:pt>
                <c:pt idx="13">
                  <c:v>5590</c:v>
                </c:pt>
                <c:pt idx="14">
                  <c:v>16740</c:v>
                </c:pt>
                <c:pt idx="15">
                  <c:v>5776</c:v>
                </c:pt>
                <c:pt idx="16">
                  <c:v>18911</c:v>
                </c:pt>
                <c:pt idx="17">
                  <c:v>9791</c:v>
                </c:pt>
                <c:pt idx="18">
                  <c:v>10454</c:v>
                </c:pt>
                <c:pt idx="19">
                  <c:v>7207</c:v>
                </c:pt>
                <c:pt idx="20">
                  <c:v>4812</c:v>
                </c:pt>
                <c:pt idx="21">
                  <c:v>19297</c:v>
                </c:pt>
                <c:pt idx="22">
                  <c:v>8335</c:v>
                </c:pt>
                <c:pt idx="23">
                  <c:v>9187</c:v>
                </c:pt>
                <c:pt idx="24">
                  <c:v>6805</c:v>
                </c:pt>
                <c:pt idx="25">
                  <c:v>5170</c:v>
                </c:pt>
                <c:pt idx="26">
                  <c:v>14521</c:v>
                </c:pt>
                <c:pt idx="27">
                  <c:v>15547</c:v>
                </c:pt>
                <c:pt idx="28">
                  <c:v>29111</c:v>
                </c:pt>
                <c:pt idx="29">
                  <c:v>9611</c:v>
                </c:pt>
                <c:pt idx="30">
                  <c:v>9611</c:v>
                </c:pt>
                <c:pt idx="31">
                  <c:v>13255</c:v>
                </c:pt>
                <c:pt idx="32">
                  <c:v>9641</c:v>
                </c:pt>
                <c:pt idx="33">
                  <c:v>15473</c:v>
                </c:pt>
                <c:pt idx="34">
                  <c:v>15221</c:v>
                </c:pt>
                <c:pt idx="35">
                  <c:v>13223</c:v>
                </c:pt>
                <c:pt idx="36">
                  <c:v>18425</c:v>
                </c:pt>
              </c:numCache>
            </c:numRef>
          </c:val>
        </c:ser>
        <c:ser>
          <c:idx val="1"/>
          <c:order val="1"/>
          <c:tx>
            <c:strRef>
              <c:f>BE0101N1!$F$3</c:f>
              <c:strCache>
                <c:ptCount val="1"/>
                <c:pt idx="0">
                  <c:v>2014</c:v>
                </c:pt>
              </c:strCache>
            </c:strRef>
          </c:tx>
          <c:invertIfNegative val="0"/>
          <c:cat>
            <c:strRef>
              <c:f>BE0101N1!$D$4:$D$40</c:f>
              <c:strCache>
                <c:ptCount val="37"/>
                <c:pt idx="0">
                  <c:v>Arjeplog</c:v>
                </c:pt>
                <c:pt idx="1">
                  <c:v>Åsele</c:v>
                </c:pt>
                <c:pt idx="2">
                  <c:v>Sorsele</c:v>
                </c:pt>
                <c:pt idx="3">
                  <c:v>Bräcke</c:v>
                </c:pt>
                <c:pt idx="4">
                  <c:v>Ånge</c:v>
                </c:pt>
                <c:pt idx="5">
                  <c:v>Överkalix</c:v>
                </c:pt>
                <c:pt idx="6">
                  <c:v>Hagfors</c:v>
                </c:pt>
                <c:pt idx="7">
                  <c:v>Hällefors</c:v>
                </c:pt>
                <c:pt idx="8">
                  <c:v>Berg</c:v>
                </c:pt>
                <c:pt idx="9">
                  <c:v>Malung-Sälen</c:v>
                </c:pt>
                <c:pt idx="10">
                  <c:v>Hofors</c:v>
                </c:pt>
                <c:pt idx="11">
                  <c:v>Munkfors</c:v>
                </c:pt>
                <c:pt idx="12">
                  <c:v>Haparanda</c:v>
                </c:pt>
                <c:pt idx="13">
                  <c:v>Ragunda</c:v>
                </c:pt>
                <c:pt idx="14">
                  <c:v>Kalix</c:v>
                </c:pt>
                <c:pt idx="15">
                  <c:v>Grästorp</c:v>
                </c:pt>
                <c:pt idx="16">
                  <c:v>Kramfors</c:v>
                </c:pt>
                <c:pt idx="17">
                  <c:v>Bengtsfors</c:v>
                </c:pt>
                <c:pt idx="18">
                  <c:v>Härjedalen</c:v>
                </c:pt>
                <c:pt idx="19">
                  <c:v>Älvdalen</c:v>
                </c:pt>
                <c:pt idx="20">
                  <c:v>Övertorneå</c:v>
                </c:pt>
                <c:pt idx="21">
                  <c:v>Simrishamn</c:v>
                </c:pt>
                <c:pt idx="22">
                  <c:v>Älvsbyn</c:v>
                </c:pt>
                <c:pt idx="23">
                  <c:v>Emmaboda</c:v>
                </c:pt>
                <c:pt idx="24">
                  <c:v>Vansbro</c:v>
                </c:pt>
                <c:pt idx="25">
                  <c:v>Jokkmokk</c:v>
                </c:pt>
                <c:pt idx="26">
                  <c:v>Lysekil</c:v>
                </c:pt>
                <c:pt idx="27">
                  <c:v>Säffle</c:v>
                </c:pt>
                <c:pt idx="28">
                  <c:v>Gislaved</c:v>
                </c:pt>
                <c:pt idx="29">
                  <c:v>Nordanstig</c:v>
                </c:pt>
                <c:pt idx="30">
                  <c:v>Nordanstig</c:v>
                </c:pt>
                <c:pt idx="31">
                  <c:v>Sunne</c:v>
                </c:pt>
                <c:pt idx="32">
                  <c:v>Degerfors</c:v>
                </c:pt>
                <c:pt idx="33">
                  <c:v>Vimmerby</c:v>
                </c:pt>
                <c:pt idx="34">
                  <c:v>Orust</c:v>
                </c:pt>
                <c:pt idx="35">
                  <c:v>Götene</c:v>
                </c:pt>
                <c:pt idx="36">
                  <c:v>Gällivare</c:v>
                </c:pt>
              </c:strCache>
            </c:strRef>
          </c:cat>
          <c:val>
            <c:numRef>
              <c:f>BE0101N1!$F$4:$F$40</c:f>
              <c:numCache>
                <c:formatCode>General</c:formatCode>
                <c:ptCount val="37"/>
                <c:pt idx="0">
                  <c:v>2907</c:v>
                </c:pt>
                <c:pt idx="1">
                  <c:v>2838</c:v>
                </c:pt>
                <c:pt idx="2">
                  <c:v>2565</c:v>
                </c:pt>
                <c:pt idx="3">
                  <c:v>6463</c:v>
                </c:pt>
                <c:pt idx="4">
                  <c:v>9484</c:v>
                </c:pt>
                <c:pt idx="5">
                  <c:v>3409</c:v>
                </c:pt>
                <c:pt idx="6">
                  <c:v>11921</c:v>
                </c:pt>
                <c:pt idx="7">
                  <c:v>6936</c:v>
                </c:pt>
                <c:pt idx="8">
                  <c:v>7067</c:v>
                </c:pt>
                <c:pt idx="9">
                  <c:v>9969</c:v>
                </c:pt>
                <c:pt idx="10">
                  <c:v>9431</c:v>
                </c:pt>
                <c:pt idx="11">
                  <c:v>3656</c:v>
                </c:pt>
                <c:pt idx="12">
                  <c:v>9776</c:v>
                </c:pt>
                <c:pt idx="13">
                  <c:v>5440</c:v>
                </c:pt>
                <c:pt idx="14">
                  <c:v>16307</c:v>
                </c:pt>
                <c:pt idx="15">
                  <c:v>5630</c:v>
                </c:pt>
                <c:pt idx="16">
                  <c:v>18435</c:v>
                </c:pt>
                <c:pt idx="17">
                  <c:v>9556</c:v>
                </c:pt>
                <c:pt idx="18">
                  <c:v>10224</c:v>
                </c:pt>
                <c:pt idx="19">
                  <c:v>7052</c:v>
                </c:pt>
                <c:pt idx="20">
                  <c:v>4711</c:v>
                </c:pt>
                <c:pt idx="21">
                  <c:v>18905</c:v>
                </c:pt>
                <c:pt idx="22">
                  <c:v>8171</c:v>
                </c:pt>
                <c:pt idx="23">
                  <c:v>9009</c:v>
                </c:pt>
                <c:pt idx="24">
                  <c:v>6694</c:v>
                </c:pt>
                <c:pt idx="25">
                  <c:v>5086</c:v>
                </c:pt>
                <c:pt idx="26">
                  <c:v>14299</c:v>
                </c:pt>
                <c:pt idx="27">
                  <c:v>15334</c:v>
                </c:pt>
                <c:pt idx="28">
                  <c:v>28737</c:v>
                </c:pt>
                <c:pt idx="29">
                  <c:v>9493</c:v>
                </c:pt>
                <c:pt idx="30">
                  <c:v>9493</c:v>
                </c:pt>
                <c:pt idx="31">
                  <c:v>13099</c:v>
                </c:pt>
                <c:pt idx="32">
                  <c:v>9531</c:v>
                </c:pt>
                <c:pt idx="33">
                  <c:v>15297</c:v>
                </c:pt>
                <c:pt idx="34">
                  <c:v>15054</c:v>
                </c:pt>
                <c:pt idx="35">
                  <c:v>13080</c:v>
                </c:pt>
                <c:pt idx="36">
                  <c:v>18231</c:v>
                </c:pt>
              </c:numCache>
            </c:numRef>
          </c:val>
        </c:ser>
        <c:dLbls>
          <c:showLegendKey val="0"/>
          <c:showVal val="0"/>
          <c:showCatName val="0"/>
          <c:showSerName val="0"/>
          <c:showPercent val="0"/>
          <c:showBubbleSize val="0"/>
        </c:dLbls>
        <c:gapWidth val="150"/>
        <c:axId val="356432128"/>
        <c:axId val="356442112"/>
      </c:barChart>
      <c:scatterChart>
        <c:scatterStyle val="lineMarker"/>
        <c:varyColors val="0"/>
        <c:ser>
          <c:idx val="2"/>
          <c:order val="2"/>
          <c:tx>
            <c:strRef>
              <c:f>BE0101N1!$G$3</c:f>
              <c:strCache>
                <c:ptCount val="1"/>
                <c:pt idx="0">
                  <c:v>Förändring</c:v>
                </c:pt>
              </c:strCache>
            </c:strRef>
          </c:tx>
          <c:spPr>
            <a:ln w="28575">
              <a:noFill/>
            </a:ln>
          </c:spPr>
          <c:xVal>
            <c:strRef>
              <c:f>BE0101N1!$D$4:$D$40</c:f>
              <c:strCache>
                <c:ptCount val="37"/>
                <c:pt idx="0">
                  <c:v>Arjeplog</c:v>
                </c:pt>
                <c:pt idx="1">
                  <c:v>Åsele</c:v>
                </c:pt>
                <c:pt idx="2">
                  <c:v>Sorsele</c:v>
                </c:pt>
                <c:pt idx="3">
                  <c:v>Bräcke</c:v>
                </c:pt>
                <c:pt idx="4">
                  <c:v>Ånge</c:v>
                </c:pt>
                <c:pt idx="5">
                  <c:v>Överkalix</c:v>
                </c:pt>
                <c:pt idx="6">
                  <c:v>Hagfors</c:v>
                </c:pt>
                <c:pt idx="7">
                  <c:v>Hällefors</c:v>
                </c:pt>
                <c:pt idx="8">
                  <c:v>Berg</c:v>
                </c:pt>
                <c:pt idx="9">
                  <c:v>Malung-Sälen</c:v>
                </c:pt>
                <c:pt idx="10">
                  <c:v>Hofors</c:v>
                </c:pt>
                <c:pt idx="11">
                  <c:v>Munkfors</c:v>
                </c:pt>
                <c:pt idx="12">
                  <c:v>Haparanda</c:v>
                </c:pt>
                <c:pt idx="13">
                  <c:v>Ragunda</c:v>
                </c:pt>
                <c:pt idx="14">
                  <c:v>Kalix</c:v>
                </c:pt>
                <c:pt idx="15">
                  <c:v>Grästorp</c:v>
                </c:pt>
                <c:pt idx="16">
                  <c:v>Kramfors</c:v>
                </c:pt>
                <c:pt idx="17">
                  <c:v>Bengtsfors</c:v>
                </c:pt>
                <c:pt idx="18">
                  <c:v>Härjedalen</c:v>
                </c:pt>
                <c:pt idx="19">
                  <c:v>Älvdalen</c:v>
                </c:pt>
                <c:pt idx="20">
                  <c:v>Övertorneå</c:v>
                </c:pt>
                <c:pt idx="21">
                  <c:v>Simrishamn</c:v>
                </c:pt>
                <c:pt idx="22">
                  <c:v>Älvsbyn</c:v>
                </c:pt>
                <c:pt idx="23">
                  <c:v>Emmaboda</c:v>
                </c:pt>
                <c:pt idx="24">
                  <c:v>Vansbro</c:v>
                </c:pt>
                <c:pt idx="25">
                  <c:v>Jokkmokk</c:v>
                </c:pt>
                <c:pt idx="26">
                  <c:v>Lysekil</c:v>
                </c:pt>
                <c:pt idx="27">
                  <c:v>Säffle</c:v>
                </c:pt>
                <c:pt idx="28">
                  <c:v>Gislaved</c:v>
                </c:pt>
                <c:pt idx="29">
                  <c:v>Nordanstig</c:v>
                </c:pt>
                <c:pt idx="30">
                  <c:v>Nordanstig</c:v>
                </c:pt>
                <c:pt idx="31">
                  <c:v>Sunne</c:v>
                </c:pt>
                <c:pt idx="32">
                  <c:v>Degerfors</c:v>
                </c:pt>
                <c:pt idx="33">
                  <c:v>Vimmerby</c:v>
                </c:pt>
                <c:pt idx="34">
                  <c:v>Orust</c:v>
                </c:pt>
                <c:pt idx="35">
                  <c:v>Götene</c:v>
                </c:pt>
                <c:pt idx="36">
                  <c:v>Gällivare</c:v>
                </c:pt>
              </c:strCache>
            </c:strRef>
          </c:xVal>
          <c:yVal>
            <c:numRef>
              <c:f>BE0101N1!$G$4:$G$40</c:f>
              <c:numCache>
                <c:formatCode>0.0%</c:formatCode>
                <c:ptCount val="37"/>
                <c:pt idx="0">
                  <c:v>-8.0354318253717208E-2</c:v>
                </c:pt>
                <c:pt idx="1">
                  <c:v>-6.6140177690029597E-2</c:v>
                </c:pt>
                <c:pt idx="2">
                  <c:v>-6.25E-2</c:v>
                </c:pt>
                <c:pt idx="3">
                  <c:v>-6.1292665214233856E-2</c:v>
                </c:pt>
                <c:pt idx="4">
                  <c:v>-5.6600019894558838E-2</c:v>
                </c:pt>
                <c:pt idx="5">
                  <c:v>-5.5940182774854595E-2</c:v>
                </c:pt>
                <c:pt idx="6">
                  <c:v>-4.4791666666666681E-2</c:v>
                </c:pt>
                <c:pt idx="7">
                  <c:v>-3.9335180055401667E-2</c:v>
                </c:pt>
                <c:pt idx="8">
                  <c:v>-3.8764961915125136E-2</c:v>
                </c:pt>
                <c:pt idx="9">
                  <c:v>-3.7369640787949021E-2</c:v>
                </c:pt>
                <c:pt idx="10">
                  <c:v>-3.1824248023816865E-2</c:v>
                </c:pt>
                <c:pt idx="11">
                  <c:v>-3.0495889684433845E-2</c:v>
                </c:pt>
                <c:pt idx="12">
                  <c:v>-2.8134009344865291E-2</c:v>
                </c:pt>
                <c:pt idx="13">
                  <c:v>-2.6833631484794285E-2</c:v>
                </c:pt>
                <c:pt idx="14">
                  <c:v>-2.5866188769414579E-2</c:v>
                </c:pt>
                <c:pt idx="15">
                  <c:v>-2.5277008310249316E-2</c:v>
                </c:pt>
                <c:pt idx="16">
                  <c:v>-2.5170535667072079E-2</c:v>
                </c:pt>
                <c:pt idx="17">
                  <c:v>-2.4001634153814736E-2</c:v>
                </c:pt>
                <c:pt idx="18">
                  <c:v>-2.2001147885976673E-2</c:v>
                </c:pt>
                <c:pt idx="19">
                  <c:v>-2.1506868322464276E-2</c:v>
                </c:pt>
                <c:pt idx="20">
                  <c:v>-2.0989193682460522E-2</c:v>
                </c:pt>
                <c:pt idx="21">
                  <c:v>-2.0314038451572782E-2</c:v>
                </c:pt>
                <c:pt idx="22">
                  <c:v>-1.9676064787042594E-2</c:v>
                </c:pt>
                <c:pt idx="23">
                  <c:v>-1.9375204092739743E-2</c:v>
                </c:pt>
                <c:pt idx="24">
                  <c:v>-1.6311535635562095E-2</c:v>
                </c:pt>
                <c:pt idx="25">
                  <c:v>-1.6247582205029018E-2</c:v>
                </c:pt>
                <c:pt idx="26">
                  <c:v>-1.5288203291784314E-2</c:v>
                </c:pt>
                <c:pt idx="27">
                  <c:v>-1.3700392358654405E-2</c:v>
                </c:pt>
                <c:pt idx="28">
                  <c:v>-1.2847377280065958E-2</c:v>
                </c:pt>
                <c:pt idx="29">
                  <c:v>-1.2277598584954738E-2</c:v>
                </c:pt>
                <c:pt idx="30">
                  <c:v>-1.2277598584954738E-2</c:v>
                </c:pt>
                <c:pt idx="31">
                  <c:v>-1.1769143719351191E-2</c:v>
                </c:pt>
                <c:pt idx="32">
                  <c:v>-1.1409604812778761E-2</c:v>
                </c:pt>
                <c:pt idx="33">
                  <c:v>-1.1374652620694111E-2</c:v>
                </c:pt>
                <c:pt idx="34">
                  <c:v>-1.0971683857827999E-2</c:v>
                </c:pt>
                <c:pt idx="35">
                  <c:v>-1.0814489903955232E-2</c:v>
                </c:pt>
                <c:pt idx="36">
                  <c:v>-1.0529172320217101E-2</c:v>
                </c:pt>
              </c:numCache>
            </c:numRef>
          </c:yVal>
          <c:smooth val="0"/>
        </c:ser>
        <c:dLbls>
          <c:showLegendKey val="0"/>
          <c:showVal val="0"/>
          <c:showCatName val="0"/>
          <c:showSerName val="0"/>
          <c:showPercent val="0"/>
          <c:showBubbleSize val="0"/>
        </c:dLbls>
        <c:axId val="356445184"/>
        <c:axId val="356443648"/>
      </c:scatterChart>
      <c:catAx>
        <c:axId val="356432128"/>
        <c:scaling>
          <c:orientation val="minMax"/>
        </c:scaling>
        <c:delete val="0"/>
        <c:axPos val="b"/>
        <c:majorTickMark val="out"/>
        <c:minorTickMark val="none"/>
        <c:tickLblPos val="nextTo"/>
        <c:txPr>
          <a:bodyPr/>
          <a:lstStyle/>
          <a:p>
            <a:pPr>
              <a:defRPr sz="800"/>
            </a:pPr>
            <a:endParaRPr lang="sv-SE"/>
          </a:p>
        </c:txPr>
        <c:crossAx val="356442112"/>
        <c:crosses val="autoZero"/>
        <c:auto val="1"/>
        <c:lblAlgn val="ctr"/>
        <c:lblOffset val="100"/>
        <c:noMultiLvlLbl val="0"/>
      </c:catAx>
      <c:valAx>
        <c:axId val="356442112"/>
        <c:scaling>
          <c:orientation val="minMax"/>
        </c:scaling>
        <c:delete val="0"/>
        <c:axPos val="l"/>
        <c:majorGridlines/>
        <c:numFmt formatCode="#,##0" sourceLinked="0"/>
        <c:majorTickMark val="out"/>
        <c:minorTickMark val="none"/>
        <c:tickLblPos val="nextTo"/>
        <c:crossAx val="356432128"/>
        <c:crosses val="autoZero"/>
        <c:crossBetween val="between"/>
      </c:valAx>
      <c:valAx>
        <c:axId val="356443648"/>
        <c:scaling>
          <c:orientation val="maxMin"/>
        </c:scaling>
        <c:delete val="0"/>
        <c:axPos val="r"/>
        <c:numFmt formatCode="0.0%" sourceLinked="1"/>
        <c:majorTickMark val="out"/>
        <c:minorTickMark val="none"/>
        <c:tickLblPos val="nextTo"/>
        <c:crossAx val="356445184"/>
        <c:crosses val="max"/>
        <c:crossBetween val="midCat"/>
      </c:valAx>
      <c:valAx>
        <c:axId val="356445184"/>
        <c:scaling>
          <c:orientation val="minMax"/>
        </c:scaling>
        <c:delete val="1"/>
        <c:axPos val="t"/>
        <c:majorTickMark val="out"/>
        <c:minorTickMark val="none"/>
        <c:tickLblPos val="none"/>
        <c:crossAx val="356443648"/>
        <c:crosses val="autoZero"/>
        <c:crossBetween val="midCat"/>
      </c:valAx>
    </c:plotArea>
    <c:legend>
      <c:legendPos val="b"/>
      <c:overlay val="0"/>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'Price dialogue'!$E$12</c:f>
              <c:strCache>
                <c:ptCount val="1"/>
                <c:pt idx="0">
                  <c:v>Procent av marknadens omsättning</c:v>
                </c:pt>
              </c:strCache>
            </c:strRef>
          </c:tx>
          <c:invertIfNegative val="0"/>
          <c:dPt>
            <c:idx val="3"/>
            <c:invertIfNegative val="1"/>
            <c:bubble3D val="0"/>
            <c:spPr>
              <a:pattFill prst="pct60">
                <a:fgClr>
                  <a:schemeClr val="accent1"/>
                </a:fgClr>
                <a:bgClr>
                  <a:schemeClr val="bg1"/>
                </a:bgClr>
              </a:pattFill>
            </c:spPr>
          </c:dPt>
          <c:cat>
            <c:numRef>
              <c:f>'Price dialogue'!$F$11:$I$11</c:f>
              <c:numCache>
                <c:formatCode>General</c:formatCode>
                <c:ptCount val="4"/>
                <c:pt idx="0">
                  <c:v>2013</c:v>
                </c:pt>
                <c:pt idx="1">
                  <c:v>2014</c:v>
                </c:pt>
                <c:pt idx="2">
                  <c:v>2015</c:v>
                </c:pt>
                <c:pt idx="3">
                  <c:v>2016</c:v>
                </c:pt>
              </c:numCache>
            </c:numRef>
          </c:cat>
          <c:val>
            <c:numRef>
              <c:f>'Price dialogue'!$F$12:$I$12</c:f>
              <c:numCache>
                <c:formatCode>General</c:formatCode>
                <c:ptCount val="4"/>
                <c:pt idx="0">
                  <c:v>4</c:v>
                </c:pt>
                <c:pt idx="1">
                  <c:v>15</c:v>
                </c:pt>
                <c:pt idx="2">
                  <c:v>50</c:v>
                </c:pt>
                <c:pt idx="3">
                  <c:v>57</c:v>
                </c:pt>
              </c:numCache>
            </c:numRef>
          </c:val>
        </c:ser>
        <c:ser>
          <c:idx val="1"/>
          <c:order val="1"/>
          <c:tx>
            <c:strRef>
              <c:f>'Price dialogue'!$E$13</c:f>
              <c:strCache>
                <c:ptCount val="1"/>
                <c:pt idx="0">
                  <c:v>Antal medlemmar</c:v>
                </c:pt>
              </c:strCache>
            </c:strRef>
          </c:tx>
          <c:invertIfNegative val="0"/>
          <c:dPt>
            <c:idx val="3"/>
            <c:invertIfNegative val="0"/>
            <c:bubble3D val="0"/>
            <c:spPr>
              <a:pattFill prst="pct70">
                <a:fgClr>
                  <a:schemeClr val="accent2"/>
                </a:fgClr>
                <a:bgClr>
                  <a:schemeClr val="bg1"/>
                </a:bgClr>
              </a:pattFill>
            </c:spPr>
          </c:dPt>
          <c:cat>
            <c:numRef>
              <c:f>'Price dialogue'!$F$11:$I$11</c:f>
              <c:numCache>
                <c:formatCode>General</c:formatCode>
                <c:ptCount val="4"/>
                <c:pt idx="0">
                  <c:v>2013</c:v>
                </c:pt>
                <c:pt idx="1">
                  <c:v>2014</c:v>
                </c:pt>
                <c:pt idx="2">
                  <c:v>2015</c:v>
                </c:pt>
                <c:pt idx="3">
                  <c:v>2016</c:v>
                </c:pt>
              </c:numCache>
            </c:numRef>
          </c:cat>
          <c:val>
            <c:numRef>
              <c:f>'Price dialogue'!$F$13:$I$13</c:f>
              <c:numCache>
                <c:formatCode>General</c:formatCode>
                <c:ptCount val="4"/>
                <c:pt idx="0">
                  <c:v>3</c:v>
                </c:pt>
                <c:pt idx="1">
                  <c:v>10</c:v>
                </c:pt>
                <c:pt idx="2">
                  <c:v>23</c:v>
                </c:pt>
                <c:pt idx="3">
                  <c:v>33</c:v>
                </c:pt>
              </c:numCache>
            </c:numRef>
          </c:val>
        </c:ser>
        <c:dLbls>
          <c:showLegendKey val="0"/>
          <c:showVal val="0"/>
          <c:showCatName val="0"/>
          <c:showSerName val="0"/>
          <c:showPercent val="0"/>
          <c:showBubbleSize val="0"/>
        </c:dLbls>
        <c:gapWidth val="150"/>
        <c:axId val="356475264"/>
        <c:axId val="356476800"/>
      </c:barChart>
      <c:catAx>
        <c:axId val="356475264"/>
        <c:scaling>
          <c:orientation val="minMax"/>
        </c:scaling>
        <c:delete val="0"/>
        <c:axPos val="b"/>
        <c:numFmt formatCode="General" sourceLinked="1"/>
        <c:majorTickMark val="out"/>
        <c:minorTickMark val="none"/>
        <c:tickLblPos val="nextTo"/>
        <c:crossAx val="356476800"/>
        <c:crosses val="autoZero"/>
        <c:auto val="1"/>
        <c:lblAlgn val="ctr"/>
        <c:lblOffset val="100"/>
        <c:noMultiLvlLbl val="0"/>
      </c:catAx>
      <c:valAx>
        <c:axId val="356476800"/>
        <c:scaling>
          <c:orientation val="minMax"/>
        </c:scaling>
        <c:delete val="0"/>
        <c:axPos val="l"/>
        <c:majorGridlines/>
        <c:title>
          <c:tx>
            <c:rich>
              <a:bodyPr rot="-5400000" vert="horz"/>
              <a:lstStyle/>
              <a:p>
                <a:pPr>
                  <a:defRPr/>
                </a:pPr>
                <a:r>
                  <a:rPr lang="sv-SE"/>
                  <a:t>Procent</a:t>
                </a:r>
              </a:p>
            </c:rich>
          </c:tx>
          <c:overlay val="0"/>
        </c:title>
        <c:numFmt formatCode="General" sourceLinked="1"/>
        <c:majorTickMark val="out"/>
        <c:minorTickMark val="none"/>
        <c:tickLblPos val="nextTo"/>
        <c:crossAx val="356475264"/>
        <c:crosses val="autoZero"/>
        <c:crossBetween val="between"/>
      </c:valAx>
    </c:plotArea>
    <c:legend>
      <c:legendPos val="b"/>
      <c:overlay val="0"/>
    </c:legend>
    <c:plotVisOnly val="1"/>
    <c:dispBlanksAs val="gap"/>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Blad1!$H$9</c:f>
              <c:strCache>
                <c:ptCount val="1"/>
                <c:pt idx="0">
                  <c:v>Maxtid </c:v>
                </c:pt>
              </c:strCache>
            </c:strRef>
          </c:tx>
          <c:invertIfNegative val="0"/>
          <c:dLbls>
            <c:dLbl>
              <c:idx val="0"/>
              <c:layout>
                <c:manualLayout>
                  <c:x val="3.7308888755950197E-2"/>
                  <c:y val="-3.3228997100161174E-2"/>
                </c:manualLayout>
              </c:layout>
              <c:showLegendKey val="0"/>
              <c:showVal val="1"/>
              <c:showCatName val="0"/>
              <c:showSerName val="0"/>
              <c:showPercent val="0"/>
              <c:showBubbleSize val="0"/>
            </c:dLbl>
            <c:dLbl>
              <c:idx val="1"/>
              <c:layout>
                <c:manualLayout>
                  <c:x val="1.6958585798159179E-2"/>
                  <c:y val="-2.3004690300111583E-2"/>
                </c:manualLayout>
              </c:layout>
              <c:showLegendKey val="0"/>
              <c:showVal val="1"/>
              <c:showCatName val="0"/>
              <c:showSerName val="0"/>
              <c:showPercent val="0"/>
              <c:showBubbleSize val="0"/>
            </c:dLbl>
            <c:txPr>
              <a:bodyPr/>
              <a:lstStyle/>
              <a:p>
                <a:pPr>
                  <a:defRPr sz="1800"/>
                </a:pPr>
                <a:endParaRPr lang="sv-SE"/>
              </a:p>
            </c:txPr>
            <c:showLegendKey val="0"/>
            <c:showVal val="1"/>
            <c:showCatName val="0"/>
            <c:showSerName val="0"/>
            <c:showPercent val="0"/>
            <c:showBubbleSize val="0"/>
            <c:showLeaderLines val="0"/>
          </c:dLbls>
          <c:cat>
            <c:strRef>
              <c:f>Blad1!$G$10:$G$11</c:f>
              <c:strCache>
                <c:ptCount val="2"/>
                <c:pt idx="0">
                  <c:v>Produktionen</c:v>
                </c:pt>
                <c:pt idx="1">
                  <c:v>Distributionen</c:v>
                </c:pt>
              </c:strCache>
            </c:strRef>
          </c:cat>
          <c:val>
            <c:numRef>
              <c:f>Blad1!$H$10:$H$11</c:f>
              <c:numCache>
                <c:formatCode>General</c:formatCode>
                <c:ptCount val="2"/>
                <c:pt idx="0">
                  <c:v>35</c:v>
                </c:pt>
                <c:pt idx="1">
                  <c:v>64</c:v>
                </c:pt>
              </c:numCache>
            </c:numRef>
          </c:val>
        </c:ser>
        <c:ser>
          <c:idx val="1"/>
          <c:order val="1"/>
          <c:tx>
            <c:strRef>
              <c:f>Blad1!$I$9</c:f>
              <c:strCache>
                <c:ptCount val="1"/>
                <c:pt idx="0">
                  <c:v>Medeltid</c:v>
                </c:pt>
              </c:strCache>
            </c:strRef>
          </c:tx>
          <c:invertIfNegative val="0"/>
          <c:dLbls>
            <c:dLbl>
              <c:idx val="0"/>
              <c:layout>
                <c:manualLayout>
                  <c:x val="3.3917171596318359E-2"/>
                  <c:y val="-2.9108681966093945E-2"/>
                </c:manualLayout>
              </c:layout>
              <c:showLegendKey val="0"/>
              <c:showVal val="1"/>
              <c:showCatName val="0"/>
              <c:showSerName val="0"/>
              <c:showPercent val="0"/>
              <c:showBubbleSize val="0"/>
            </c:dLbl>
            <c:dLbl>
              <c:idx val="1"/>
              <c:layout>
                <c:manualLayout>
                  <c:x val="3.5613030176134278E-2"/>
                  <c:y val="-3.8341150500185966E-2"/>
                </c:manualLayout>
              </c:layout>
              <c:showLegendKey val="0"/>
              <c:showVal val="1"/>
              <c:showCatName val="0"/>
              <c:showSerName val="0"/>
              <c:showPercent val="0"/>
              <c:showBubbleSize val="0"/>
            </c:dLbl>
            <c:txPr>
              <a:bodyPr/>
              <a:lstStyle/>
              <a:p>
                <a:pPr>
                  <a:defRPr sz="1800"/>
                </a:pPr>
                <a:endParaRPr lang="sv-SE"/>
              </a:p>
            </c:txPr>
            <c:showLegendKey val="0"/>
            <c:showVal val="1"/>
            <c:showCatName val="0"/>
            <c:showSerName val="0"/>
            <c:showPercent val="0"/>
            <c:showBubbleSize val="0"/>
            <c:showLeaderLines val="0"/>
          </c:dLbls>
          <c:cat>
            <c:strRef>
              <c:f>Blad1!$G$10:$G$11</c:f>
              <c:strCache>
                <c:ptCount val="2"/>
                <c:pt idx="0">
                  <c:v>Produktionen</c:v>
                </c:pt>
                <c:pt idx="1">
                  <c:v>Distributionen</c:v>
                </c:pt>
              </c:strCache>
            </c:strRef>
          </c:cat>
          <c:val>
            <c:numRef>
              <c:f>Blad1!$I$10:$I$11</c:f>
              <c:numCache>
                <c:formatCode>General</c:formatCode>
                <c:ptCount val="2"/>
                <c:pt idx="0">
                  <c:v>3.52</c:v>
                </c:pt>
                <c:pt idx="1">
                  <c:v>7.22</c:v>
                </c:pt>
              </c:numCache>
            </c:numRef>
          </c:val>
        </c:ser>
        <c:dLbls>
          <c:showLegendKey val="0"/>
          <c:showVal val="0"/>
          <c:showCatName val="0"/>
          <c:showSerName val="0"/>
          <c:showPercent val="0"/>
          <c:showBubbleSize val="0"/>
        </c:dLbls>
        <c:gapWidth val="150"/>
        <c:shape val="box"/>
        <c:axId val="356529280"/>
        <c:axId val="356530816"/>
        <c:axId val="0"/>
      </c:bar3DChart>
      <c:catAx>
        <c:axId val="356529280"/>
        <c:scaling>
          <c:orientation val="minMax"/>
        </c:scaling>
        <c:delete val="0"/>
        <c:axPos val="b"/>
        <c:majorTickMark val="out"/>
        <c:minorTickMark val="none"/>
        <c:tickLblPos val="nextTo"/>
        <c:txPr>
          <a:bodyPr/>
          <a:lstStyle/>
          <a:p>
            <a:pPr>
              <a:defRPr sz="1800"/>
            </a:pPr>
            <a:endParaRPr lang="sv-SE"/>
          </a:p>
        </c:txPr>
        <c:crossAx val="356530816"/>
        <c:crosses val="autoZero"/>
        <c:auto val="1"/>
        <c:lblAlgn val="ctr"/>
        <c:lblOffset val="100"/>
        <c:noMultiLvlLbl val="0"/>
      </c:catAx>
      <c:valAx>
        <c:axId val="356530816"/>
        <c:scaling>
          <c:orientation val="minMax"/>
        </c:scaling>
        <c:delete val="0"/>
        <c:axPos val="l"/>
        <c:majorGridlines/>
        <c:title>
          <c:tx>
            <c:rich>
              <a:bodyPr rot="-5400000" vert="horz"/>
              <a:lstStyle/>
              <a:p>
                <a:pPr>
                  <a:defRPr sz="1400"/>
                </a:pPr>
                <a:r>
                  <a:rPr lang="en-US" sz="1400"/>
                  <a:t>Timmar</a:t>
                </a:r>
              </a:p>
            </c:rich>
          </c:tx>
          <c:overlay val="0"/>
        </c:title>
        <c:numFmt formatCode="General" sourceLinked="1"/>
        <c:majorTickMark val="out"/>
        <c:minorTickMark val="none"/>
        <c:tickLblPos val="nextTo"/>
        <c:crossAx val="356529280"/>
        <c:crosses val="autoZero"/>
        <c:crossBetween val="between"/>
      </c:valAx>
    </c:plotArea>
    <c:legend>
      <c:legendPos val="r"/>
      <c:overlay val="0"/>
      <c:txPr>
        <a:bodyPr/>
        <a:lstStyle/>
        <a:p>
          <a:pPr>
            <a:defRPr sz="1600"/>
          </a:pPr>
          <a:endParaRPr lang="sv-SE"/>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DF983-4C50-43B7-AC5A-B48CFC57C4FB}">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 ds:uri="http://schemas.microsoft.com/sharepoint/v3"/>
    <ds:schemaRef ds:uri="http://purl.org/dc/dcmitype/"/>
  </ds:schemaRefs>
</ds:datastoreItem>
</file>

<file path=customXml/itemProps2.xml><?xml version="1.0" encoding="utf-8"?>
<ds:datastoreItem xmlns:ds="http://schemas.openxmlformats.org/officeDocument/2006/customXml" ds:itemID="{67A03C17-66CE-426C-B1EE-E1DFCB9685B2}">
  <ds:schemaRefs>
    <ds:schemaRef ds:uri="http://schemas.microsoft.com/sharepoint/v3/contenttype/forms"/>
  </ds:schemaRefs>
</ds:datastoreItem>
</file>

<file path=customXml/itemProps3.xml><?xml version="1.0" encoding="utf-8"?>
<ds:datastoreItem xmlns:ds="http://schemas.openxmlformats.org/officeDocument/2006/customXml" ds:itemID="{34DF9E79-FF68-4611-9BC7-BD58ECD07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4CEE0B-14A2-4F9F-BDCE-2AEE82304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Template>
  <TotalTime>0</TotalTime>
  <Pages>61</Pages>
  <Words>18280</Words>
  <Characters>96886</Characters>
  <Application>Microsoft Office Word</Application>
  <DocSecurity>4</DocSecurity>
  <Lines>807</Lines>
  <Paragraphs>229</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114937</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Lundqvist</dc:creator>
  <cp:lastModifiedBy>Marie Nilsson</cp:lastModifiedBy>
  <cp:revision>2</cp:revision>
  <cp:lastPrinted>2015-12-18T13:57:00Z</cp:lastPrinted>
  <dcterms:created xsi:type="dcterms:W3CDTF">2015-12-21T14:12:00Z</dcterms:created>
  <dcterms:modified xsi:type="dcterms:W3CDTF">2015-12-21T14:12:00Z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0x010100BFD038F19F9F0340A721FA52587D2005</vt:lpwstr>
  </property>
</Properties>
</file>