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2.xml" ContentType="application/vnd.openxmlformats-officedocument.drawingml.chart+xml"/>
  <Override PartName="/word/theme/themeOverride11.xml" ContentType="application/vnd.openxmlformats-officedocument.themeOverrid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2.xml" ContentType="application/vnd.openxmlformats-officedocument.themeOverrid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3.xml" ContentType="application/vnd.openxmlformats-officedocument.themeOverrid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4.xml" ContentType="application/vnd.openxmlformats-officedocument.themeOverride+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lang w:val="en-GB"/>
        </w:rPr>
        <w:alias w:val="[Title]"/>
        <w:id w:val="1283225149"/>
        <w:placeholder>
          <w:docPart w:val="476137672BB54AE4B207912BEA6E57E3"/>
        </w:placeholder>
        <w:text/>
      </w:sdtPr>
      <w:sdtEndPr/>
      <w:sdtContent>
        <w:p w14:paraId="626DD848" w14:textId="52E86BB9" w:rsidR="0044710E" w:rsidRPr="008E2A7B" w:rsidRDefault="0044710E" w:rsidP="0044710E">
          <w:pPr>
            <w:pStyle w:val="Titel"/>
            <w:rPr>
              <w:lang w:val="en-GB"/>
            </w:rPr>
          </w:pPr>
          <w:r w:rsidRPr="008E2A7B">
            <w:rPr>
              <w:lang w:val="en-GB"/>
            </w:rPr>
            <w:t xml:space="preserve">Sweden’s </w:t>
          </w:r>
          <w:r w:rsidR="0059097C">
            <w:rPr>
              <w:lang w:val="en-GB"/>
            </w:rPr>
            <w:t xml:space="preserve">integrated </w:t>
          </w:r>
          <w:r w:rsidRPr="008E2A7B">
            <w:rPr>
              <w:lang w:val="en-GB"/>
            </w:rPr>
            <w:t>national energy and climate plan</w:t>
          </w:r>
        </w:p>
      </w:sdtContent>
    </w:sdt>
    <w:sdt>
      <w:sdtPr>
        <w:rPr>
          <w:lang w:val="en-GB"/>
        </w:rPr>
        <w:alias w:val="[Click here and type subtitle]"/>
        <w:id w:val="1767347153"/>
        <w:placeholder>
          <w:docPart w:val="16854AE2C1AE4156AFAA566BF088CA47"/>
        </w:placeholder>
        <w:text/>
      </w:sdtPr>
      <w:sdtEndPr/>
      <w:sdtContent>
        <w:p w14:paraId="2B0F1B53" w14:textId="77777777" w:rsidR="0044710E" w:rsidRPr="008E2A7B" w:rsidRDefault="0044710E" w:rsidP="0044710E">
          <w:pPr>
            <w:pStyle w:val="Undertitel"/>
            <w:rPr>
              <w:lang w:val="en-GB"/>
            </w:rPr>
          </w:pPr>
          <w:r w:rsidRPr="008E2A7B">
            <w:rPr>
              <w:lang w:val="en-GB"/>
            </w:rPr>
            <w:t>Draft 2018</w:t>
          </w:r>
        </w:p>
      </w:sdtContent>
    </w:sdt>
    <w:p w14:paraId="12CC32C3" w14:textId="77777777" w:rsidR="0044710E" w:rsidRPr="008E2A7B" w:rsidRDefault="0044710E" w:rsidP="0044710E">
      <w:pPr>
        <w:pStyle w:val="Brdtext"/>
        <w:rPr>
          <w:rFonts w:cstheme="minorHAnsi"/>
          <w:sz w:val="20"/>
          <w:lang w:val="en-GB"/>
        </w:rPr>
      </w:pPr>
      <w:r w:rsidRPr="008E2A7B">
        <w:rPr>
          <w:lang w:val="en-GB"/>
        </w:rPr>
        <w:br w:type="page"/>
      </w:r>
    </w:p>
    <w:p w14:paraId="13BD0E5F" w14:textId="77777777" w:rsidR="0044710E" w:rsidRPr="008E2A7B" w:rsidRDefault="0044710E" w:rsidP="0044710E">
      <w:pPr>
        <w:pStyle w:val="Orubrik"/>
        <w:rPr>
          <w:lang w:val="en-GB"/>
        </w:rPr>
      </w:pPr>
      <w:r w:rsidRPr="008E2A7B">
        <w:rPr>
          <w:lang w:val="en-GB"/>
        </w:rPr>
        <w:lastRenderedPageBreak/>
        <w:t>Content</w:t>
      </w:r>
    </w:p>
    <w:p w14:paraId="5741EA7C" w14:textId="668130D6" w:rsidR="00AB362D" w:rsidRDefault="0044710E">
      <w:pPr>
        <w:pStyle w:val="Innehll1"/>
        <w:tabs>
          <w:tab w:val="right" w:leader="dot" w:pos="6906"/>
        </w:tabs>
        <w:rPr>
          <w:rFonts w:asciiTheme="minorHAnsi" w:eastAsiaTheme="minorEastAsia" w:hAnsiTheme="minorHAnsi"/>
          <w:b w:val="0"/>
          <w:noProof/>
          <w:sz w:val="22"/>
          <w:lang w:eastAsia="sv-SE"/>
        </w:rPr>
      </w:pPr>
      <w:r w:rsidRPr="008E2A7B">
        <w:rPr>
          <w:rFonts w:ascii="Arial" w:hAnsi="Arial"/>
          <w:b w:val="0"/>
          <w:bCs/>
          <w:lang w:val="en-GB"/>
        </w:rPr>
        <w:fldChar w:fldCharType="begin"/>
      </w:r>
      <w:r w:rsidRPr="008E2A7B">
        <w:rPr>
          <w:b w:val="0"/>
          <w:bCs/>
          <w:lang w:val="en-GB"/>
        </w:rPr>
        <w:instrText xml:space="preserve"> TOC \o "1-2" \h \z \w </w:instrText>
      </w:r>
      <w:r w:rsidRPr="008E2A7B">
        <w:rPr>
          <w:rFonts w:ascii="Arial" w:hAnsi="Arial"/>
          <w:b w:val="0"/>
          <w:bCs/>
          <w:lang w:val="en-GB"/>
        </w:rPr>
        <w:fldChar w:fldCharType="separate"/>
      </w:r>
      <w:hyperlink w:anchor="_Toc499285536" w:history="1">
        <w:r w:rsidR="00AB362D" w:rsidRPr="002A08E0">
          <w:rPr>
            <w:rStyle w:val="Hyperlnk"/>
            <w:noProof/>
            <w:lang w:val="en-GB"/>
          </w:rPr>
          <w:t>1</w:t>
        </w:r>
        <w:r w:rsidR="00AB362D" w:rsidRPr="002A08E0">
          <w:rPr>
            <w:rStyle w:val="Hyperlnk"/>
            <w:noProof/>
            <w:lang w:val="en-GB"/>
          </w:rPr>
          <w:tab/>
          <w:t>Overview and process for establishing the plan</w:t>
        </w:r>
        <w:r w:rsidR="00AB362D">
          <w:rPr>
            <w:noProof/>
            <w:webHidden/>
          </w:rPr>
          <w:tab/>
        </w:r>
        <w:r w:rsidR="00AB362D">
          <w:rPr>
            <w:noProof/>
            <w:webHidden/>
          </w:rPr>
          <w:fldChar w:fldCharType="begin"/>
        </w:r>
        <w:r w:rsidR="00AB362D">
          <w:rPr>
            <w:noProof/>
            <w:webHidden/>
          </w:rPr>
          <w:instrText xml:space="preserve"> PAGEREF _Toc499285536 \h </w:instrText>
        </w:r>
        <w:r w:rsidR="00AB362D">
          <w:rPr>
            <w:noProof/>
            <w:webHidden/>
          </w:rPr>
        </w:r>
        <w:r w:rsidR="00AB362D">
          <w:rPr>
            <w:noProof/>
            <w:webHidden/>
          </w:rPr>
          <w:fldChar w:fldCharType="separate"/>
        </w:r>
        <w:r w:rsidR="00AB362D">
          <w:rPr>
            <w:noProof/>
            <w:webHidden/>
          </w:rPr>
          <w:t>5</w:t>
        </w:r>
        <w:r w:rsidR="00AB362D">
          <w:rPr>
            <w:noProof/>
            <w:webHidden/>
          </w:rPr>
          <w:fldChar w:fldCharType="end"/>
        </w:r>
      </w:hyperlink>
    </w:p>
    <w:p w14:paraId="16CD77B5" w14:textId="3FED06D6" w:rsidR="00AB362D" w:rsidRDefault="00A63255">
      <w:pPr>
        <w:pStyle w:val="Innehll2"/>
        <w:rPr>
          <w:rFonts w:eastAsiaTheme="minorEastAsia"/>
          <w:noProof/>
          <w:sz w:val="22"/>
          <w:lang w:eastAsia="sv-SE"/>
        </w:rPr>
      </w:pPr>
      <w:hyperlink w:anchor="_Toc499285537" w:history="1">
        <w:r w:rsidR="00AB362D" w:rsidRPr="002A08E0">
          <w:rPr>
            <w:rStyle w:val="Hyperlnk"/>
            <w:noProof/>
            <w:lang w:val="en-GB"/>
          </w:rPr>
          <w:t>1.1</w:t>
        </w:r>
        <w:r w:rsidR="00AB362D" w:rsidRPr="002A08E0">
          <w:rPr>
            <w:rStyle w:val="Hyperlnk"/>
            <w:noProof/>
            <w:lang w:val="en-GB"/>
          </w:rPr>
          <w:tab/>
          <w:t>Executive Summary</w:t>
        </w:r>
        <w:r w:rsidR="00AB362D">
          <w:rPr>
            <w:noProof/>
            <w:webHidden/>
          </w:rPr>
          <w:tab/>
        </w:r>
        <w:r w:rsidR="00AB362D">
          <w:rPr>
            <w:noProof/>
            <w:webHidden/>
          </w:rPr>
          <w:fldChar w:fldCharType="begin"/>
        </w:r>
        <w:r w:rsidR="00AB362D">
          <w:rPr>
            <w:noProof/>
            <w:webHidden/>
          </w:rPr>
          <w:instrText xml:space="preserve"> PAGEREF _Toc499285537 \h </w:instrText>
        </w:r>
        <w:r w:rsidR="00AB362D">
          <w:rPr>
            <w:noProof/>
            <w:webHidden/>
          </w:rPr>
        </w:r>
        <w:r w:rsidR="00AB362D">
          <w:rPr>
            <w:noProof/>
            <w:webHidden/>
          </w:rPr>
          <w:fldChar w:fldCharType="separate"/>
        </w:r>
        <w:r w:rsidR="00AB362D">
          <w:rPr>
            <w:noProof/>
            <w:webHidden/>
          </w:rPr>
          <w:t>5</w:t>
        </w:r>
        <w:r w:rsidR="00AB362D">
          <w:rPr>
            <w:noProof/>
            <w:webHidden/>
          </w:rPr>
          <w:fldChar w:fldCharType="end"/>
        </w:r>
      </w:hyperlink>
    </w:p>
    <w:p w14:paraId="63761A5E" w14:textId="7042A0A0" w:rsidR="00AB362D" w:rsidRDefault="00A63255">
      <w:pPr>
        <w:pStyle w:val="Innehll2"/>
        <w:rPr>
          <w:rFonts w:eastAsiaTheme="minorEastAsia"/>
          <w:noProof/>
          <w:sz w:val="22"/>
          <w:lang w:eastAsia="sv-SE"/>
        </w:rPr>
      </w:pPr>
      <w:hyperlink w:anchor="_Toc499285538" w:history="1">
        <w:r w:rsidR="00AB362D" w:rsidRPr="002A08E0">
          <w:rPr>
            <w:rStyle w:val="Hyperlnk"/>
            <w:noProof/>
            <w:lang w:val="en-GB"/>
          </w:rPr>
          <w:t>1.2</w:t>
        </w:r>
        <w:r w:rsidR="00AB362D" w:rsidRPr="002A08E0">
          <w:rPr>
            <w:rStyle w:val="Hyperlnk"/>
            <w:noProof/>
            <w:lang w:val="en-GB"/>
          </w:rPr>
          <w:tab/>
          <w:t>Overview of current policy situation</w:t>
        </w:r>
        <w:r w:rsidR="00AB362D">
          <w:rPr>
            <w:noProof/>
            <w:webHidden/>
          </w:rPr>
          <w:tab/>
        </w:r>
        <w:r w:rsidR="00AB362D">
          <w:rPr>
            <w:noProof/>
            <w:webHidden/>
          </w:rPr>
          <w:fldChar w:fldCharType="begin"/>
        </w:r>
        <w:r w:rsidR="00AB362D">
          <w:rPr>
            <w:noProof/>
            <w:webHidden/>
          </w:rPr>
          <w:instrText xml:space="preserve"> PAGEREF _Toc499285538 \h </w:instrText>
        </w:r>
        <w:r w:rsidR="00AB362D">
          <w:rPr>
            <w:noProof/>
            <w:webHidden/>
          </w:rPr>
        </w:r>
        <w:r w:rsidR="00AB362D">
          <w:rPr>
            <w:noProof/>
            <w:webHidden/>
          </w:rPr>
          <w:fldChar w:fldCharType="separate"/>
        </w:r>
        <w:r w:rsidR="00AB362D">
          <w:rPr>
            <w:noProof/>
            <w:webHidden/>
          </w:rPr>
          <w:t>5</w:t>
        </w:r>
        <w:r w:rsidR="00AB362D">
          <w:rPr>
            <w:noProof/>
            <w:webHidden/>
          </w:rPr>
          <w:fldChar w:fldCharType="end"/>
        </w:r>
      </w:hyperlink>
    </w:p>
    <w:p w14:paraId="44DE6A28" w14:textId="57292D38" w:rsidR="00AB362D" w:rsidRDefault="00A63255">
      <w:pPr>
        <w:pStyle w:val="Innehll2"/>
        <w:rPr>
          <w:rFonts w:eastAsiaTheme="minorEastAsia"/>
          <w:noProof/>
          <w:sz w:val="22"/>
          <w:lang w:eastAsia="sv-SE"/>
        </w:rPr>
      </w:pPr>
      <w:hyperlink w:anchor="_Toc499285539" w:history="1">
        <w:r w:rsidR="00AB362D" w:rsidRPr="002A08E0">
          <w:rPr>
            <w:rStyle w:val="Hyperlnk"/>
            <w:noProof/>
            <w:lang w:val="en-GB"/>
          </w:rPr>
          <w:t>1.3</w:t>
        </w:r>
        <w:r w:rsidR="00AB362D" w:rsidRPr="002A08E0">
          <w:rPr>
            <w:rStyle w:val="Hyperlnk"/>
            <w:noProof/>
            <w:lang w:val="en-GB"/>
          </w:rPr>
          <w:tab/>
          <w:t>Consultations and involvement of national and EU entities and their outcome</w:t>
        </w:r>
        <w:r w:rsidR="00AB362D">
          <w:rPr>
            <w:noProof/>
            <w:webHidden/>
          </w:rPr>
          <w:tab/>
        </w:r>
        <w:r w:rsidR="00AB362D">
          <w:rPr>
            <w:noProof/>
            <w:webHidden/>
          </w:rPr>
          <w:fldChar w:fldCharType="begin"/>
        </w:r>
        <w:r w:rsidR="00AB362D">
          <w:rPr>
            <w:noProof/>
            <w:webHidden/>
          </w:rPr>
          <w:instrText xml:space="preserve"> PAGEREF _Toc499285539 \h </w:instrText>
        </w:r>
        <w:r w:rsidR="00AB362D">
          <w:rPr>
            <w:noProof/>
            <w:webHidden/>
          </w:rPr>
        </w:r>
        <w:r w:rsidR="00AB362D">
          <w:rPr>
            <w:noProof/>
            <w:webHidden/>
          </w:rPr>
          <w:fldChar w:fldCharType="separate"/>
        </w:r>
        <w:r w:rsidR="00AB362D">
          <w:rPr>
            <w:noProof/>
            <w:webHidden/>
          </w:rPr>
          <w:t>7</w:t>
        </w:r>
        <w:r w:rsidR="00AB362D">
          <w:rPr>
            <w:noProof/>
            <w:webHidden/>
          </w:rPr>
          <w:fldChar w:fldCharType="end"/>
        </w:r>
      </w:hyperlink>
    </w:p>
    <w:p w14:paraId="239B4A7D" w14:textId="6819BE7B" w:rsidR="00AB362D" w:rsidRDefault="00A63255">
      <w:pPr>
        <w:pStyle w:val="Innehll2"/>
        <w:rPr>
          <w:rFonts w:eastAsiaTheme="minorEastAsia"/>
          <w:noProof/>
          <w:sz w:val="22"/>
          <w:lang w:eastAsia="sv-SE"/>
        </w:rPr>
      </w:pPr>
      <w:hyperlink w:anchor="_Toc499285540" w:history="1">
        <w:r w:rsidR="00AB362D" w:rsidRPr="002A08E0">
          <w:rPr>
            <w:rStyle w:val="Hyperlnk"/>
            <w:noProof/>
            <w:lang w:val="en-GB"/>
          </w:rPr>
          <w:t>1.4</w:t>
        </w:r>
        <w:r w:rsidR="00AB362D" w:rsidRPr="002A08E0">
          <w:rPr>
            <w:rStyle w:val="Hyperlnk"/>
            <w:noProof/>
            <w:lang w:val="en-GB"/>
          </w:rPr>
          <w:tab/>
          <w:t>Regional cooperation in preparing the plan</w:t>
        </w:r>
        <w:r w:rsidR="00AB362D">
          <w:rPr>
            <w:noProof/>
            <w:webHidden/>
          </w:rPr>
          <w:tab/>
        </w:r>
        <w:r w:rsidR="00AB362D">
          <w:rPr>
            <w:noProof/>
            <w:webHidden/>
          </w:rPr>
          <w:fldChar w:fldCharType="begin"/>
        </w:r>
        <w:r w:rsidR="00AB362D">
          <w:rPr>
            <w:noProof/>
            <w:webHidden/>
          </w:rPr>
          <w:instrText xml:space="preserve"> PAGEREF _Toc499285540 \h </w:instrText>
        </w:r>
        <w:r w:rsidR="00AB362D">
          <w:rPr>
            <w:noProof/>
            <w:webHidden/>
          </w:rPr>
        </w:r>
        <w:r w:rsidR="00AB362D">
          <w:rPr>
            <w:noProof/>
            <w:webHidden/>
          </w:rPr>
          <w:fldChar w:fldCharType="separate"/>
        </w:r>
        <w:r w:rsidR="00AB362D">
          <w:rPr>
            <w:noProof/>
            <w:webHidden/>
          </w:rPr>
          <w:t>7</w:t>
        </w:r>
        <w:r w:rsidR="00AB362D">
          <w:rPr>
            <w:noProof/>
            <w:webHidden/>
          </w:rPr>
          <w:fldChar w:fldCharType="end"/>
        </w:r>
      </w:hyperlink>
    </w:p>
    <w:p w14:paraId="17855B9A" w14:textId="52F3EC22" w:rsidR="00AB362D" w:rsidRDefault="00A63255">
      <w:pPr>
        <w:pStyle w:val="Innehll1"/>
        <w:tabs>
          <w:tab w:val="right" w:leader="dot" w:pos="6906"/>
        </w:tabs>
        <w:rPr>
          <w:rFonts w:asciiTheme="minorHAnsi" w:eastAsiaTheme="minorEastAsia" w:hAnsiTheme="minorHAnsi"/>
          <w:b w:val="0"/>
          <w:noProof/>
          <w:sz w:val="22"/>
          <w:lang w:eastAsia="sv-SE"/>
        </w:rPr>
      </w:pPr>
      <w:hyperlink w:anchor="_Toc499285541" w:history="1">
        <w:r w:rsidR="00AB362D" w:rsidRPr="002A08E0">
          <w:rPr>
            <w:rStyle w:val="Hyperlnk"/>
            <w:noProof/>
            <w:lang w:val="en-GB"/>
          </w:rPr>
          <w:t>2</w:t>
        </w:r>
        <w:r w:rsidR="00AB362D" w:rsidRPr="002A08E0">
          <w:rPr>
            <w:rStyle w:val="Hyperlnk"/>
            <w:noProof/>
            <w:lang w:val="en-GB"/>
          </w:rPr>
          <w:tab/>
          <w:t>National objectives and targets</w:t>
        </w:r>
        <w:r w:rsidR="00AB362D">
          <w:rPr>
            <w:noProof/>
            <w:webHidden/>
          </w:rPr>
          <w:tab/>
        </w:r>
        <w:r w:rsidR="00AB362D">
          <w:rPr>
            <w:noProof/>
            <w:webHidden/>
          </w:rPr>
          <w:fldChar w:fldCharType="begin"/>
        </w:r>
        <w:r w:rsidR="00AB362D">
          <w:rPr>
            <w:noProof/>
            <w:webHidden/>
          </w:rPr>
          <w:instrText xml:space="preserve"> PAGEREF _Toc499285541 \h </w:instrText>
        </w:r>
        <w:r w:rsidR="00AB362D">
          <w:rPr>
            <w:noProof/>
            <w:webHidden/>
          </w:rPr>
        </w:r>
        <w:r w:rsidR="00AB362D">
          <w:rPr>
            <w:noProof/>
            <w:webHidden/>
          </w:rPr>
          <w:fldChar w:fldCharType="separate"/>
        </w:r>
        <w:r w:rsidR="00AB362D">
          <w:rPr>
            <w:noProof/>
            <w:webHidden/>
          </w:rPr>
          <w:t>8</w:t>
        </w:r>
        <w:r w:rsidR="00AB362D">
          <w:rPr>
            <w:noProof/>
            <w:webHidden/>
          </w:rPr>
          <w:fldChar w:fldCharType="end"/>
        </w:r>
      </w:hyperlink>
    </w:p>
    <w:p w14:paraId="7217F3A4" w14:textId="0B771527" w:rsidR="00AB362D" w:rsidRDefault="00A63255">
      <w:pPr>
        <w:pStyle w:val="Innehll2"/>
        <w:rPr>
          <w:rFonts w:eastAsiaTheme="minorEastAsia"/>
          <w:noProof/>
          <w:sz w:val="22"/>
          <w:lang w:eastAsia="sv-SE"/>
        </w:rPr>
      </w:pPr>
      <w:hyperlink w:anchor="_Toc499285542" w:history="1">
        <w:r w:rsidR="00AB362D" w:rsidRPr="002A08E0">
          <w:rPr>
            <w:rStyle w:val="Hyperlnk"/>
            <w:noProof/>
            <w:lang w:val="en-GB"/>
          </w:rPr>
          <w:t>2.1</w:t>
        </w:r>
        <w:r w:rsidR="00AB362D" w:rsidRPr="002A08E0">
          <w:rPr>
            <w:rStyle w:val="Hyperlnk"/>
            <w:noProof/>
            <w:lang w:val="en-GB"/>
          </w:rPr>
          <w:tab/>
          <w:t>Dimension Decarbonisation</w:t>
        </w:r>
        <w:r w:rsidR="00AB362D">
          <w:rPr>
            <w:noProof/>
            <w:webHidden/>
          </w:rPr>
          <w:tab/>
        </w:r>
        <w:r w:rsidR="00AB362D">
          <w:rPr>
            <w:noProof/>
            <w:webHidden/>
          </w:rPr>
          <w:fldChar w:fldCharType="begin"/>
        </w:r>
        <w:r w:rsidR="00AB362D">
          <w:rPr>
            <w:noProof/>
            <w:webHidden/>
          </w:rPr>
          <w:instrText xml:space="preserve"> PAGEREF _Toc499285542 \h </w:instrText>
        </w:r>
        <w:r w:rsidR="00AB362D">
          <w:rPr>
            <w:noProof/>
            <w:webHidden/>
          </w:rPr>
        </w:r>
        <w:r w:rsidR="00AB362D">
          <w:rPr>
            <w:noProof/>
            <w:webHidden/>
          </w:rPr>
          <w:fldChar w:fldCharType="separate"/>
        </w:r>
        <w:r w:rsidR="00AB362D">
          <w:rPr>
            <w:noProof/>
            <w:webHidden/>
          </w:rPr>
          <w:t>8</w:t>
        </w:r>
        <w:r w:rsidR="00AB362D">
          <w:rPr>
            <w:noProof/>
            <w:webHidden/>
          </w:rPr>
          <w:fldChar w:fldCharType="end"/>
        </w:r>
      </w:hyperlink>
    </w:p>
    <w:p w14:paraId="1BEACC79" w14:textId="00E04089" w:rsidR="00AB362D" w:rsidRDefault="00A63255">
      <w:pPr>
        <w:pStyle w:val="Innehll2"/>
        <w:rPr>
          <w:rFonts w:eastAsiaTheme="minorEastAsia"/>
          <w:noProof/>
          <w:sz w:val="22"/>
          <w:lang w:eastAsia="sv-SE"/>
        </w:rPr>
      </w:pPr>
      <w:hyperlink w:anchor="_Toc499285543" w:history="1">
        <w:r w:rsidR="00AB362D" w:rsidRPr="002A08E0">
          <w:rPr>
            <w:rStyle w:val="Hyperlnk"/>
            <w:noProof/>
            <w:lang w:val="en-GB"/>
          </w:rPr>
          <w:t>2.2</w:t>
        </w:r>
        <w:r w:rsidR="00AB362D" w:rsidRPr="002A08E0">
          <w:rPr>
            <w:rStyle w:val="Hyperlnk"/>
            <w:noProof/>
            <w:lang w:val="en-GB"/>
          </w:rPr>
          <w:tab/>
          <w:t>Dimension Energy efficiency (2030 Framework target)</w:t>
        </w:r>
        <w:r w:rsidR="00AB362D">
          <w:rPr>
            <w:noProof/>
            <w:webHidden/>
          </w:rPr>
          <w:tab/>
        </w:r>
        <w:r w:rsidR="00AB362D">
          <w:rPr>
            <w:noProof/>
            <w:webHidden/>
          </w:rPr>
          <w:fldChar w:fldCharType="begin"/>
        </w:r>
        <w:r w:rsidR="00AB362D">
          <w:rPr>
            <w:noProof/>
            <w:webHidden/>
          </w:rPr>
          <w:instrText xml:space="preserve"> PAGEREF _Toc499285543 \h </w:instrText>
        </w:r>
        <w:r w:rsidR="00AB362D">
          <w:rPr>
            <w:noProof/>
            <w:webHidden/>
          </w:rPr>
        </w:r>
        <w:r w:rsidR="00AB362D">
          <w:rPr>
            <w:noProof/>
            <w:webHidden/>
          </w:rPr>
          <w:fldChar w:fldCharType="separate"/>
        </w:r>
        <w:r w:rsidR="00AB362D">
          <w:rPr>
            <w:noProof/>
            <w:webHidden/>
          </w:rPr>
          <w:t>12</w:t>
        </w:r>
        <w:r w:rsidR="00AB362D">
          <w:rPr>
            <w:noProof/>
            <w:webHidden/>
          </w:rPr>
          <w:fldChar w:fldCharType="end"/>
        </w:r>
      </w:hyperlink>
    </w:p>
    <w:p w14:paraId="19B2F508" w14:textId="4211D774" w:rsidR="00AB362D" w:rsidRDefault="00A63255">
      <w:pPr>
        <w:pStyle w:val="Innehll2"/>
        <w:rPr>
          <w:rFonts w:eastAsiaTheme="minorEastAsia"/>
          <w:noProof/>
          <w:sz w:val="22"/>
          <w:lang w:eastAsia="sv-SE"/>
        </w:rPr>
      </w:pPr>
      <w:hyperlink w:anchor="_Toc499285544" w:history="1">
        <w:r w:rsidR="00AB362D" w:rsidRPr="002A08E0">
          <w:rPr>
            <w:rStyle w:val="Hyperlnk"/>
            <w:noProof/>
            <w:lang w:val="en-GB"/>
          </w:rPr>
          <w:t>2.3</w:t>
        </w:r>
        <w:r w:rsidR="00AB362D" w:rsidRPr="002A08E0">
          <w:rPr>
            <w:rStyle w:val="Hyperlnk"/>
            <w:noProof/>
            <w:lang w:val="en-GB"/>
          </w:rPr>
          <w:tab/>
          <w:t>Dimension Energy security</w:t>
        </w:r>
        <w:r w:rsidR="00AB362D">
          <w:rPr>
            <w:noProof/>
            <w:webHidden/>
          </w:rPr>
          <w:tab/>
        </w:r>
        <w:r w:rsidR="00AB362D">
          <w:rPr>
            <w:noProof/>
            <w:webHidden/>
          </w:rPr>
          <w:fldChar w:fldCharType="begin"/>
        </w:r>
        <w:r w:rsidR="00AB362D">
          <w:rPr>
            <w:noProof/>
            <w:webHidden/>
          </w:rPr>
          <w:instrText xml:space="preserve"> PAGEREF _Toc499285544 \h </w:instrText>
        </w:r>
        <w:r w:rsidR="00AB362D">
          <w:rPr>
            <w:noProof/>
            <w:webHidden/>
          </w:rPr>
        </w:r>
        <w:r w:rsidR="00AB362D">
          <w:rPr>
            <w:noProof/>
            <w:webHidden/>
          </w:rPr>
          <w:fldChar w:fldCharType="separate"/>
        </w:r>
        <w:r w:rsidR="00AB362D">
          <w:rPr>
            <w:noProof/>
            <w:webHidden/>
          </w:rPr>
          <w:t>16</w:t>
        </w:r>
        <w:r w:rsidR="00AB362D">
          <w:rPr>
            <w:noProof/>
            <w:webHidden/>
          </w:rPr>
          <w:fldChar w:fldCharType="end"/>
        </w:r>
      </w:hyperlink>
    </w:p>
    <w:p w14:paraId="016EFACB" w14:textId="31A8428E" w:rsidR="00AB362D" w:rsidRDefault="00A63255">
      <w:pPr>
        <w:pStyle w:val="Innehll2"/>
        <w:rPr>
          <w:rFonts w:eastAsiaTheme="minorEastAsia"/>
          <w:noProof/>
          <w:sz w:val="22"/>
          <w:lang w:eastAsia="sv-SE"/>
        </w:rPr>
      </w:pPr>
      <w:hyperlink w:anchor="_Toc499285545" w:history="1">
        <w:r w:rsidR="00AB362D" w:rsidRPr="002A08E0">
          <w:rPr>
            <w:rStyle w:val="Hyperlnk"/>
            <w:noProof/>
            <w:lang w:val="en-GB"/>
          </w:rPr>
          <w:t>2.4</w:t>
        </w:r>
        <w:r w:rsidR="00AB362D" w:rsidRPr="002A08E0">
          <w:rPr>
            <w:rStyle w:val="Hyperlnk"/>
            <w:noProof/>
            <w:lang w:val="en-GB"/>
          </w:rPr>
          <w:tab/>
          <w:t>Dimension Internal energy market</w:t>
        </w:r>
        <w:r w:rsidR="00AB362D">
          <w:rPr>
            <w:noProof/>
            <w:webHidden/>
          </w:rPr>
          <w:tab/>
        </w:r>
        <w:r w:rsidR="00AB362D">
          <w:rPr>
            <w:noProof/>
            <w:webHidden/>
          </w:rPr>
          <w:fldChar w:fldCharType="begin"/>
        </w:r>
        <w:r w:rsidR="00AB362D">
          <w:rPr>
            <w:noProof/>
            <w:webHidden/>
          </w:rPr>
          <w:instrText xml:space="preserve"> PAGEREF _Toc499285545 \h </w:instrText>
        </w:r>
        <w:r w:rsidR="00AB362D">
          <w:rPr>
            <w:noProof/>
            <w:webHidden/>
          </w:rPr>
        </w:r>
        <w:r w:rsidR="00AB362D">
          <w:rPr>
            <w:noProof/>
            <w:webHidden/>
          </w:rPr>
          <w:fldChar w:fldCharType="separate"/>
        </w:r>
        <w:r w:rsidR="00AB362D">
          <w:rPr>
            <w:noProof/>
            <w:webHidden/>
          </w:rPr>
          <w:t>18</w:t>
        </w:r>
        <w:r w:rsidR="00AB362D">
          <w:rPr>
            <w:noProof/>
            <w:webHidden/>
          </w:rPr>
          <w:fldChar w:fldCharType="end"/>
        </w:r>
      </w:hyperlink>
    </w:p>
    <w:p w14:paraId="1997EAC8" w14:textId="3C939032" w:rsidR="00AB362D" w:rsidRDefault="00A63255">
      <w:pPr>
        <w:pStyle w:val="Innehll2"/>
        <w:rPr>
          <w:rFonts w:eastAsiaTheme="minorEastAsia"/>
          <w:noProof/>
          <w:sz w:val="22"/>
          <w:lang w:eastAsia="sv-SE"/>
        </w:rPr>
      </w:pPr>
      <w:hyperlink w:anchor="_Toc499285546" w:history="1">
        <w:r w:rsidR="00AB362D" w:rsidRPr="002A08E0">
          <w:rPr>
            <w:rStyle w:val="Hyperlnk"/>
            <w:noProof/>
            <w:lang w:val="en-GB"/>
          </w:rPr>
          <w:t>2.5</w:t>
        </w:r>
        <w:r w:rsidR="00AB362D" w:rsidRPr="002A08E0">
          <w:rPr>
            <w:rStyle w:val="Hyperlnk"/>
            <w:noProof/>
            <w:lang w:val="en-GB"/>
          </w:rPr>
          <w:tab/>
          <w:t>Dimension Research, innovation and competitiveness</w:t>
        </w:r>
        <w:r w:rsidR="00AB362D">
          <w:rPr>
            <w:noProof/>
            <w:webHidden/>
          </w:rPr>
          <w:tab/>
        </w:r>
        <w:r w:rsidR="00AB362D">
          <w:rPr>
            <w:noProof/>
            <w:webHidden/>
          </w:rPr>
          <w:fldChar w:fldCharType="begin"/>
        </w:r>
        <w:r w:rsidR="00AB362D">
          <w:rPr>
            <w:noProof/>
            <w:webHidden/>
          </w:rPr>
          <w:instrText xml:space="preserve"> PAGEREF _Toc499285546 \h </w:instrText>
        </w:r>
        <w:r w:rsidR="00AB362D">
          <w:rPr>
            <w:noProof/>
            <w:webHidden/>
          </w:rPr>
        </w:r>
        <w:r w:rsidR="00AB362D">
          <w:rPr>
            <w:noProof/>
            <w:webHidden/>
          </w:rPr>
          <w:fldChar w:fldCharType="separate"/>
        </w:r>
        <w:r w:rsidR="00AB362D">
          <w:rPr>
            <w:noProof/>
            <w:webHidden/>
          </w:rPr>
          <w:t>19</w:t>
        </w:r>
        <w:r w:rsidR="00AB362D">
          <w:rPr>
            <w:noProof/>
            <w:webHidden/>
          </w:rPr>
          <w:fldChar w:fldCharType="end"/>
        </w:r>
      </w:hyperlink>
    </w:p>
    <w:p w14:paraId="7416B480" w14:textId="20DD582A" w:rsidR="00AB362D" w:rsidRDefault="00A63255">
      <w:pPr>
        <w:pStyle w:val="Innehll1"/>
        <w:tabs>
          <w:tab w:val="right" w:leader="dot" w:pos="6906"/>
        </w:tabs>
        <w:rPr>
          <w:rFonts w:asciiTheme="minorHAnsi" w:eastAsiaTheme="minorEastAsia" w:hAnsiTheme="minorHAnsi"/>
          <w:b w:val="0"/>
          <w:noProof/>
          <w:sz w:val="22"/>
          <w:lang w:eastAsia="sv-SE"/>
        </w:rPr>
      </w:pPr>
      <w:hyperlink w:anchor="_Toc499285547" w:history="1">
        <w:r w:rsidR="00AB362D" w:rsidRPr="002A08E0">
          <w:rPr>
            <w:rStyle w:val="Hyperlnk"/>
            <w:noProof/>
            <w:lang w:val="en-GB"/>
          </w:rPr>
          <w:t>3</w:t>
        </w:r>
        <w:r w:rsidR="00AB362D" w:rsidRPr="002A08E0">
          <w:rPr>
            <w:rStyle w:val="Hyperlnk"/>
            <w:noProof/>
            <w:lang w:val="en-GB"/>
          </w:rPr>
          <w:tab/>
          <w:t>Policies and measures</w:t>
        </w:r>
        <w:r w:rsidR="00AB362D">
          <w:rPr>
            <w:noProof/>
            <w:webHidden/>
          </w:rPr>
          <w:tab/>
        </w:r>
        <w:r w:rsidR="00AB362D">
          <w:rPr>
            <w:noProof/>
            <w:webHidden/>
          </w:rPr>
          <w:fldChar w:fldCharType="begin"/>
        </w:r>
        <w:r w:rsidR="00AB362D">
          <w:rPr>
            <w:noProof/>
            <w:webHidden/>
          </w:rPr>
          <w:instrText xml:space="preserve"> PAGEREF _Toc499285547 \h </w:instrText>
        </w:r>
        <w:r w:rsidR="00AB362D">
          <w:rPr>
            <w:noProof/>
            <w:webHidden/>
          </w:rPr>
        </w:r>
        <w:r w:rsidR="00AB362D">
          <w:rPr>
            <w:noProof/>
            <w:webHidden/>
          </w:rPr>
          <w:fldChar w:fldCharType="separate"/>
        </w:r>
        <w:r w:rsidR="00AB362D">
          <w:rPr>
            <w:noProof/>
            <w:webHidden/>
          </w:rPr>
          <w:t>21</w:t>
        </w:r>
        <w:r w:rsidR="00AB362D">
          <w:rPr>
            <w:noProof/>
            <w:webHidden/>
          </w:rPr>
          <w:fldChar w:fldCharType="end"/>
        </w:r>
      </w:hyperlink>
    </w:p>
    <w:p w14:paraId="26178089" w14:textId="28A43DCA" w:rsidR="00AB362D" w:rsidRDefault="00A63255">
      <w:pPr>
        <w:pStyle w:val="Innehll2"/>
        <w:rPr>
          <w:rFonts w:eastAsiaTheme="minorEastAsia"/>
          <w:noProof/>
          <w:sz w:val="22"/>
          <w:lang w:eastAsia="sv-SE"/>
        </w:rPr>
      </w:pPr>
      <w:hyperlink w:anchor="_Toc499285548" w:history="1">
        <w:r w:rsidR="00AB362D" w:rsidRPr="002A08E0">
          <w:rPr>
            <w:rStyle w:val="Hyperlnk"/>
            <w:noProof/>
            <w:lang w:val="en-GB"/>
          </w:rPr>
          <w:t>3.1</w:t>
        </w:r>
        <w:r w:rsidR="00AB362D" w:rsidRPr="002A08E0">
          <w:rPr>
            <w:rStyle w:val="Hyperlnk"/>
            <w:noProof/>
            <w:lang w:val="en-GB"/>
          </w:rPr>
          <w:tab/>
          <w:t>Dimension Decarbonisation</w:t>
        </w:r>
        <w:r w:rsidR="00AB362D">
          <w:rPr>
            <w:noProof/>
            <w:webHidden/>
          </w:rPr>
          <w:tab/>
        </w:r>
        <w:r w:rsidR="00AB362D">
          <w:rPr>
            <w:noProof/>
            <w:webHidden/>
          </w:rPr>
          <w:fldChar w:fldCharType="begin"/>
        </w:r>
        <w:r w:rsidR="00AB362D">
          <w:rPr>
            <w:noProof/>
            <w:webHidden/>
          </w:rPr>
          <w:instrText xml:space="preserve"> PAGEREF _Toc499285548 \h </w:instrText>
        </w:r>
        <w:r w:rsidR="00AB362D">
          <w:rPr>
            <w:noProof/>
            <w:webHidden/>
          </w:rPr>
        </w:r>
        <w:r w:rsidR="00AB362D">
          <w:rPr>
            <w:noProof/>
            <w:webHidden/>
          </w:rPr>
          <w:fldChar w:fldCharType="separate"/>
        </w:r>
        <w:r w:rsidR="00AB362D">
          <w:rPr>
            <w:noProof/>
            <w:webHidden/>
          </w:rPr>
          <w:t>21</w:t>
        </w:r>
        <w:r w:rsidR="00AB362D">
          <w:rPr>
            <w:noProof/>
            <w:webHidden/>
          </w:rPr>
          <w:fldChar w:fldCharType="end"/>
        </w:r>
      </w:hyperlink>
    </w:p>
    <w:p w14:paraId="6EAAC489" w14:textId="2BAC5FDE" w:rsidR="00AB362D" w:rsidRDefault="00A63255">
      <w:pPr>
        <w:pStyle w:val="Innehll2"/>
        <w:rPr>
          <w:rFonts w:eastAsiaTheme="minorEastAsia"/>
          <w:noProof/>
          <w:sz w:val="22"/>
          <w:lang w:eastAsia="sv-SE"/>
        </w:rPr>
      </w:pPr>
      <w:hyperlink w:anchor="_Toc499285549" w:history="1">
        <w:r w:rsidR="00AB362D" w:rsidRPr="002A08E0">
          <w:rPr>
            <w:rStyle w:val="Hyperlnk"/>
            <w:noProof/>
            <w:lang w:val="en-GB"/>
          </w:rPr>
          <w:t>3.2</w:t>
        </w:r>
        <w:r w:rsidR="00AB362D" w:rsidRPr="002A08E0">
          <w:rPr>
            <w:rStyle w:val="Hyperlnk"/>
            <w:noProof/>
            <w:lang w:val="en-GB"/>
          </w:rPr>
          <w:tab/>
          <w:t>Dimension Energy efficiency (2030 Framework target)</w:t>
        </w:r>
        <w:r w:rsidR="00AB362D">
          <w:rPr>
            <w:noProof/>
            <w:webHidden/>
          </w:rPr>
          <w:tab/>
        </w:r>
        <w:r w:rsidR="00AB362D">
          <w:rPr>
            <w:noProof/>
            <w:webHidden/>
          </w:rPr>
          <w:fldChar w:fldCharType="begin"/>
        </w:r>
        <w:r w:rsidR="00AB362D">
          <w:rPr>
            <w:noProof/>
            <w:webHidden/>
          </w:rPr>
          <w:instrText xml:space="preserve"> PAGEREF _Toc499285549 \h </w:instrText>
        </w:r>
        <w:r w:rsidR="00AB362D">
          <w:rPr>
            <w:noProof/>
            <w:webHidden/>
          </w:rPr>
        </w:r>
        <w:r w:rsidR="00AB362D">
          <w:rPr>
            <w:noProof/>
            <w:webHidden/>
          </w:rPr>
          <w:fldChar w:fldCharType="separate"/>
        </w:r>
        <w:r w:rsidR="00AB362D">
          <w:rPr>
            <w:noProof/>
            <w:webHidden/>
          </w:rPr>
          <w:t>40</w:t>
        </w:r>
        <w:r w:rsidR="00AB362D">
          <w:rPr>
            <w:noProof/>
            <w:webHidden/>
          </w:rPr>
          <w:fldChar w:fldCharType="end"/>
        </w:r>
      </w:hyperlink>
    </w:p>
    <w:p w14:paraId="2842A186" w14:textId="2FA42F33" w:rsidR="00AB362D" w:rsidRDefault="00A63255">
      <w:pPr>
        <w:pStyle w:val="Innehll2"/>
        <w:rPr>
          <w:rFonts w:eastAsiaTheme="minorEastAsia"/>
          <w:noProof/>
          <w:sz w:val="22"/>
          <w:lang w:eastAsia="sv-SE"/>
        </w:rPr>
      </w:pPr>
      <w:hyperlink w:anchor="_Toc499285550" w:history="1">
        <w:r w:rsidR="00AB362D" w:rsidRPr="002A08E0">
          <w:rPr>
            <w:rStyle w:val="Hyperlnk"/>
            <w:noProof/>
            <w:lang w:val="en-GB"/>
          </w:rPr>
          <w:t>3.3</w:t>
        </w:r>
        <w:r w:rsidR="00AB362D" w:rsidRPr="002A08E0">
          <w:rPr>
            <w:rStyle w:val="Hyperlnk"/>
            <w:noProof/>
            <w:lang w:val="en-GB"/>
          </w:rPr>
          <w:tab/>
          <w:t>Dimension Energy security</w:t>
        </w:r>
        <w:r w:rsidR="00AB362D">
          <w:rPr>
            <w:noProof/>
            <w:webHidden/>
          </w:rPr>
          <w:tab/>
        </w:r>
        <w:r w:rsidR="00AB362D">
          <w:rPr>
            <w:noProof/>
            <w:webHidden/>
          </w:rPr>
          <w:fldChar w:fldCharType="begin"/>
        </w:r>
        <w:r w:rsidR="00AB362D">
          <w:rPr>
            <w:noProof/>
            <w:webHidden/>
          </w:rPr>
          <w:instrText xml:space="preserve"> PAGEREF _Toc499285550 \h </w:instrText>
        </w:r>
        <w:r w:rsidR="00AB362D">
          <w:rPr>
            <w:noProof/>
            <w:webHidden/>
          </w:rPr>
        </w:r>
        <w:r w:rsidR="00AB362D">
          <w:rPr>
            <w:noProof/>
            <w:webHidden/>
          </w:rPr>
          <w:fldChar w:fldCharType="separate"/>
        </w:r>
        <w:r w:rsidR="00AB362D">
          <w:rPr>
            <w:noProof/>
            <w:webHidden/>
          </w:rPr>
          <w:t>45</w:t>
        </w:r>
        <w:r w:rsidR="00AB362D">
          <w:rPr>
            <w:noProof/>
            <w:webHidden/>
          </w:rPr>
          <w:fldChar w:fldCharType="end"/>
        </w:r>
      </w:hyperlink>
    </w:p>
    <w:p w14:paraId="1F3B5EEF" w14:textId="1A3ADBC3" w:rsidR="00AB362D" w:rsidRDefault="00A63255">
      <w:pPr>
        <w:pStyle w:val="Innehll2"/>
        <w:rPr>
          <w:rFonts w:eastAsiaTheme="minorEastAsia"/>
          <w:noProof/>
          <w:sz w:val="22"/>
          <w:lang w:eastAsia="sv-SE"/>
        </w:rPr>
      </w:pPr>
      <w:hyperlink w:anchor="_Toc499285551" w:history="1">
        <w:r w:rsidR="00AB362D" w:rsidRPr="002A08E0">
          <w:rPr>
            <w:rStyle w:val="Hyperlnk"/>
            <w:noProof/>
            <w:lang w:val="en-GB"/>
          </w:rPr>
          <w:t>3.4</w:t>
        </w:r>
        <w:r w:rsidR="00AB362D" w:rsidRPr="002A08E0">
          <w:rPr>
            <w:rStyle w:val="Hyperlnk"/>
            <w:noProof/>
            <w:lang w:val="en-GB"/>
          </w:rPr>
          <w:tab/>
          <w:t>Dimension Internal energy market</w:t>
        </w:r>
        <w:r w:rsidR="00AB362D">
          <w:rPr>
            <w:noProof/>
            <w:webHidden/>
          </w:rPr>
          <w:tab/>
        </w:r>
        <w:r w:rsidR="00AB362D">
          <w:rPr>
            <w:noProof/>
            <w:webHidden/>
          </w:rPr>
          <w:fldChar w:fldCharType="begin"/>
        </w:r>
        <w:r w:rsidR="00AB362D">
          <w:rPr>
            <w:noProof/>
            <w:webHidden/>
          </w:rPr>
          <w:instrText xml:space="preserve"> PAGEREF _Toc499285551 \h </w:instrText>
        </w:r>
        <w:r w:rsidR="00AB362D">
          <w:rPr>
            <w:noProof/>
            <w:webHidden/>
          </w:rPr>
        </w:r>
        <w:r w:rsidR="00AB362D">
          <w:rPr>
            <w:noProof/>
            <w:webHidden/>
          </w:rPr>
          <w:fldChar w:fldCharType="separate"/>
        </w:r>
        <w:r w:rsidR="00AB362D">
          <w:rPr>
            <w:noProof/>
            <w:webHidden/>
          </w:rPr>
          <w:t>47</w:t>
        </w:r>
        <w:r w:rsidR="00AB362D">
          <w:rPr>
            <w:noProof/>
            <w:webHidden/>
          </w:rPr>
          <w:fldChar w:fldCharType="end"/>
        </w:r>
      </w:hyperlink>
    </w:p>
    <w:p w14:paraId="43B5B4B7" w14:textId="761A2DDD" w:rsidR="00AB362D" w:rsidRDefault="00A63255">
      <w:pPr>
        <w:pStyle w:val="Innehll2"/>
        <w:rPr>
          <w:rFonts w:eastAsiaTheme="minorEastAsia"/>
          <w:noProof/>
          <w:sz w:val="22"/>
          <w:lang w:eastAsia="sv-SE"/>
        </w:rPr>
      </w:pPr>
      <w:hyperlink w:anchor="_Toc499285552" w:history="1">
        <w:r w:rsidR="00AB362D" w:rsidRPr="002A08E0">
          <w:rPr>
            <w:rStyle w:val="Hyperlnk"/>
            <w:noProof/>
            <w:lang w:val="en-GB"/>
          </w:rPr>
          <w:t>3.5</w:t>
        </w:r>
        <w:r w:rsidR="00AB362D" w:rsidRPr="002A08E0">
          <w:rPr>
            <w:rStyle w:val="Hyperlnk"/>
            <w:noProof/>
            <w:lang w:val="en-GB"/>
          </w:rPr>
          <w:tab/>
          <w:t>Dimension Research, innovation and competitiveness</w:t>
        </w:r>
        <w:r w:rsidR="00AB362D">
          <w:rPr>
            <w:noProof/>
            <w:webHidden/>
          </w:rPr>
          <w:tab/>
        </w:r>
        <w:r w:rsidR="00AB362D">
          <w:rPr>
            <w:noProof/>
            <w:webHidden/>
          </w:rPr>
          <w:fldChar w:fldCharType="begin"/>
        </w:r>
        <w:r w:rsidR="00AB362D">
          <w:rPr>
            <w:noProof/>
            <w:webHidden/>
          </w:rPr>
          <w:instrText xml:space="preserve"> PAGEREF _Toc499285552 \h </w:instrText>
        </w:r>
        <w:r w:rsidR="00AB362D">
          <w:rPr>
            <w:noProof/>
            <w:webHidden/>
          </w:rPr>
        </w:r>
        <w:r w:rsidR="00AB362D">
          <w:rPr>
            <w:noProof/>
            <w:webHidden/>
          </w:rPr>
          <w:fldChar w:fldCharType="separate"/>
        </w:r>
        <w:r w:rsidR="00AB362D">
          <w:rPr>
            <w:noProof/>
            <w:webHidden/>
          </w:rPr>
          <w:t>51</w:t>
        </w:r>
        <w:r w:rsidR="00AB362D">
          <w:rPr>
            <w:noProof/>
            <w:webHidden/>
          </w:rPr>
          <w:fldChar w:fldCharType="end"/>
        </w:r>
      </w:hyperlink>
    </w:p>
    <w:p w14:paraId="2CE2ABAB" w14:textId="5B24CF70" w:rsidR="00AB362D" w:rsidRDefault="00A63255">
      <w:pPr>
        <w:pStyle w:val="Innehll1"/>
        <w:tabs>
          <w:tab w:val="right" w:leader="dot" w:pos="6906"/>
        </w:tabs>
        <w:rPr>
          <w:rFonts w:asciiTheme="minorHAnsi" w:eastAsiaTheme="minorEastAsia" w:hAnsiTheme="minorHAnsi"/>
          <w:b w:val="0"/>
          <w:noProof/>
          <w:sz w:val="22"/>
          <w:lang w:eastAsia="sv-SE"/>
        </w:rPr>
      </w:pPr>
      <w:hyperlink w:anchor="_Toc499285553" w:history="1">
        <w:r w:rsidR="00AB362D" w:rsidRPr="002A08E0">
          <w:rPr>
            <w:rStyle w:val="Hyperlnk"/>
            <w:noProof/>
            <w:lang w:val="en-GB"/>
          </w:rPr>
          <w:t>4</w:t>
        </w:r>
        <w:r w:rsidR="00AB362D" w:rsidRPr="002A08E0">
          <w:rPr>
            <w:rStyle w:val="Hyperlnk"/>
            <w:noProof/>
            <w:lang w:val="en-GB"/>
          </w:rPr>
          <w:tab/>
          <w:t>Current situation and projections with existing policies and measures</w:t>
        </w:r>
        <w:r w:rsidR="00AB362D">
          <w:rPr>
            <w:noProof/>
            <w:webHidden/>
          </w:rPr>
          <w:tab/>
        </w:r>
        <w:r w:rsidR="00AB362D">
          <w:rPr>
            <w:noProof/>
            <w:webHidden/>
          </w:rPr>
          <w:fldChar w:fldCharType="begin"/>
        </w:r>
        <w:r w:rsidR="00AB362D">
          <w:rPr>
            <w:noProof/>
            <w:webHidden/>
          </w:rPr>
          <w:instrText xml:space="preserve"> PAGEREF _Toc499285553 \h </w:instrText>
        </w:r>
        <w:r w:rsidR="00AB362D">
          <w:rPr>
            <w:noProof/>
            <w:webHidden/>
          </w:rPr>
        </w:r>
        <w:r w:rsidR="00AB362D">
          <w:rPr>
            <w:noProof/>
            <w:webHidden/>
          </w:rPr>
          <w:fldChar w:fldCharType="separate"/>
        </w:r>
        <w:r w:rsidR="00AB362D">
          <w:rPr>
            <w:noProof/>
            <w:webHidden/>
          </w:rPr>
          <w:t>54</w:t>
        </w:r>
        <w:r w:rsidR="00AB362D">
          <w:rPr>
            <w:noProof/>
            <w:webHidden/>
          </w:rPr>
          <w:fldChar w:fldCharType="end"/>
        </w:r>
      </w:hyperlink>
    </w:p>
    <w:p w14:paraId="0EE09B23" w14:textId="11D5FBE2" w:rsidR="00AB362D" w:rsidRDefault="00A63255">
      <w:pPr>
        <w:pStyle w:val="Innehll2"/>
        <w:rPr>
          <w:rFonts w:eastAsiaTheme="minorEastAsia"/>
          <w:noProof/>
          <w:sz w:val="22"/>
          <w:lang w:eastAsia="sv-SE"/>
        </w:rPr>
      </w:pPr>
      <w:hyperlink w:anchor="_Toc499285554" w:history="1">
        <w:r w:rsidR="00AB362D" w:rsidRPr="002A08E0">
          <w:rPr>
            <w:rStyle w:val="Hyperlnk"/>
            <w:noProof/>
            <w:lang w:val="en-GB"/>
          </w:rPr>
          <w:t>4.1</w:t>
        </w:r>
        <w:r w:rsidR="00AB362D" w:rsidRPr="002A08E0">
          <w:rPr>
            <w:rStyle w:val="Hyperlnk"/>
            <w:noProof/>
            <w:lang w:val="en-GB"/>
          </w:rPr>
          <w:tab/>
          <w:t>Projected evolution of main exogenous factors influencing energy system and GHG emission developments</w:t>
        </w:r>
        <w:r w:rsidR="00AB362D">
          <w:rPr>
            <w:noProof/>
            <w:webHidden/>
          </w:rPr>
          <w:tab/>
        </w:r>
        <w:r w:rsidR="00AB362D">
          <w:rPr>
            <w:noProof/>
            <w:webHidden/>
          </w:rPr>
          <w:fldChar w:fldCharType="begin"/>
        </w:r>
        <w:r w:rsidR="00AB362D">
          <w:rPr>
            <w:noProof/>
            <w:webHidden/>
          </w:rPr>
          <w:instrText xml:space="preserve"> PAGEREF _Toc499285554 \h </w:instrText>
        </w:r>
        <w:r w:rsidR="00AB362D">
          <w:rPr>
            <w:noProof/>
            <w:webHidden/>
          </w:rPr>
        </w:r>
        <w:r w:rsidR="00AB362D">
          <w:rPr>
            <w:noProof/>
            <w:webHidden/>
          </w:rPr>
          <w:fldChar w:fldCharType="separate"/>
        </w:r>
        <w:r w:rsidR="00AB362D">
          <w:rPr>
            <w:noProof/>
            <w:webHidden/>
          </w:rPr>
          <w:t>54</w:t>
        </w:r>
        <w:r w:rsidR="00AB362D">
          <w:rPr>
            <w:noProof/>
            <w:webHidden/>
          </w:rPr>
          <w:fldChar w:fldCharType="end"/>
        </w:r>
      </w:hyperlink>
    </w:p>
    <w:p w14:paraId="59AC434A" w14:textId="2876AD55" w:rsidR="00AB362D" w:rsidRDefault="00A63255">
      <w:pPr>
        <w:pStyle w:val="Innehll2"/>
        <w:rPr>
          <w:rFonts w:eastAsiaTheme="minorEastAsia"/>
          <w:noProof/>
          <w:sz w:val="22"/>
          <w:lang w:eastAsia="sv-SE"/>
        </w:rPr>
      </w:pPr>
      <w:hyperlink w:anchor="_Toc499285555" w:history="1">
        <w:r w:rsidR="00AB362D" w:rsidRPr="002A08E0">
          <w:rPr>
            <w:rStyle w:val="Hyperlnk"/>
            <w:noProof/>
            <w:lang w:val="en-GB"/>
          </w:rPr>
          <w:t>4.2</w:t>
        </w:r>
        <w:r w:rsidR="00AB362D" w:rsidRPr="002A08E0">
          <w:rPr>
            <w:rStyle w:val="Hyperlnk"/>
            <w:noProof/>
            <w:lang w:val="en-GB"/>
          </w:rPr>
          <w:tab/>
          <w:t>Dimension Decarbonisation</w:t>
        </w:r>
        <w:r w:rsidR="00AB362D">
          <w:rPr>
            <w:noProof/>
            <w:webHidden/>
          </w:rPr>
          <w:tab/>
        </w:r>
        <w:r w:rsidR="00AB362D">
          <w:rPr>
            <w:noProof/>
            <w:webHidden/>
          </w:rPr>
          <w:fldChar w:fldCharType="begin"/>
        </w:r>
        <w:r w:rsidR="00AB362D">
          <w:rPr>
            <w:noProof/>
            <w:webHidden/>
          </w:rPr>
          <w:instrText xml:space="preserve"> PAGEREF _Toc499285555 \h </w:instrText>
        </w:r>
        <w:r w:rsidR="00AB362D">
          <w:rPr>
            <w:noProof/>
            <w:webHidden/>
          </w:rPr>
        </w:r>
        <w:r w:rsidR="00AB362D">
          <w:rPr>
            <w:noProof/>
            <w:webHidden/>
          </w:rPr>
          <w:fldChar w:fldCharType="separate"/>
        </w:r>
        <w:r w:rsidR="00AB362D">
          <w:rPr>
            <w:noProof/>
            <w:webHidden/>
          </w:rPr>
          <w:t>58</w:t>
        </w:r>
        <w:r w:rsidR="00AB362D">
          <w:rPr>
            <w:noProof/>
            <w:webHidden/>
          </w:rPr>
          <w:fldChar w:fldCharType="end"/>
        </w:r>
      </w:hyperlink>
    </w:p>
    <w:p w14:paraId="409E42DA" w14:textId="1B244309" w:rsidR="00AB362D" w:rsidRDefault="00A63255">
      <w:pPr>
        <w:pStyle w:val="Innehll2"/>
        <w:rPr>
          <w:rFonts w:eastAsiaTheme="minorEastAsia"/>
          <w:noProof/>
          <w:sz w:val="22"/>
          <w:lang w:eastAsia="sv-SE"/>
        </w:rPr>
      </w:pPr>
      <w:hyperlink w:anchor="_Toc499285556" w:history="1">
        <w:r w:rsidR="00AB362D" w:rsidRPr="002A08E0">
          <w:rPr>
            <w:rStyle w:val="Hyperlnk"/>
            <w:noProof/>
            <w:lang w:val="en-GB"/>
          </w:rPr>
          <w:t>4.3</w:t>
        </w:r>
        <w:r w:rsidR="00AB362D" w:rsidRPr="002A08E0">
          <w:rPr>
            <w:rStyle w:val="Hyperlnk"/>
            <w:noProof/>
            <w:lang w:val="en-GB"/>
          </w:rPr>
          <w:tab/>
          <w:t>Dimension Energy efficiency</w:t>
        </w:r>
        <w:r w:rsidR="00AB362D">
          <w:rPr>
            <w:noProof/>
            <w:webHidden/>
          </w:rPr>
          <w:tab/>
        </w:r>
        <w:r w:rsidR="00AB362D">
          <w:rPr>
            <w:noProof/>
            <w:webHidden/>
          </w:rPr>
          <w:fldChar w:fldCharType="begin"/>
        </w:r>
        <w:r w:rsidR="00AB362D">
          <w:rPr>
            <w:noProof/>
            <w:webHidden/>
          </w:rPr>
          <w:instrText xml:space="preserve"> PAGEREF _Toc499285556 \h </w:instrText>
        </w:r>
        <w:r w:rsidR="00AB362D">
          <w:rPr>
            <w:noProof/>
            <w:webHidden/>
          </w:rPr>
        </w:r>
        <w:r w:rsidR="00AB362D">
          <w:rPr>
            <w:noProof/>
            <w:webHidden/>
          </w:rPr>
          <w:fldChar w:fldCharType="separate"/>
        </w:r>
        <w:r w:rsidR="00AB362D">
          <w:rPr>
            <w:noProof/>
            <w:webHidden/>
          </w:rPr>
          <w:t>72</w:t>
        </w:r>
        <w:r w:rsidR="00AB362D">
          <w:rPr>
            <w:noProof/>
            <w:webHidden/>
          </w:rPr>
          <w:fldChar w:fldCharType="end"/>
        </w:r>
      </w:hyperlink>
    </w:p>
    <w:p w14:paraId="12777E4A" w14:textId="4BF0C0BE" w:rsidR="00AB362D" w:rsidRDefault="00A63255">
      <w:pPr>
        <w:pStyle w:val="Innehll2"/>
        <w:rPr>
          <w:rFonts w:eastAsiaTheme="minorEastAsia"/>
          <w:noProof/>
          <w:sz w:val="22"/>
          <w:lang w:eastAsia="sv-SE"/>
        </w:rPr>
      </w:pPr>
      <w:hyperlink w:anchor="_Toc499285557" w:history="1">
        <w:r w:rsidR="00AB362D" w:rsidRPr="002A08E0">
          <w:rPr>
            <w:rStyle w:val="Hyperlnk"/>
            <w:noProof/>
            <w:lang w:val="en-GB"/>
          </w:rPr>
          <w:t>4.4</w:t>
        </w:r>
        <w:r w:rsidR="00AB362D" w:rsidRPr="002A08E0">
          <w:rPr>
            <w:rStyle w:val="Hyperlnk"/>
            <w:noProof/>
            <w:lang w:val="en-GB"/>
          </w:rPr>
          <w:tab/>
          <w:t>Dimension Energy security</w:t>
        </w:r>
        <w:r w:rsidR="00AB362D">
          <w:rPr>
            <w:noProof/>
            <w:webHidden/>
          </w:rPr>
          <w:tab/>
        </w:r>
        <w:r w:rsidR="00AB362D">
          <w:rPr>
            <w:noProof/>
            <w:webHidden/>
          </w:rPr>
          <w:fldChar w:fldCharType="begin"/>
        </w:r>
        <w:r w:rsidR="00AB362D">
          <w:rPr>
            <w:noProof/>
            <w:webHidden/>
          </w:rPr>
          <w:instrText xml:space="preserve"> PAGEREF _Toc499285557 \h </w:instrText>
        </w:r>
        <w:r w:rsidR="00AB362D">
          <w:rPr>
            <w:noProof/>
            <w:webHidden/>
          </w:rPr>
        </w:r>
        <w:r w:rsidR="00AB362D">
          <w:rPr>
            <w:noProof/>
            <w:webHidden/>
          </w:rPr>
          <w:fldChar w:fldCharType="separate"/>
        </w:r>
        <w:r w:rsidR="00AB362D">
          <w:rPr>
            <w:noProof/>
            <w:webHidden/>
          </w:rPr>
          <w:t>74</w:t>
        </w:r>
        <w:r w:rsidR="00AB362D">
          <w:rPr>
            <w:noProof/>
            <w:webHidden/>
          </w:rPr>
          <w:fldChar w:fldCharType="end"/>
        </w:r>
      </w:hyperlink>
    </w:p>
    <w:p w14:paraId="0D348F3D" w14:textId="5EB663F2" w:rsidR="00AB362D" w:rsidRDefault="00A63255">
      <w:pPr>
        <w:pStyle w:val="Innehll2"/>
        <w:rPr>
          <w:rFonts w:eastAsiaTheme="minorEastAsia"/>
          <w:noProof/>
          <w:sz w:val="22"/>
          <w:lang w:eastAsia="sv-SE"/>
        </w:rPr>
      </w:pPr>
      <w:hyperlink w:anchor="_Toc499285558" w:history="1">
        <w:r w:rsidR="00AB362D" w:rsidRPr="002A08E0">
          <w:rPr>
            <w:rStyle w:val="Hyperlnk"/>
            <w:noProof/>
            <w:lang w:val="en-GB"/>
          </w:rPr>
          <w:t>4.5</w:t>
        </w:r>
        <w:r w:rsidR="00AB362D" w:rsidRPr="002A08E0">
          <w:rPr>
            <w:rStyle w:val="Hyperlnk"/>
            <w:noProof/>
            <w:lang w:val="en-GB"/>
          </w:rPr>
          <w:tab/>
          <w:t>Dimension Internal energy market</w:t>
        </w:r>
        <w:r w:rsidR="00AB362D">
          <w:rPr>
            <w:noProof/>
            <w:webHidden/>
          </w:rPr>
          <w:tab/>
        </w:r>
        <w:r w:rsidR="00AB362D">
          <w:rPr>
            <w:noProof/>
            <w:webHidden/>
          </w:rPr>
          <w:fldChar w:fldCharType="begin"/>
        </w:r>
        <w:r w:rsidR="00AB362D">
          <w:rPr>
            <w:noProof/>
            <w:webHidden/>
          </w:rPr>
          <w:instrText xml:space="preserve"> PAGEREF _Toc499285558 \h </w:instrText>
        </w:r>
        <w:r w:rsidR="00AB362D">
          <w:rPr>
            <w:noProof/>
            <w:webHidden/>
          </w:rPr>
        </w:r>
        <w:r w:rsidR="00AB362D">
          <w:rPr>
            <w:noProof/>
            <w:webHidden/>
          </w:rPr>
          <w:fldChar w:fldCharType="separate"/>
        </w:r>
        <w:r w:rsidR="00AB362D">
          <w:rPr>
            <w:noProof/>
            <w:webHidden/>
          </w:rPr>
          <w:t>77</w:t>
        </w:r>
        <w:r w:rsidR="00AB362D">
          <w:rPr>
            <w:noProof/>
            <w:webHidden/>
          </w:rPr>
          <w:fldChar w:fldCharType="end"/>
        </w:r>
      </w:hyperlink>
    </w:p>
    <w:p w14:paraId="3467CD09" w14:textId="4C1CD090" w:rsidR="00AB362D" w:rsidRDefault="00A63255">
      <w:pPr>
        <w:pStyle w:val="Innehll2"/>
        <w:rPr>
          <w:rFonts w:eastAsiaTheme="minorEastAsia"/>
          <w:noProof/>
          <w:sz w:val="22"/>
          <w:lang w:eastAsia="sv-SE"/>
        </w:rPr>
      </w:pPr>
      <w:hyperlink w:anchor="_Toc499285559" w:history="1">
        <w:r w:rsidR="00AB362D" w:rsidRPr="002A08E0">
          <w:rPr>
            <w:rStyle w:val="Hyperlnk"/>
            <w:noProof/>
            <w:lang w:val="en-GB"/>
          </w:rPr>
          <w:t>4.6</w:t>
        </w:r>
        <w:r w:rsidR="00AB362D" w:rsidRPr="002A08E0">
          <w:rPr>
            <w:rStyle w:val="Hyperlnk"/>
            <w:noProof/>
            <w:lang w:val="en-GB"/>
          </w:rPr>
          <w:tab/>
          <w:t>Dimension Research, innovation and competitiveness</w:t>
        </w:r>
        <w:r w:rsidR="00AB362D">
          <w:rPr>
            <w:noProof/>
            <w:webHidden/>
          </w:rPr>
          <w:tab/>
        </w:r>
        <w:r w:rsidR="00AB362D">
          <w:rPr>
            <w:noProof/>
            <w:webHidden/>
          </w:rPr>
          <w:fldChar w:fldCharType="begin"/>
        </w:r>
        <w:r w:rsidR="00AB362D">
          <w:rPr>
            <w:noProof/>
            <w:webHidden/>
          </w:rPr>
          <w:instrText xml:space="preserve"> PAGEREF _Toc499285559 \h </w:instrText>
        </w:r>
        <w:r w:rsidR="00AB362D">
          <w:rPr>
            <w:noProof/>
            <w:webHidden/>
          </w:rPr>
        </w:r>
        <w:r w:rsidR="00AB362D">
          <w:rPr>
            <w:noProof/>
            <w:webHidden/>
          </w:rPr>
          <w:fldChar w:fldCharType="separate"/>
        </w:r>
        <w:r w:rsidR="00AB362D">
          <w:rPr>
            <w:noProof/>
            <w:webHidden/>
          </w:rPr>
          <w:t>83</w:t>
        </w:r>
        <w:r w:rsidR="00AB362D">
          <w:rPr>
            <w:noProof/>
            <w:webHidden/>
          </w:rPr>
          <w:fldChar w:fldCharType="end"/>
        </w:r>
      </w:hyperlink>
    </w:p>
    <w:p w14:paraId="0D319CC0" w14:textId="07ECB6DE" w:rsidR="00AB362D" w:rsidRDefault="00A63255">
      <w:pPr>
        <w:pStyle w:val="Innehll1"/>
        <w:tabs>
          <w:tab w:val="right" w:leader="dot" w:pos="6906"/>
        </w:tabs>
        <w:rPr>
          <w:rFonts w:asciiTheme="minorHAnsi" w:eastAsiaTheme="minorEastAsia" w:hAnsiTheme="minorHAnsi"/>
          <w:b w:val="0"/>
          <w:noProof/>
          <w:sz w:val="22"/>
          <w:lang w:eastAsia="sv-SE"/>
        </w:rPr>
      </w:pPr>
      <w:hyperlink w:anchor="_Toc499285560" w:history="1">
        <w:r w:rsidR="00AB362D" w:rsidRPr="002A08E0">
          <w:rPr>
            <w:rStyle w:val="Hyperlnk"/>
            <w:noProof/>
            <w:lang w:val="en-GB"/>
          </w:rPr>
          <w:t>5</w:t>
        </w:r>
        <w:r w:rsidR="00AB362D" w:rsidRPr="002A08E0">
          <w:rPr>
            <w:rStyle w:val="Hyperlnk"/>
            <w:noProof/>
            <w:lang w:val="en-GB"/>
          </w:rPr>
          <w:tab/>
          <w:t>Impact assessment of planned policies and measures</w:t>
        </w:r>
        <w:r w:rsidR="00AB362D">
          <w:rPr>
            <w:noProof/>
            <w:webHidden/>
          </w:rPr>
          <w:tab/>
        </w:r>
        <w:r w:rsidR="00AB362D">
          <w:rPr>
            <w:noProof/>
            <w:webHidden/>
          </w:rPr>
          <w:fldChar w:fldCharType="begin"/>
        </w:r>
        <w:r w:rsidR="00AB362D">
          <w:rPr>
            <w:noProof/>
            <w:webHidden/>
          </w:rPr>
          <w:instrText xml:space="preserve"> PAGEREF _Toc499285560 \h </w:instrText>
        </w:r>
        <w:r w:rsidR="00AB362D">
          <w:rPr>
            <w:noProof/>
            <w:webHidden/>
          </w:rPr>
        </w:r>
        <w:r w:rsidR="00AB362D">
          <w:rPr>
            <w:noProof/>
            <w:webHidden/>
          </w:rPr>
          <w:fldChar w:fldCharType="separate"/>
        </w:r>
        <w:r w:rsidR="00AB362D">
          <w:rPr>
            <w:noProof/>
            <w:webHidden/>
          </w:rPr>
          <w:t>88</w:t>
        </w:r>
        <w:r w:rsidR="00AB362D">
          <w:rPr>
            <w:noProof/>
            <w:webHidden/>
          </w:rPr>
          <w:fldChar w:fldCharType="end"/>
        </w:r>
      </w:hyperlink>
    </w:p>
    <w:p w14:paraId="43573A5B" w14:textId="28AD0AF7" w:rsidR="00AB362D" w:rsidRDefault="00A63255">
      <w:pPr>
        <w:pStyle w:val="Innehll2"/>
        <w:rPr>
          <w:rFonts w:eastAsiaTheme="minorEastAsia"/>
          <w:noProof/>
          <w:sz w:val="22"/>
          <w:lang w:eastAsia="sv-SE"/>
        </w:rPr>
      </w:pPr>
      <w:hyperlink w:anchor="_Toc499285561" w:history="1">
        <w:r w:rsidR="00AB362D" w:rsidRPr="002A08E0">
          <w:rPr>
            <w:rStyle w:val="Hyperlnk"/>
            <w:noProof/>
            <w:lang w:val="en-GB"/>
          </w:rPr>
          <w:t>5.1</w:t>
        </w:r>
        <w:r w:rsidR="00AB362D" w:rsidRPr="002A08E0">
          <w:rPr>
            <w:rStyle w:val="Hyperlnk"/>
            <w:noProof/>
            <w:lang w:val="en-GB"/>
          </w:rPr>
          <w:tab/>
          <w:t>Impacts of planned policies and measures described in section 3 on energy system and greenhouse gas emissions and removals including comparison to projections with existing policies and measures (as described in section 4)</w:t>
        </w:r>
        <w:r w:rsidR="00AB362D">
          <w:rPr>
            <w:noProof/>
            <w:webHidden/>
          </w:rPr>
          <w:tab/>
        </w:r>
        <w:r w:rsidR="00AB362D">
          <w:rPr>
            <w:noProof/>
            <w:webHidden/>
          </w:rPr>
          <w:fldChar w:fldCharType="begin"/>
        </w:r>
        <w:r w:rsidR="00AB362D">
          <w:rPr>
            <w:noProof/>
            <w:webHidden/>
          </w:rPr>
          <w:instrText xml:space="preserve"> PAGEREF _Toc499285561 \h </w:instrText>
        </w:r>
        <w:r w:rsidR="00AB362D">
          <w:rPr>
            <w:noProof/>
            <w:webHidden/>
          </w:rPr>
        </w:r>
        <w:r w:rsidR="00AB362D">
          <w:rPr>
            <w:noProof/>
            <w:webHidden/>
          </w:rPr>
          <w:fldChar w:fldCharType="separate"/>
        </w:r>
        <w:r w:rsidR="00AB362D">
          <w:rPr>
            <w:noProof/>
            <w:webHidden/>
          </w:rPr>
          <w:t>88</w:t>
        </w:r>
        <w:r w:rsidR="00AB362D">
          <w:rPr>
            <w:noProof/>
            <w:webHidden/>
          </w:rPr>
          <w:fldChar w:fldCharType="end"/>
        </w:r>
      </w:hyperlink>
    </w:p>
    <w:p w14:paraId="04668F47" w14:textId="47701A77" w:rsidR="00AB362D" w:rsidRDefault="00A63255">
      <w:pPr>
        <w:pStyle w:val="Innehll2"/>
        <w:rPr>
          <w:rFonts w:eastAsiaTheme="minorEastAsia"/>
          <w:noProof/>
          <w:sz w:val="22"/>
          <w:lang w:eastAsia="sv-SE"/>
        </w:rPr>
      </w:pPr>
      <w:hyperlink w:anchor="_Toc499285562" w:history="1">
        <w:r w:rsidR="00AB362D" w:rsidRPr="002A08E0">
          <w:rPr>
            <w:rStyle w:val="Hyperlnk"/>
            <w:noProof/>
            <w:lang w:val="en-GB"/>
          </w:rPr>
          <w:t>5.2</w:t>
        </w:r>
        <w:r w:rsidR="00AB362D" w:rsidRPr="002A08E0">
          <w:rPr>
            <w:rStyle w:val="Hyperlnk"/>
            <w:noProof/>
            <w:lang w:val="en-GB"/>
          </w:rPr>
          <w:tab/>
          <w:t>Macroeconomic, environmental, skills and social impacts (in terms of costs and benefits as well as cost-effectiveness) of the planned policies and measures described in section 3 at least until the last year of the period covered by the plan, including comparison to projections with existing policies and measures</w:t>
        </w:r>
        <w:r w:rsidR="00AB362D">
          <w:rPr>
            <w:noProof/>
            <w:webHidden/>
          </w:rPr>
          <w:tab/>
        </w:r>
        <w:r w:rsidR="00AB362D">
          <w:rPr>
            <w:noProof/>
            <w:webHidden/>
          </w:rPr>
          <w:fldChar w:fldCharType="begin"/>
        </w:r>
        <w:r w:rsidR="00AB362D">
          <w:rPr>
            <w:noProof/>
            <w:webHidden/>
          </w:rPr>
          <w:instrText xml:space="preserve"> PAGEREF _Toc499285562 \h </w:instrText>
        </w:r>
        <w:r w:rsidR="00AB362D">
          <w:rPr>
            <w:noProof/>
            <w:webHidden/>
          </w:rPr>
        </w:r>
        <w:r w:rsidR="00AB362D">
          <w:rPr>
            <w:noProof/>
            <w:webHidden/>
          </w:rPr>
          <w:fldChar w:fldCharType="separate"/>
        </w:r>
        <w:r w:rsidR="00AB362D">
          <w:rPr>
            <w:noProof/>
            <w:webHidden/>
          </w:rPr>
          <w:t>88</w:t>
        </w:r>
        <w:r w:rsidR="00AB362D">
          <w:rPr>
            <w:noProof/>
            <w:webHidden/>
          </w:rPr>
          <w:fldChar w:fldCharType="end"/>
        </w:r>
      </w:hyperlink>
    </w:p>
    <w:p w14:paraId="6D933E94" w14:textId="76F5B942" w:rsidR="00AB362D" w:rsidRDefault="00A63255">
      <w:pPr>
        <w:pStyle w:val="Innehll2"/>
        <w:rPr>
          <w:rFonts w:eastAsiaTheme="minorEastAsia"/>
          <w:noProof/>
          <w:sz w:val="22"/>
          <w:lang w:eastAsia="sv-SE"/>
        </w:rPr>
      </w:pPr>
      <w:hyperlink w:anchor="_Toc499285563" w:history="1">
        <w:r w:rsidR="00AB362D" w:rsidRPr="002A08E0">
          <w:rPr>
            <w:rStyle w:val="Hyperlnk"/>
            <w:noProof/>
            <w:lang w:val="en-GB"/>
          </w:rPr>
          <w:t>5.3</w:t>
        </w:r>
        <w:r w:rsidR="00AB362D" w:rsidRPr="002A08E0">
          <w:rPr>
            <w:rStyle w:val="Hyperlnk"/>
            <w:noProof/>
            <w:lang w:val="en-GB"/>
          </w:rPr>
          <w:tab/>
          <w:t xml:space="preserve">Impacts of planned policies and measures described in section 3 on other Member States and regional cooperation at least until the last year of the period covered by the plan, including </w:t>
        </w:r>
        <w:r w:rsidR="00AB362D" w:rsidRPr="002A08E0">
          <w:rPr>
            <w:rStyle w:val="Hyperlnk"/>
            <w:noProof/>
            <w:lang w:val="en-GB"/>
          </w:rPr>
          <w:lastRenderedPageBreak/>
          <w:t>comparison to projections with existing policies and measures</w:t>
        </w:r>
        <w:r w:rsidR="00AB362D">
          <w:rPr>
            <w:noProof/>
            <w:webHidden/>
          </w:rPr>
          <w:tab/>
        </w:r>
        <w:r w:rsidR="00AB362D">
          <w:rPr>
            <w:noProof/>
            <w:webHidden/>
          </w:rPr>
          <w:fldChar w:fldCharType="begin"/>
        </w:r>
        <w:r w:rsidR="00AB362D">
          <w:rPr>
            <w:noProof/>
            <w:webHidden/>
          </w:rPr>
          <w:instrText xml:space="preserve"> PAGEREF _Toc499285563 \h </w:instrText>
        </w:r>
        <w:r w:rsidR="00AB362D">
          <w:rPr>
            <w:noProof/>
            <w:webHidden/>
          </w:rPr>
        </w:r>
        <w:r w:rsidR="00AB362D">
          <w:rPr>
            <w:noProof/>
            <w:webHidden/>
          </w:rPr>
          <w:fldChar w:fldCharType="separate"/>
        </w:r>
        <w:r w:rsidR="00AB362D">
          <w:rPr>
            <w:noProof/>
            <w:webHidden/>
          </w:rPr>
          <w:t>88</w:t>
        </w:r>
        <w:r w:rsidR="00AB362D">
          <w:rPr>
            <w:noProof/>
            <w:webHidden/>
          </w:rPr>
          <w:fldChar w:fldCharType="end"/>
        </w:r>
      </w:hyperlink>
    </w:p>
    <w:p w14:paraId="7C74AB05" w14:textId="06F0999E" w:rsidR="0044710E" w:rsidRPr="008E2A7B" w:rsidRDefault="0044710E" w:rsidP="0044710E">
      <w:pPr>
        <w:pStyle w:val="Brdtext"/>
        <w:rPr>
          <w:noProof/>
          <w:lang w:val="en-GB"/>
        </w:rPr>
      </w:pPr>
      <w:r w:rsidRPr="008E2A7B">
        <w:rPr>
          <w:noProof/>
          <w:lang w:val="en-GB"/>
        </w:rPr>
        <w:fldChar w:fldCharType="end"/>
      </w:r>
    </w:p>
    <w:p w14:paraId="22D1E085" w14:textId="77777777" w:rsidR="0044710E" w:rsidRPr="008E2A7B" w:rsidRDefault="0044710E" w:rsidP="0044710E">
      <w:pPr>
        <w:pStyle w:val="Brdtext"/>
        <w:rPr>
          <w:lang w:val="en-GB"/>
        </w:rPr>
        <w:sectPr w:rsidR="0044710E" w:rsidRPr="008E2A7B" w:rsidSect="00E95794">
          <w:type w:val="oddPage"/>
          <w:pgSz w:w="11906" w:h="16838" w:code="9"/>
          <w:pgMar w:top="1701" w:right="2495" w:bottom="1418" w:left="2495" w:header="454" w:footer="567" w:gutter="0"/>
          <w:cols w:space="708"/>
          <w:docGrid w:linePitch="360"/>
        </w:sectPr>
      </w:pPr>
    </w:p>
    <w:p w14:paraId="689F11F9" w14:textId="77777777" w:rsidR="0044710E" w:rsidRPr="008E2A7B" w:rsidRDefault="0044710E" w:rsidP="0044710E">
      <w:pPr>
        <w:pStyle w:val="Rubrik1"/>
        <w:rPr>
          <w:lang w:val="en-GB"/>
        </w:rPr>
      </w:pPr>
      <w:bookmarkStart w:id="1" w:name="_Toc499285536"/>
      <w:r w:rsidRPr="008E2A7B">
        <w:rPr>
          <w:lang w:val="en-GB"/>
        </w:rPr>
        <w:lastRenderedPageBreak/>
        <w:t>Overview and process for establishing the plan</w:t>
      </w:r>
      <w:bookmarkEnd w:id="1"/>
    </w:p>
    <w:p w14:paraId="39817E7C" w14:textId="177C99C0" w:rsidR="0044710E" w:rsidRPr="00E917AB" w:rsidRDefault="00E917AB" w:rsidP="00E917AB">
      <w:pPr>
        <w:pStyle w:val="Brdtext"/>
        <w:rPr>
          <w:b/>
          <w:color w:val="FF0000"/>
        </w:rPr>
      </w:pPr>
      <w:r>
        <w:rPr>
          <w:b/>
          <w:color w:val="FF0000"/>
        </w:rPr>
        <w:t>[</w:t>
      </w:r>
      <w:r w:rsidR="0044710E" w:rsidRPr="00E917AB">
        <w:rPr>
          <w:b/>
          <w:color w:val="FF0000"/>
        </w:rPr>
        <w:t>RK hanterar detta avsnitt</w:t>
      </w:r>
      <w:r>
        <w:rPr>
          <w:b/>
          <w:color w:val="FF0000"/>
        </w:rPr>
        <w:t>]</w:t>
      </w:r>
    </w:p>
    <w:p w14:paraId="37DE2CA5" w14:textId="77777777" w:rsidR="0044710E" w:rsidRPr="008E2A7B" w:rsidRDefault="0044710E" w:rsidP="0044710E">
      <w:pPr>
        <w:pStyle w:val="Rubrik2"/>
        <w:rPr>
          <w:lang w:val="en-GB"/>
        </w:rPr>
      </w:pPr>
      <w:bookmarkStart w:id="2" w:name="_Toc499285537"/>
      <w:r w:rsidRPr="008E2A7B">
        <w:rPr>
          <w:lang w:val="en-GB"/>
        </w:rPr>
        <w:t>Executive Summary</w:t>
      </w:r>
      <w:bookmarkEnd w:id="2"/>
    </w:p>
    <w:p w14:paraId="6163885C" w14:textId="77777777" w:rsidR="0044710E" w:rsidRPr="008E2A7B" w:rsidRDefault="0044710E" w:rsidP="0044710E">
      <w:pPr>
        <w:pStyle w:val="i-lista"/>
        <w:numPr>
          <w:ilvl w:val="1"/>
          <w:numId w:val="5"/>
        </w:numPr>
        <w:rPr>
          <w:i/>
          <w:lang w:val="en-GB"/>
        </w:rPr>
      </w:pPr>
      <w:r w:rsidRPr="008E2A7B">
        <w:rPr>
          <w:i/>
          <w:lang w:val="en-GB"/>
        </w:rPr>
        <w:t>Political, economic, environmental, and social context of the plan</w:t>
      </w:r>
    </w:p>
    <w:p w14:paraId="42732A22" w14:textId="77777777" w:rsidR="0044710E" w:rsidRPr="008E2A7B" w:rsidRDefault="0044710E" w:rsidP="0044710E">
      <w:pPr>
        <w:pStyle w:val="i-lista"/>
        <w:numPr>
          <w:ilvl w:val="1"/>
          <w:numId w:val="5"/>
        </w:numPr>
        <w:rPr>
          <w:i/>
          <w:lang w:val="en-GB"/>
        </w:rPr>
      </w:pPr>
      <w:r w:rsidRPr="008E2A7B">
        <w:rPr>
          <w:i/>
          <w:lang w:val="en-GB"/>
        </w:rPr>
        <w:t>Overarching strategy covering the five dimensions of the Energy Union</w:t>
      </w:r>
    </w:p>
    <w:p w14:paraId="572425BA" w14:textId="77777777" w:rsidR="0044710E" w:rsidRPr="008E2A7B" w:rsidRDefault="0044710E" w:rsidP="0044710E">
      <w:pPr>
        <w:pStyle w:val="i-lista"/>
        <w:numPr>
          <w:ilvl w:val="1"/>
          <w:numId w:val="5"/>
        </w:numPr>
        <w:rPr>
          <w:i/>
          <w:lang w:val="en-GB"/>
        </w:rPr>
      </w:pPr>
      <w:r w:rsidRPr="008E2A7B">
        <w:rPr>
          <w:i/>
          <w:lang w:val="en-GB"/>
        </w:rPr>
        <w:t>Overview table with key objectives, policies and measures of the plan</w:t>
      </w:r>
    </w:p>
    <w:p w14:paraId="20C8466F" w14:textId="77777777" w:rsidR="0044710E" w:rsidRPr="008E2A7B" w:rsidRDefault="0044710E" w:rsidP="0044710E">
      <w:pPr>
        <w:pStyle w:val="Rubrik2"/>
        <w:rPr>
          <w:lang w:val="en-GB"/>
        </w:rPr>
      </w:pPr>
      <w:bookmarkStart w:id="3" w:name="_Toc499285538"/>
      <w:r w:rsidRPr="008E2A7B">
        <w:rPr>
          <w:lang w:val="en-GB"/>
        </w:rPr>
        <w:t>Overview of current policy situation</w:t>
      </w:r>
      <w:bookmarkEnd w:id="3"/>
      <w:r w:rsidRPr="008E2A7B">
        <w:rPr>
          <w:lang w:val="en-GB"/>
        </w:rPr>
        <w:t xml:space="preserve"> </w:t>
      </w:r>
    </w:p>
    <w:p w14:paraId="3E42DF73" w14:textId="77777777" w:rsidR="0044710E" w:rsidRPr="008E2A7B" w:rsidRDefault="0044710E" w:rsidP="0044710E">
      <w:pPr>
        <w:pStyle w:val="i-lista"/>
        <w:numPr>
          <w:ilvl w:val="1"/>
          <w:numId w:val="7"/>
        </w:numPr>
        <w:rPr>
          <w:i/>
          <w:lang w:val="en-GB"/>
        </w:rPr>
      </w:pPr>
      <w:r w:rsidRPr="008E2A7B">
        <w:rPr>
          <w:i/>
          <w:lang w:val="en-GB"/>
        </w:rPr>
        <w:t>National and EU energy system and policy context of the national plan</w:t>
      </w:r>
    </w:p>
    <w:p w14:paraId="30867A59" w14:textId="091457B8" w:rsidR="00CF1BE2" w:rsidRPr="008E2A7B" w:rsidRDefault="00A742AC" w:rsidP="00A742AC">
      <w:pPr>
        <w:pStyle w:val="Brdtext"/>
        <w:rPr>
          <w:lang w:val="en-GB"/>
        </w:rPr>
      </w:pPr>
      <w:r w:rsidRPr="008E2A7B">
        <w:rPr>
          <w:lang w:val="en-GB"/>
        </w:rPr>
        <w:t xml:space="preserve">Sweden’s climate strategy consists of objectives, policy instruments and measures, together with regular follow-up and evaluation. In June 2017, a new National Climate Policy Framework, ensuring long term order and stability in climate policy, was adopted by the Riksdag (Swedish Parliament). </w:t>
      </w:r>
    </w:p>
    <w:p w14:paraId="79FE19E5" w14:textId="77777777" w:rsidR="00A742AC" w:rsidRPr="008E2A7B" w:rsidRDefault="00A742AC" w:rsidP="00A742AC">
      <w:pPr>
        <w:pStyle w:val="Brdtext"/>
        <w:contextualSpacing/>
        <w:rPr>
          <w:lang w:val="en-GB"/>
        </w:rPr>
      </w:pPr>
      <w:r w:rsidRPr="008E2A7B">
        <w:rPr>
          <w:b/>
          <w:lang w:val="en-GB"/>
        </w:rPr>
        <w:t>Sweden’s national climate policy framework</w:t>
      </w:r>
    </w:p>
    <w:p w14:paraId="143B0B97" w14:textId="447CCCF1" w:rsidR="00CF1BE2" w:rsidRDefault="00A742AC" w:rsidP="00A742AC">
      <w:pPr>
        <w:pStyle w:val="Brdtext"/>
        <w:contextualSpacing/>
      </w:pPr>
      <w:r w:rsidRPr="008E2A7B">
        <w:rPr>
          <w:lang w:val="en-GB"/>
        </w:rPr>
        <w:t>In June 2017, the Riksdag (Swedish Parliament) adopted a proposal on a national climate policy framework for Sweden (Govt. Bill 2016/17:146). The climate policy framework consists of a Climate Act, new national climate targets and a climate policy council. The climate policy framework is the most important climate reform in Sweden’s history. It creates order and stability in climate policy and sets long-term conditions for the business sector and society. The climate act will impose responsibility on the current Government, and on future governments, to pursue a climate policy that is based on the national climate targets and to provide clear feedback on the progress. Sweden will have long-term climate targets beyond 2020 and a council that independently reviews climate policy. The reform is a key component of Sweden’s efforts to live up to the Paris Agreement.</w:t>
      </w:r>
      <w:r w:rsidR="00F924DA" w:rsidRPr="008E2A7B">
        <w:rPr>
          <w:lang w:val="en-GB"/>
        </w:rPr>
        <w:t xml:space="preserve"> For details of Sweden’s national climate objective and targets see chapter 2.1.1</w:t>
      </w:r>
      <w:r w:rsidR="00F924DA" w:rsidRPr="008E2A7B">
        <w:rPr>
          <w:i/>
          <w:lang w:val="en-GB"/>
        </w:rPr>
        <w:t>ii</w:t>
      </w:r>
      <w:r w:rsidR="00F924DA" w:rsidRPr="008E2A7B">
        <w:rPr>
          <w:lang w:val="en-GB"/>
        </w:rPr>
        <w:t>.</w:t>
      </w:r>
    </w:p>
    <w:p w14:paraId="02CF0FCC" w14:textId="77777777" w:rsidR="00EB4AA9" w:rsidRPr="002F305C" w:rsidRDefault="00EB4AA9" w:rsidP="00A742AC">
      <w:pPr>
        <w:pStyle w:val="Brdtext"/>
        <w:contextualSpacing/>
        <w:rPr>
          <w:b/>
        </w:rPr>
      </w:pPr>
    </w:p>
    <w:p w14:paraId="65A24C0B" w14:textId="77777777" w:rsidR="00E917AB" w:rsidRDefault="00E917AB" w:rsidP="00A742AC">
      <w:pPr>
        <w:pStyle w:val="Brdtext"/>
        <w:contextualSpacing/>
        <w:rPr>
          <w:b/>
          <w:lang w:val="en-GB"/>
        </w:rPr>
      </w:pPr>
    </w:p>
    <w:p w14:paraId="7F5B8330" w14:textId="77777777" w:rsidR="00E917AB" w:rsidRDefault="00E917AB" w:rsidP="00A742AC">
      <w:pPr>
        <w:pStyle w:val="Brdtext"/>
        <w:contextualSpacing/>
        <w:rPr>
          <w:b/>
          <w:lang w:val="en-GB"/>
        </w:rPr>
      </w:pPr>
    </w:p>
    <w:p w14:paraId="2A717903" w14:textId="77777777" w:rsidR="00E917AB" w:rsidRDefault="00E917AB" w:rsidP="00A742AC">
      <w:pPr>
        <w:pStyle w:val="Brdtext"/>
        <w:contextualSpacing/>
        <w:rPr>
          <w:b/>
          <w:lang w:val="en-GB"/>
        </w:rPr>
      </w:pPr>
    </w:p>
    <w:p w14:paraId="492B66C1" w14:textId="5EF4ECD4" w:rsidR="00A742AC" w:rsidRPr="008E2A7B" w:rsidRDefault="00A742AC" w:rsidP="00A742AC">
      <w:pPr>
        <w:pStyle w:val="Brdtext"/>
        <w:contextualSpacing/>
        <w:rPr>
          <w:b/>
          <w:lang w:val="en-GB"/>
        </w:rPr>
      </w:pPr>
      <w:r w:rsidRPr="008E2A7B">
        <w:rPr>
          <w:b/>
          <w:lang w:val="en-GB"/>
        </w:rPr>
        <w:lastRenderedPageBreak/>
        <w:t>CLIMATE ACT</w:t>
      </w:r>
    </w:p>
    <w:p w14:paraId="2111D501" w14:textId="77777777" w:rsidR="00A742AC" w:rsidRPr="008E2A7B" w:rsidRDefault="00A742AC" w:rsidP="00A742AC">
      <w:pPr>
        <w:pStyle w:val="Brdtext"/>
        <w:contextualSpacing/>
        <w:rPr>
          <w:lang w:val="en-GB"/>
        </w:rPr>
      </w:pPr>
      <w:r w:rsidRPr="008E2A7B">
        <w:rPr>
          <w:lang w:val="en-GB"/>
        </w:rPr>
        <w:t>The Climate Act legislates that the Government’s climate policy must be based on the national climate targets and specifies how the work should be carried out.</w:t>
      </w:r>
    </w:p>
    <w:p w14:paraId="0200B687" w14:textId="77777777" w:rsidR="00A7562A" w:rsidRPr="008E2A7B" w:rsidRDefault="00A7562A" w:rsidP="00A742AC">
      <w:pPr>
        <w:pStyle w:val="Brdtext"/>
        <w:contextualSpacing/>
        <w:rPr>
          <w:lang w:val="en-GB"/>
        </w:rPr>
      </w:pPr>
    </w:p>
    <w:p w14:paraId="44254781" w14:textId="77777777" w:rsidR="00A742AC" w:rsidRPr="008E2A7B" w:rsidRDefault="00A742AC" w:rsidP="00A742AC">
      <w:pPr>
        <w:pStyle w:val="Brdtext"/>
        <w:rPr>
          <w:lang w:val="en-GB"/>
        </w:rPr>
      </w:pPr>
      <w:r w:rsidRPr="008E2A7B">
        <w:rPr>
          <w:lang w:val="en-GB" w:eastAsia="sv-SE"/>
        </w:rPr>
        <w:t>In its Budget Bill, the Government must submit a climate review to the Riksdag every year. The climate review must contain:</w:t>
      </w:r>
    </w:p>
    <w:p w14:paraId="6534E5EB" w14:textId="77777777" w:rsidR="00A742AC" w:rsidRPr="008E2A7B" w:rsidRDefault="00A742AC" w:rsidP="005E4659">
      <w:pPr>
        <w:pStyle w:val="Brdtext"/>
        <w:numPr>
          <w:ilvl w:val="0"/>
          <w:numId w:val="48"/>
        </w:numPr>
        <w:spacing w:after="0"/>
        <w:rPr>
          <w:lang w:val="en-GB"/>
        </w:rPr>
      </w:pPr>
      <w:r w:rsidRPr="008E2A7B">
        <w:rPr>
          <w:lang w:val="en-GB" w:eastAsia="sv-SE"/>
        </w:rPr>
        <w:t>A report on emissions development.</w:t>
      </w:r>
    </w:p>
    <w:p w14:paraId="39656235" w14:textId="77777777" w:rsidR="00A742AC" w:rsidRPr="008E2A7B" w:rsidRDefault="00A742AC" w:rsidP="005E4659">
      <w:pPr>
        <w:pStyle w:val="Brdtext"/>
        <w:numPr>
          <w:ilvl w:val="0"/>
          <w:numId w:val="48"/>
        </w:numPr>
        <w:spacing w:after="0"/>
        <w:rPr>
          <w:lang w:val="en-GB"/>
        </w:rPr>
      </w:pPr>
      <w:r w:rsidRPr="008E2A7B">
        <w:rPr>
          <w:lang w:val="en-GB" w:eastAsia="sv-SE"/>
        </w:rPr>
        <w:t xml:space="preserve">A report on the key political climate decisions taken during the year. </w:t>
      </w:r>
    </w:p>
    <w:p w14:paraId="01754C12" w14:textId="77777777" w:rsidR="00A742AC" w:rsidRPr="008E2A7B" w:rsidRDefault="00A742AC" w:rsidP="005E4659">
      <w:pPr>
        <w:pStyle w:val="Brdtext"/>
        <w:numPr>
          <w:ilvl w:val="0"/>
          <w:numId w:val="48"/>
        </w:numPr>
        <w:spacing w:after="0"/>
        <w:rPr>
          <w:lang w:val="en-GB"/>
        </w:rPr>
      </w:pPr>
      <w:r w:rsidRPr="008E2A7B">
        <w:rPr>
          <w:lang w:val="en-GB" w:eastAsia="sv-SE"/>
        </w:rPr>
        <w:t>An assessment to identify the need for additional policies and measures, and when and how decisions about such policies and measures can be adopted.</w:t>
      </w:r>
    </w:p>
    <w:p w14:paraId="293B8ECF" w14:textId="77777777" w:rsidR="00E917AB" w:rsidRPr="008E2A7B" w:rsidRDefault="00E917AB" w:rsidP="00E917AB">
      <w:pPr>
        <w:pStyle w:val="Brdtext"/>
        <w:spacing w:after="0"/>
        <w:ind w:left="720"/>
        <w:rPr>
          <w:lang w:val="en-GB"/>
        </w:rPr>
      </w:pPr>
    </w:p>
    <w:p w14:paraId="0BF40697" w14:textId="77777777" w:rsidR="00A742AC" w:rsidRPr="008E2A7B" w:rsidRDefault="00A742AC" w:rsidP="00A742AC">
      <w:pPr>
        <w:pStyle w:val="Brdtext"/>
        <w:rPr>
          <w:lang w:val="en-GB"/>
        </w:rPr>
      </w:pPr>
      <w:r w:rsidRPr="008E2A7B">
        <w:rPr>
          <w:lang w:val="en-GB"/>
        </w:rPr>
        <w:t xml:space="preserve">Every fourth year, the Government must develop a climate policy action plan which provides information on planned policies and measures to achieve emission reductions. </w:t>
      </w:r>
    </w:p>
    <w:p w14:paraId="39AA5CD9" w14:textId="5CF7403F" w:rsidR="00A742AC" w:rsidRPr="008E2A7B" w:rsidRDefault="00A742AC" w:rsidP="00A742AC">
      <w:pPr>
        <w:pStyle w:val="Brdtext"/>
        <w:rPr>
          <w:lang w:val="en-GB"/>
        </w:rPr>
      </w:pPr>
      <w:r w:rsidRPr="008E2A7B">
        <w:rPr>
          <w:lang w:val="en-GB"/>
        </w:rPr>
        <w:t>The new Climate Act will enter into force on 1 January 2018.</w:t>
      </w:r>
    </w:p>
    <w:p w14:paraId="57B8BE32" w14:textId="77777777" w:rsidR="00A742AC" w:rsidRPr="008E2A7B" w:rsidRDefault="00A742AC" w:rsidP="00A742AC">
      <w:pPr>
        <w:pStyle w:val="Brdtext"/>
        <w:contextualSpacing/>
        <w:rPr>
          <w:b/>
          <w:lang w:val="en-GB"/>
        </w:rPr>
      </w:pPr>
      <w:r w:rsidRPr="008E2A7B">
        <w:rPr>
          <w:b/>
          <w:lang w:val="en-GB"/>
        </w:rPr>
        <w:t>CLIMATE POLICY COUNCIL</w:t>
      </w:r>
    </w:p>
    <w:p w14:paraId="65655FB9" w14:textId="77777777" w:rsidR="00A742AC" w:rsidRPr="008E2A7B" w:rsidRDefault="00A742AC" w:rsidP="00A742AC">
      <w:pPr>
        <w:pStyle w:val="Brdtext"/>
        <w:contextualSpacing/>
        <w:rPr>
          <w:lang w:val="en-GB"/>
        </w:rPr>
      </w:pPr>
      <w:r w:rsidRPr="008E2A7B">
        <w:rPr>
          <w:lang w:val="en-GB"/>
        </w:rPr>
        <w:t>The climate policy council will provide independent assessments of how the overall policy presented by the Government is compatible with the national climate goals.</w:t>
      </w:r>
    </w:p>
    <w:p w14:paraId="58E49C25" w14:textId="6D340789" w:rsidR="00A742AC" w:rsidRDefault="00A742AC" w:rsidP="00EB4AA9">
      <w:pPr>
        <w:pStyle w:val="Brdtext"/>
        <w:contextualSpacing/>
        <w:rPr>
          <w:lang w:val="en-GB"/>
        </w:rPr>
      </w:pPr>
    </w:p>
    <w:p w14:paraId="7569D16C" w14:textId="10EE27B5" w:rsidR="0044710E" w:rsidRPr="00C30384" w:rsidRDefault="00E917AB" w:rsidP="00EB4AA9">
      <w:pPr>
        <w:pStyle w:val="Brdtext"/>
        <w:contextualSpacing/>
        <w:rPr>
          <w:color w:val="FF0000"/>
          <w:lang w:val="sv-SE"/>
        </w:rPr>
      </w:pPr>
      <w:r w:rsidRPr="00205AA1">
        <w:rPr>
          <w:color w:val="FF0000"/>
          <w:lang w:val="sv-SE"/>
        </w:rPr>
        <w:t>[</w:t>
      </w:r>
      <w:r w:rsidR="0044710E" w:rsidRPr="00C30384">
        <w:rPr>
          <w:color w:val="FF0000"/>
          <w:lang w:val="sv-SE"/>
        </w:rPr>
        <w:t xml:space="preserve">Här beskrivs Energikommissionen, dess arbete och betänkande samt Energiöverenskommelsen och dess mål och ambition. </w:t>
      </w:r>
    </w:p>
    <w:p w14:paraId="1DA6402F" w14:textId="77777777" w:rsidR="00EB4AA9" w:rsidRPr="00E917AB" w:rsidRDefault="00EB4AA9" w:rsidP="00EB4AA9">
      <w:pPr>
        <w:pStyle w:val="Brdtext"/>
        <w:contextualSpacing/>
        <w:rPr>
          <w:color w:val="FF0000"/>
          <w:lang w:val="sv-SE"/>
        </w:rPr>
      </w:pPr>
    </w:p>
    <w:p w14:paraId="77941338" w14:textId="5BEDBBCA" w:rsidR="0044710E" w:rsidRPr="00E917AB" w:rsidRDefault="0044710E" w:rsidP="00EB4AA9">
      <w:pPr>
        <w:pStyle w:val="Brdtext"/>
        <w:contextualSpacing/>
        <w:rPr>
          <w:color w:val="FF0000"/>
          <w:lang w:val="sv-SE"/>
        </w:rPr>
      </w:pPr>
      <w:r w:rsidRPr="00E917AB">
        <w:rPr>
          <w:color w:val="FF0000"/>
          <w:lang w:val="sv-SE"/>
        </w:rPr>
        <w:t>Här beskrivs även övergripande klimat</w:t>
      </w:r>
      <w:r w:rsidR="005C27BD" w:rsidRPr="00E917AB">
        <w:rPr>
          <w:color w:val="FF0000"/>
          <w:lang w:val="sv-SE"/>
        </w:rPr>
        <w:t>-</w:t>
      </w:r>
      <w:r w:rsidRPr="00E917AB">
        <w:rPr>
          <w:color w:val="FF0000"/>
          <w:lang w:val="sv-SE"/>
        </w:rPr>
        <w:t xml:space="preserve"> och energimål typ avvägningar mellan miljö, ekonomi och försörjningstrygghet.</w:t>
      </w:r>
      <w:r w:rsidR="00E917AB">
        <w:rPr>
          <w:color w:val="FF0000"/>
          <w:lang w:val="sv-SE"/>
        </w:rPr>
        <w:t>]</w:t>
      </w:r>
      <w:r w:rsidRPr="00E917AB">
        <w:rPr>
          <w:color w:val="FF0000"/>
          <w:lang w:val="sv-SE"/>
        </w:rPr>
        <w:t xml:space="preserve"> </w:t>
      </w:r>
    </w:p>
    <w:p w14:paraId="06B23645" w14:textId="77777777" w:rsidR="0044710E" w:rsidRPr="008E2A7B" w:rsidRDefault="0044710E" w:rsidP="0044710E">
      <w:pPr>
        <w:pStyle w:val="i-lista"/>
        <w:numPr>
          <w:ilvl w:val="1"/>
          <w:numId w:val="7"/>
        </w:numPr>
        <w:rPr>
          <w:i/>
          <w:lang w:val="en-GB"/>
        </w:rPr>
      </w:pPr>
      <w:r w:rsidRPr="008E2A7B">
        <w:rPr>
          <w:i/>
          <w:lang w:val="en-GB"/>
        </w:rPr>
        <w:lastRenderedPageBreak/>
        <w:t>Current energy and climate policies and measures across the five dimensions of the Energy Union</w:t>
      </w:r>
    </w:p>
    <w:p w14:paraId="7DD8B055" w14:textId="77777777" w:rsidR="0044710E" w:rsidRPr="008E2A7B" w:rsidRDefault="0044710E" w:rsidP="0044710E">
      <w:pPr>
        <w:pStyle w:val="i-lista"/>
        <w:numPr>
          <w:ilvl w:val="1"/>
          <w:numId w:val="7"/>
        </w:numPr>
        <w:rPr>
          <w:i/>
          <w:lang w:val="en-GB"/>
        </w:rPr>
      </w:pPr>
      <w:r w:rsidRPr="008E2A7B">
        <w:rPr>
          <w:i/>
          <w:lang w:val="en-GB"/>
        </w:rPr>
        <w:t>Key issues of cross-border relevance</w:t>
      </w:r>
    </w:p>
    <w:p w14:paraId="7CF1A0B7" w14:textId="77777777" w:rsidR="0044710E" w:rsidRPr="008E2A7B" w:rsidRDefault="0044710E" w:rsidP="0044710E">
      <w:pPr>
        <w:pStyle w:val="i-lista"/>
        <w:numPr>
          <w:ilvl w:val="1"/>
          <w:numId w:val="7"/>
        </w:numPr>
        <w:rPr>
          <w:i/>
          <w:lang w:val="en-GB"/>
        </w:rPr>
      </w:pPr>
      <w:r w:rsidRPr="008E2A7B">
        <w:rPr>
          <w:i/>
          <w:lang w:val="en-GB"/>
        </w:rPr>
        <w:t>Administrative structure of implementing national energy and climate policies</w:t>
      </w:r>
    </w:p>
    <w:p w14:paraId="5CAF85CA" w14:textId="77777777" w:rsidR="0044710E" w:rsidRPr="008E2A7B" w:rsidRDefault="0044710E" w:rsidP="0044710E">
      <w:pPr>
        <w:pStyle w:val="Rubrik2"/>
        <w:rPr>
          <w:lang w:val="en-GB"/>
        </w:rPr>
      </w:pPr>
      <w:bookmarkStart w:id="4" w:name="_Toc499285539"/>
      <w:r w:rsidRPr="008E2A7B">
        <w:rPr>
          <w:lang w:val="en-GB"/>
        </w:rPr>
        <w:t>Consultations and involvement of national and EU entities and their outcome</w:t>
      </w:r>
      <w:bookmarkEnd w:id="4"/>
    </w:p>
    <w:p w14:paraId="54AC7338" w14:textId="77777777" w:rsidR="0044710E" w:rsidRPr="008E2A7B" w:rsidRDefault="0044710E" w:rsidP="0044710E">
      <w:pPr>
        <w:pStyle w:val="i-lista"/>
        <w:numPr>
          <w:ilvl w:val="1"/>
          <w:numId w:val="8"/>
        </w:numPr>
        <w:rPr>
          <w:i/>
          <w:lang w:val="en-GB"/>
        </w:rPr>
      </w:pPr>
      <w:r w:rsidRPr="008E2A7B">
        <w:rPr>
          <w:i/>
          <w:lang w:val="en-GB"/>
        </w:rPr>
        <w:t xml:space="preserve">Involvement of the Parliament </w:t>
      </w:r>
    </w:p>
    <w:p w14:paraId="76CD0734" w14:textId="77777777" w:rsidR="0044710E" w:rsidRPr="008E2A7B" w:rsidRDefault="0044710E" w:rsidP="0044710E">
      <w:pPr>
        <w:pStyle w:val="i-lista"/>
        <w:numPr>
          <w:ilvl w:val="1"/>
          <w:numId w:val="8"/>
        </w:numPr>
        <w:rPr>
          <w:i/>
          <w:lang w:val="en-GB"/>
        </w:rPr>
      </w:pPr>
      <w:r w:rsidRPr="008E2A7B">
        <w:rPr>
          <w:i/>
          <w:lang w:val="en-GB"/>
        </w:rPr>
        <w:t xml:space="preserve">Involvement of local and regional authorities </w:t>
      </w:r>
    </w:p>
    <w:p w14:paraId="329A4A41" w14:textId="77777777" w:rsidR="0044710E" w:rsidRPr="008E2A7B" w:rsidRDefault="0044710E" w:rsidP="0044710E">
      <w:pPr>
        <w:pStyle w:val="i-lista"/>
        <w:numPr>
          <w:ilvl w:val="1"/>
          <w:numId w:val="8"/>
        </w:numPr>
        <w:rPr>
          <w:i/>
          <w:lang w:val="en-GB"/>
        </w:rPr>
      </w:pPr>
      <w:r w:rsidRPr="008E2A7B">
        <w:rPr>
          <w:i/>
          <w:lang w:val="en-GB"/>
        </w:rPr>
        <w:t>Consultations with stakeholders, including social partners, and engagement of civil society</w:t>
      </w:r>
    </w:p>
    <w:p w14:paraId="641F7CE6" w14:textId="77777777" w:rsidR="0044710E" w:rsidRPr="008E2A7B" w:rsidRDefault="0044710E" w:rsidP="0044710E">
      <w:pPr>
        <w:pStyle w:val="i-lista"/>
        <w:numPr>
          <w:ilvl w:val="1"/>
          <w:numId w:val="8"/>
        </w:numPr>
        <w:rPr>
          <w:i/>
          <w:lang w:val="en-GB"/>
        </w:rPr>
      </w:pPr>
      <w:r w:rsidRPr="008E2A7B">
        <w:rPr>
          <w:i/>
          <w:lang w:val="en-GB"/>
        </w:rPr>
        <w:t xml:space="preserve">Consultations with other Member States </w:t>
      </w:r>
    </w:p>
    <w:p w14:paraId="270762DE" w14:textId="77777777" w:rsidR="0044710E" w:rsidRPr="008E2A7B" w:rsidRDefault="0044710E" w:rsidP="0044710E">
      <w:pPr>
        <w:pStyle w:val="i-lista"/>
        <w:numPr>
          <w:ilvl w:val="1"/>
          <w:numId w:val="8"/>
        </w:numPr>
        <w:rPr>
          <w:i/>
          <w:lang w:val="en-GB"/>
        </w:rPr>
      </w:pPr>
      <w:r w:rsidRPr="008E2A7B">
        <w:rPr>
          <w:i/>
          <w:lang w:val="en-GB"/>
        </w:rPr>
        <w:t xml:space="preserve">Iterative process with the European Commission </w:t>
      </w:r>
    </w:p>
    <w:p w14:paraId="616893EC" w14:textId="77777777" w:rsidR="0044710E" w:rsidRPr="008E2A7B" w:rsidRDefault="0044710E" w:rsidP="0044710E">
      <w:pPr>
        <w:pStyle w:val="Rubrik2"/>
        <w:rPr>
          <w:lang w:val="en-GB"/>
        </w:rPr>
      </w:pPr>
      <w:bookmarkStart w:id="5" w:name="_Toc499285540"/>
      <w:r w:rsidRPr="008E2A7B">
        <w:rPr>
          <w:lang w:val="en-GB"/>
        </w:rPr>
        <w:t>Regional cooperation in preparing the plan</w:t>
      </w:r>
      <w:bookmarkEnd w:id="5"/>
    </w:p>
    <w:p w14:paraId="03FFA432" w14:textId="77777777" w:rsidR="0044710E" w:rsidRPr="008E2A7B" w:rsidRDefault="0044710E" w:rsidP="0044710E">
      <w:pPr>
        <w:pStyle w:val="i-lista"/>
        <w:numPr>
          <w:ilvl w:val="1"/>
          <w:numId w:val="9"/>
        </w:numPr>
        <w:rPr>
          <w:i/>
          <w:lang w:val="en-GB"/>
        </w:rPr>
      </w:pPr>
      <w:r w:rsidRPr="008E2A7B">
        <w:rPr>
          <w:i/>
          <w:lang w:val="en-GB"/>
        </w:rPr>
        <w:t>Elements subject to joint or coordinated planning with other Member States</w:t>
      </w:r>
    </w:p>
    <w:p w14:paraId="014AD561" w14:textId="77777777" w:rsidR="0044710E" w:rsidRPr="008E2A7B" w:rsidRDefault="0044710E" w:rsidP="0044710E">
      <w:pPr>
        <w:pStyle w:val="i-lista"/>
        <w:numPr>
          <w:ilvl w:val="1"/>
          <w:numId w:val="9"/>
        </w:numPr>
        <w:rPr>
          <w:i/>
          <w:lang w:val="en-GB"/>
        </w:rPr>
      </w:pPr>
      <w:r w:rsidRPr="008E2A7B">
        <w:rPr>
          <w:i/>
          <w:lang w:val="en-GB"/>
        </w:rPr>
        <w:t>Explanation of how regional cooperation is considered in the plan</w:t>
      </w:r>
    </w:p>
    <w:p w14:paraId="2EE89B18" w14:textId="77777777" w:rsidR="0044710E" w:rsidRPr="008E2A7B" w:rsidRDefault="0044710E" w:rsidP="0044710E">
      <w:pPr>
        <w:pStyle w:val="Rubrik1"/>
        <w:rPr>
          <w:lang w:val="en-GB"/>
        </w:rPr>
      </w:pPr>
      <w:bookmarkStart w:id="6" w:name="_Toc499285541"/>
      <w:r w:rsidRPr="008E2A7B">
        <w:rPr>
          <w:lang w:val="en-GB"/>
        </w:rPr>
        <w:lastRenderedPageBreak/>
        <w:t>National objectives and targets</w:t>
      </w:r>
      <w:bookmarkEnd w:id="6"/>
    </w:p>
    <w:p w14:paraId="2C92ABAE" w14:textId="77777777" w:rsidR="0044710E" w:rsidRPr="008E2A7B" w:rsidRDefault="0044710E" w:rsidP="0044710E">
      <w:pPr>
        <w:pStyle w:val="Rubrik2"/>
        <w:rPr>
          <w:lang w:val="en-GB"/>
        </w:rPr>
      </w:pPr>
      <w:bookmarkStart w:id="7" w:name="_Toc499285542"/>
      <w:r w:rsidRPr="008E2A7B">
        <w:rPr>
          <w:lang w:val="en-GB"/>
        </w:rPr>
        <w:t>Dimension Decarbonisation</w:t>
      </w:r>
      <w:bookmarkEnd w:id="7"/>
    </w:p>
    <w:p w14:paraId="11D10DE4" w14:textId="77777777" w:rsidR="0044710E" w:rsidRPr="008E2A7B" w:rsidRDefault="0044710E" w:rsidP="0044710E">
      <w:pPr>
        <w:pStyle w:val="Rubrik3"/>
        <w:rPr>
          <w:lang w:val="en-GB"/>
        </w:rPr>
      </w:pPr>
      <w:r w:rsidRPr="008E2A7B">
        <w:rPr>
          <w:lang w:val="en-GB"/>
        </w:rPr>
        <w:t xml:space="preserve">GHG emissions and removals (for the plan covering the period from 2021 to 2030, the 2030 Framework target of at least 40% domestic reduction in economy-wide greenhouse gas emissions as compared to 1990) </w:t>
      </w:r>
    </w:p>
    <w:p w14:paraId="1C0E8D3B" w14:textId="77777777" w:rsidR="0044710E" w:rsidRPr="008E2A7B" w:rsidRDefault="0044710E" w:rsidP="0044710E">
      <w:pPr>
        <w:pStyle w:val="i-lista"/>
        <w:numPr>
          <w:ilvl w:val="1"/>
          <w:numId w:val="10"/>
        </w:numPr>
        <w:rPr>
          <w:i/>
          <w:lang w:val="en-GB"/>
        </w:rPr>
      </w:pPr>
      <w:r w:rsidRPr="008E2A7B">
        <w:rPr>
          <w:i/>
          <w:lang w:val="en-GB"/>
        </w:rPr>
        <w:t xml:space="preserve">The Member State's binding national 2030 target for greenhouse gas emissions in the non-ETS-sectors, the annual binding national limits and the commitments under the LULUCF Regulation </w:t>
      </w:r>
    </w:p>
    <w:p w14:paraId="5107D1FD" w14:textId="5DCE62C3" w:rsidR="009655C5" w:rsidRPr="008E2A7B" w:rsidRDefault="009655C5" w:rsidP="009655C5">
      <w:pPr>
        <w:pStyle w:val="Brdtext"/>
        <w:rPr>
          <w:lang w:val="en-GB"/>
        </w:rPr>
      </w:pPr>
      <w:r w:rsidRPr="008E2A7B">
        <w:rPr>
          <w:lang w:val="en-GB"/>
        </w:rPr>
        <w:t xml:space="preserve">The EU submitted an INDC for the Paris Agreement in 2014 to reduce GHG emissions by 40 % compared with 1990 levels by 2030. Because this INDC under the Paris Agreement was only submitted by the EU and its 28 Member States together (EU-28) and not by each Member State, there are no specified INDCs under the Paris Agreement for individual Member States. For this reason, Sweden, as part of the EU-28, takes on a quantified economy-wide emission reduction target jointly with all other Member States. </w:t>
      </w:r>
    </w:p>
    <w:p w14:paraId="5B4F8CA6" w14:textId="77777777" w:rsidR="009655C5" w:rsidRPr="008E2A7B" w:rsidRDefault="009655C5" w:rsidP="009655C5">
      <w:pPr>
        <w:pStyle w:val="Brdtext"/>
        <w:rPr>
          <w:lang w:val="en-GB"/>
        </w:rPr>
      </w:pPr>
      <w:r w:rsidRPr="008E2A7B">
        <w:rPr>
          <w:lang w:val="en-GB"/>
        </w:rPr>
        <w:t xml:space="preserve">With the 2030 climate and energy framework, the EU is on its way to set internal rules which will underpin the implementation of the NDC in accordance with the Paris Agreement. The 2030 climate and energy framework introduced a clear approach to achieving the 40 % reduction of total GHG emissions from 1990 levels, which is equivalent to a 36 % reduction compared with 2005 levels. This 36 % reduction objective is divided between two sub-targets, where 43 % of the reduction effort is assigned to the Emission Trading System (ETS) and 30% to non-ETS sectors, (Effort Sharing [ ] Regulation). </w:t>
      </w:r>
    </w:p>
    <w:p w14:paraId="75868952" w14:textId="04B28A44" w:rsidR="009655C5" w:rsidRPr="008E2A7B" w:rsidRDefault="009655C5" w:rsidP="009655C5">
      <w:pPr>
        <w:pStyle w:val="Brdtext"/>
        <w:rPr>
          <w:lang w:val="en-GB"/>
        </w:rPr>
      </w:pPr>
      <w:r w:rsidRPr="008E2A7B">
        <w:rPr>
          <w:lang w:val="en-GB"/>
        </w:rPr>
        <w:t xml:space="preserve">The Commission and the EU Member States are right now negotiating the terms for the 2030 climate and energy framework with updates for ETS, non-ETS sector (Effort Sharing Regulation) and the LULUCF Regulation. In the Regulation [ ] ESR, national emission reduction targets for 2030 for each Member State will be between 0% and -40% compared to 2005. Sweden will be committed to reducing emissions in sectors covered by the ESR with </w:t>
      </w:r>
      <w:r w:rsidR="00BC1AD3" w:rsidRPr="008E2A7B">
        <w:rPr>
          <w:lang w:val="en-GB"/>
        </w:rPr>
        <w:t>40 % compared to 2005 emissions</w:t>
      </w:r>
      <w:r w:rsidRPr="008E2A7B">
        <w:rPr>
          <w:lang w:val="en-GB"/>
        </w:rPr>
        <w:t>. The modalities and procedures for monitoring and review under Regulation [ ] ESR will be harmonised for all EU member States by the Governance [ ] Regulation (this regulation is also under negotiation).</w:t>
      </w:r>
    </w:p>
    <w:p w14:paraId="754CBE66" w14:textId="454F00D4" w:rsidR="0044710E" w:rsidRPr="008E2A7B" w:rsidRDefault="009655C5" w:rsidP="009655C5">
      <w:pPr>
        <w:pStyle w:val="Brdtext"/>
        <w:rPr>
          <w:lang w:val="en-GB"/>
        </w:rPr>
      </w:pPr>
      <w:r w:rsidRPr="008E2A7B">
        <w:rPr>
          <w:lang w:val="en-GB"/>
        </w:rPr>
        <w:t>The LULUCF sector is part of the EU NDC from 2021 until 2030. This part of the NDC will have a Member State mandatory commitment for forest land, cropland and grass land. The terms for this commitment are right now under negotiation (Regulation [ ] LULUCF).</w:t>
      </w:r>
    </w:p>
    <w:p w14:paraId="1C314CD3" w14:textId="77777777" w:rsidR="0044710E" w:rsidRPr="008E2A7B" w:rsidRDefault="0044710E" w:rsidP="0044710E">
      <w:pPr>
        <w:pStyle w:val="i-lista"/>
        <w:numPr>
          <w:ilvl w:val="1"/>
          <w:numId w:val="10"/>
        </w:numPr>
        <w:rPr>
          <w:i/>
          <w:lang w:val="en-GB"/>
        </w:rPr>
      </w:pPr>
      <w:r w:rsidRPr="008E2A7B">
        <w:rPr>
          <w:i/>
          <w:lang w:val="en-GB"/>
        </w:rPr>
        <w:lastRenderedPageBreak/>
        <w:t>If applicable, other national objectives and targets consistent with existing long-term low emission strategies. If applicable, other objectives and targets, including sector targets and adaptation goals</w:t>
      </w:r>
    </w:p>
    <w:p w14:paraId="57906281" w14:textId="77777777" w:rsidR="006D7484" w:rsidRPr="008E2A7B" w:rsidRDefault="006D7484" w:rsidP="006D7484">
      <w:pPr>
        <w:pStyle w:val="Brdtext"/>
        <w:contextualSpacing/>
        <w:rPr>
          <w:b/>
          <w:lang w:val="en-GB"/>
        </w:rPr>
      </w:pPr>
      <w:r w:rsidRPr="008E2A7B">
        <w:rPr>
          <w:b/>
          <w:lang w:val="en-GB"/>
        </w:rPr>
        <w:t>The Swedish environmental quality objective Reduced Climate Impact</w:t>
      </w:r>
    </w:p>
    <w:p w14:paraId="0E01C244" w14:textId="77777777" w:rsidR="006D7484" w:rsidRPr="008E2A7B" w:rsidRDefault="006D7484" w:rsidP="006D7484">
      <w:pPr>
        <w:pStyle w:val="Brdtext"/>
        <w:contextualSpacing/>
        <w:rPr>
          <w:lang w:val="en-GB"/>
        </w:rPr>
      </w:pPr>
      <w:r w:rsidRPr="008E2A7B">
        <w:rPr>
          <w:lang w:val="en-GB"/>
        </w:rPr>
        <w:t xml:space="preserve">To provide a clear structure for environmental efforts in Sweden, the Riksdag has adopted 16 environmental quality objectives. One of these, </w:t>
      </w:r>
      <w:r w:rsidRPr="008E2A7B">
        <w:rPr>
          <w:i/>
          <w:lang w:val="en-GB"/>
        </w:rPr>
        <w:t>Reduced Climate Impact</w:t>
      </w:r>
      <w:r w:rsidRPr="008E2A7B">
        <w:rPr>
          <w:lang w:val="en-GB"/>
        </w:rPr>
        <w:t>, forms the basis for climate change action in the country. The interpretation of the objective is “</w:t>
      </w:r>
      <w:r w:rsidRPr="008E2A7B">
        <w:rPr>
          <w:lang w:val="en-GB" w:eastAsia="sv-SE"/>
        </w:rPr>
        <w:t xml:space="preserve">Holding the increase in the global average temperature to well below 2°C above pre-industrial levels and pursuing efforts to limit the temperature increase to 1.5°C above pre-industrial levels. </w:t>
      </w:r>
      <w:r w:rsidRPr="008E2A7B">
        <w:rPr>
          <w:color w:val="222222"/>
          <w:lang w:val="en-GB"/>
        </w:rPr>
        <w:t>Sweden will work internationally for global work to address this goal.</w:t>
      </w:r>
      <w:r w:rsidRPr="008E2A7B">
        <w:rPr>
          <w:lang w:val="en-GB" w:eastAsia="sv-SE"/>
        </w:rPr>
        <w:t xml:space="preserve">” </w:t>
      </w:r>
      <w:r w:rsidRPr="008E2A7B">
        <w:rPr>
          <w:lang w:val="en-GB"/>
        </w:rPr>
        <w:t>(Govt. Bill 2016/17:146)</w:t>
      </w:r>
      <w:r w:rsidRPr="008E2A7B">
        <w:rPr>
          <w:lang w:val="en-GB" w:eastAsia="sv-SE"/>
        </w:rPr>
        <w:t xml:space="preserve">   </w:t>
      </w:r>
      <w:bookmarkStart w:id="8" w:name="_Toc496199685"/>
    </w:p>
    <w:p w14:paraId="722310A2" w14:textId="77777777" w:rsidR="006D7484" w:rsidRPr="008E2A7B" w:rsidRDefault="006D7484" w:rsidP="006D7484">
      <w:pPr>
        <w:pStyle w:val="Brdtext"/>
        <w:contextualSpacing/>
        <w:rPr>
          <w:lang w:val="en-GB"/>
        </w:rPr>
      </w:pPr>
    </w:p>
    <w:p w14:paraId="1ABD621A" w14:textId="0F274F8A" w:rsidR="006D7484" w:rsidRPr="008E2A7B" w:rsidRDefault="006D7484" w:rsidP="006D7484">
      <w:pPr>
        <w:pStyle w:val="Brdtext"/>
        <w:contextualSpacing/>
        <w:rPr>
          <w:lang w:val="en-GB"/>
        </w:rPr>
      </w:pPr>
      <w:r w:rsidRPr="008E2A7B">
        <w:rPr>
          <w:b/>
          <w:lang w:val="en-GB"/>
        </w:rPr>
        <w:t>Targets under Sweden’s national climate policy framework</w:t>
      </w:r>
      <w:bookmarkEnd w:id="8"/>
    </w:p>
    <w:p w14:paraId="54941C40" w14:textId="306A4E7B" w:rsidR="006D7484" w:rsidRPr="008E2A7B" w:rsidRDefault="006D7484" w:rsidP="006D7484">
      <w:pPr>
        <w:pStyle w:val="Brdtext"/>
        <w:contextualSpacing/>
        <w:rPr>
          <w:lang w:val="en-GB"/>
        </w:rPr>
      </w:pPr>
      <w:r w:rsidRPr="008E2A7B">
        <w:rPr>
          <w:lang w:val="en-GB"/>
        </w:rPr>
        <w:t xml:space="preserve">In June 2017, the Riksdag (Swedish Parliament) adopted a proposal on a national climate policy framework for Sweden (Govt. Bill 2016/17:146). The climate policy framework consists of a Climate Act, new national climate targets and a climate policy council. See more information in 1.2 </w:t>
      </w:r>
      <w:r w:rsidRPr="008E2A7B">
        <w:rPr>
          <w:i/>
          <w:lang w:val="en-GB"/>
        </w:rPr>
        <w:t>i</w:t>
      </w:r>
      <w:r w:rsidRPr="008E2A7B">
        <w:rPr>
          <w:lang w:val="en-GB"/>
        </w:rPr>
        <w:t xml:space="preserve">. </w:t>
      </w:r>
    </w:p>
    <w:p w14:paraId="510CAA93" w14:textId="77777777" w:rsidR="006D7484" w:rsidRPr="008E2A7B" w:rsidRDefault="006D7484" w:rsidP="006D7484">
      <w:pPr>
        <w:tabs>
          <w:tab w:val="left" w:pos="0"/>
        </w:tabs>
        <w:rPr>
          <w:b/>
          <w:lang w:val="en-GB"/>
        </w:rPr>
      </w:pPr>
      <w:r w:rsidRPr="008E2A7B">
        <w:rPr>
          <w:b/>
          <w:lang w:val="en-GB"/>
        </w:rPr>
        <w:t>TARGETS</w:t>
      </w:r>
    </w:p>
    <w:p w14:paraId="6DF8B5BF" w14:textId="77777777" w:rsidR="006D7484" w:rsidRPr="008E2A7B" w:rsidRDefault="006D7484" w:rsidP="006D7484">
      <w:pPr>
        <w:pStyle w:val="Brdtext"/>
        <w:numPr>
          <w:ilvl w:val="0"/>
          <w:numId w:val="53"/>
        </w:numPr>
        <w:rPr>
          <w:lang w:val="en-GB"/>
        </w:rPr>
      </w:pPr>
      <w:r w:rsidRPr="008E2A7B">
        <w:rPr>
          <w:lang w:val="en-GB"/>
        </w:rPr>
        <w:t>By 2045, Sweden is to have no net emissions of greenhouse gases into the atmosphere and should thereafter achieve negative emissions. This means emissions from activities in Swedish territory are to be at least 85 % lower by 2045 compared with 1990. Supplementary measures may count towards achieving zero net emissions, such as increased uptake of carbon dioxide in forests and land, and investments in other countries. International accounting guidelines will be followed for this.</w:t>
      </w:r>
    </w:p>
    <w:p w14:paraId="79615340" w14:textId="77777777" w:rsidR="006D7484" w:rsidRPr="008E2A7B" w:rsidRDefault="006D7484" w:rsidP="006D7484">
      <w:pPr>
        <w:pStyle w:val="Brdtext"/>
        <w:numPr>
          <w:ilvl w:val="0"/>
          <w:numId w:val="53"/>
        </w:numPr>
        <w:rPr>
          <w:lang w:val="en-GB"/>
        </w:rPr>
      </w:pPr>
      <w:r w:rsidRPr="008E2A7B">
        <w:rPr>
          <w:lang w:val="en-GB"/>
        </w:rPr>
        <w:t>Emissions in Sweden outside of the EU ETS should, by 2030, be at least 63 % lower than emissions in 1990, and by 2040 at least 75 % lower. To achieve these targets by 2030 and 2040, no more than 8 and 2 percentage points, respectively, of the emissions reductions may be realised through supplementary measures.</w:t>
      </w:r>
    </w:p>
    <w:p w14:paraId="25C3A9A0" w14:textId="77777777" w:rsidR="006D7484" w:rsidRPr="008E2A7B" w:rsidRDefault="006D7484" w:rsidP="006D7484">
      <w:pPr>
        <w:pStyle w:val="Brdtext"/>
        <w:numPr>
          <w:ilvl w:val="0"/>
          <w:numId w:val="53"/>
        </w:numPr>
        <w:rPr>
          <w:lang w:val="en-GB"/>
        </w:rPr>
      </w:pPr>
      <w:r w:rsidRPr="008E2A7B">
        <w:rPr>
          <w:lang w:val="en-GB"/>
        </w:rPr>
        <w:t>Emissions from domestic transport are to be reduced by at least 70 % by 2030 compared with 2010. Domestic aviation</w:t>
      </w:r>
      <w:r w:rsidRPr="008E2A7B">
        <w:rPr>
          <w:rStyle w:val="Fotnotsreferens"/>
          <w:lang w:val="en-GB"/>
        </w:rPr>
        <w:footnoteReference w:id="2"/>
      </w:r>
      <w:r w:rsidRPr="008E2A7B">
        <w:rPr>
          <w:lang w:val="en-GB"/>
        </w:rPr>
        <w:t xml:space="preserve"> is not included in the goal since this subsector is included in the EU ETS.</w:t>
      </w:r>
    </w:p>
    <w:p w14:paraId="2CFC2BAA" w14:textId="195259C4" w:rsidR="008E2A7B" w:rsidRPr="008E2A7B" w:rsidRDefault="00444A89" w:rsidP="008E2A7B">
      <w:pPr>
        <w:pStyle w:val="Brdtext"/>
        <w:rPr>
          <w:lang w:val="en-GB"/>
        </w:rPr>
      </w:pPr>
      <w:r>
        <w:rPr>
          <w:lang w:val="en-GB"/>
        </w:rPr>
        <w:t>Sweden’</w:t>
      </w:r>
      <w:r w:rsidR="008E2A7B" w:rsidRPr="008E2A7B">
        <w:rPr>
          <w:lang w:val="en-GB"/>
        </w:rPr>
        <w:t>s climate targets are pictured in</w:t>
      </w:r>
      <w:r w:rsidR="00696A44">
        <w:rPr>
          <w:lang w:val="en-GB"/>
        </w:rPr>
        <w:t xml:space="preserve"> </w:t>
      </w:r>
      <w:r w:rsidR="00696A44">
        <w:rPr>
          <w:lang w:val="en-GB"/>
        </w:rPr>
        <w:fldChar w:fldCharType="begin"/>
      </w:r>
      <w:r w:rsidR="00696A44">
        <w:rPr>
          <w:lang w:val="en-GB"/>
        </w:rPr>
        <w:instrText xml:space="preserve"> REF _Ref499208207 \h </w:instrText>
      </w:r>
      <w:r w:rsidR="00696A44">
        <w:rPr>
          <w:lang w:val="en-GB"/>
        </w:rPr>
      </w:r>
      <w:r w:rsidR="00696A44">
        <w:rPr>
          <w:lang w:val="en-GB"/>
        </w:rPr>
        <w:fldChar w:fldCharType="separate"/>
      </w:r>
      <w:r w:rsidR="00696A44" w:rsidRPr="00696A44">
        <w:t xml:space="preserve">Figure </w:t>
      </w:r>
      <w:r w:rsidR="00696A44" w:rsidRPr="00696A44">
        <w:rPr>
          <w:noProof/>
        </w:rPr>
        <w:t>1</w:t>
      </w:r>
      <w:r w:rsidR="00696A44">
        <w:rPr>
          <w:lang w:val="en-GB"/>
        </w:rPr>
        <w:fldChar w:fldCharType="end"/>
      </w:r>
      <w:r w:rsidR="008E2A7B" w:rsidRPr="008E2A7B">
        <w:rPr>
          <w:lang w:val="en-GB"/>
        </w:rPr>
        <w:t>.</w:t>
      </w:r>
    </w:p>
    <w:p w14:paraId="488F5D14" w14:textId="77777777" w:rsidR="006D7484" w:rsidRPr="008E2A7B" w:rsidRDefault="006D7484">
      <w:pPr>
        <w:spacing w:after="160" w:line="0" w:lineRule="auto"/>
        <w:rPr>
          <w:b/>
          <w:iCs/>
          <w:sz w:val="20"/>
          <w:szCs w:val="18"/>
          <w:lang w:val="en-GB"/>
        </w:rPr>
      </w:pPr>
      <w:r w:rsidRPr="008E2A7B">
        <w:rPr>
          <w:lang w:val="en-GB"/>
        </w:rPr>
        <w:br w:type="page"/>
      </w:r>
    </w:p>
    <w:p w14:paraId="7F322524" w14:textId="53E431BB" w:rsidR="000F21FE" w:rsidRPr="008E2A7B" w:rsidRDefault="000F21FE" w:rsidP="000F21FE">
      <w:pPr>
        <w:pStyle w:val="Beskrivning"/>
        <w:keepNext/>
        <w:rPr>
          <w:lang w:val="en-GB"/>
        </w:rPr>
      </w:pPr>
    </w:p>
    <w:p w14:paraId="5E4F1DD7" w14:textId="38A923C3" w:rsidR="006D7484" w:rsidRPr="00C30384" w:rsidRDefault="00696A44" w:rsidP="00696A44">
      <w:pPr>
        <w:pStyle w:val="Beskrivning"/>
        <w:rPr>
          <w:lang w:val="en-US"/>
        </w:rPr>
      </w:pPr>
      <w:bookmarkStart w:id="9" w:name="_Ref499208207"/>
      <w:r w:rsidRPr="00696A44">
        <w:rPr>
          <w:lang w:val="en-US"/>
        </w:rPr>
        <w:t xml:space="preserve">Figure </w:t>
      </w:r>
      <w:r>
        <w:fldChar w:fldCharType="begin"/>
      </w:r>
      <w:r w:rsidRPr="00696A44">
        <w:rPr>
          <w:lang w:val="en-US"/>
        </w:rPr>
        <w:instrText xml:space="preserve"> SEQ Figure \* ARABIC </w:instrText>
      </w:r>
      <w:r>
        <w:fldChar w:fldCharType="separate"/>
      </w:r>
      <w:r w:rsidRPr="00696A44">
        <w:rPr>
          <w:noProof/>
          <w:lang w:val="en-US"/>
        </w:rPr>
        <w:t>1</w:t>
      </w:r>
      <w:r>
        <w:fldChar w:fldCharType="end"/>
      </w:r>
      <w:bookmarkEnd w:id="9"/>
      <w:r w:rsidRPr="00696A44">
        <w:rPr>
          <w:lang w:val="en-US"/>
        </w:rPr>
        <w:t xml:space="preserve"> </w:t>
      </w:r>
      <w:r w:rsidR="006D7484" w:rsidRPr="008E2A7B">
        <w:rPr>
          <w:lang w:val="en-GB"/>
        </w:rPr>
        <w:t>Sweden’s national climate targets</w:t>
      </w:r>
    </w:p>
    <w:p w14:paraId="1C389C39" w14:textId="77777777" w:rsidR="006D7484" w:rsidRPr="008E2A7B" w:rsidRDefault="006D7484" w:rsidP="006D7484">
      <w:pPr>
        <w:rPr>
          <w:rFonts w:ascii="open_sansregular" w:hAnsi="open_sansregular"/>
          <w:i/>
          <w:lang w:val="en-GB"/>
        </w:rPr>
      </w:pPr>
      <w:r w:rsidRPr="008E2A7B">
        <w:rPr>
          <w:noProof/>
          <w:highlight w:val="yellow"/>
          <w:lang w:val="en-GB" w:eastAsia="sv-SE"/>
        </w:rPr>
        <w:drawing>
          <wp:inline distT="0" distB="0" distL="0" distR="0" wp14:anchorId="5CBC5D27" wp14:editId="414E808D">
            <wp:extent cx="4651899" cy="3124940"/>
            <wp:effectExtent l="0" t="0" r="0" b="0"/>
            <wp:docPr id="48"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rotWithShape="1">
                    <a:blip r:embed="rId11" cstate="print">
                      <a:extLst>
                        <a:ext uri="{28A0092B-C50C-407E-A947-70E740481C1C}">
                          <a14:useLocalDpi xmlns:a14="http://schemas.microsoft.com/office/drawing/2010/main" val="0"/>
                        </a:ext>
                      </a:extLst>
                    </a:blip>
                    <a:srcRect l="12834" t="6186" r="12382" b="13435"/>
                    <a:stretch/>
                  </pic:blipFill>
                  <pic:spPr bwMode="auto">
                    <a:xfrm>
                      <a:off x="0" y="0"/>
                      <a:ext cx="4651899" cy="312494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6FE5E705" w14:textId="77777777" w:rsidR="006D7484" w:rsidRPr="008E2A7B" w:rsidRDefault="006D7484" w:rsidP="006D7484">
      <w:pPr>
        <w:pStyle w:val="Rubrik4"/>
        <w:numPr>
          <w:ilvl w:val="0"/>
          <w:numId w:val="0"/>
        </w:numPr>
        <w:ind w:left="864"/>
        <w:rPr>
          <w:lang w:val="en-GB"/>
        </w:rPr>
      </w:pPr>
    </w:p>
    <w:p w14:paraId="61DCA5C6" w14:textId="77777777" w:rsidR="006D7484" w:rsidRPr="008E2A7B" w:rsidRDefault="006D7484" w:rsidP="006D7484">
      <w:pPr>
        <w:rPr>
          <w:lang w:val="en-GB"/>
        </w:rPr>
      </w:pPr>
      <w:bookmarkStart w:id="10" w:name="_Toc496199686"/>
    </w:p>
    <w:p w14:paraId="68D0799D" w14:textId="77777777" w:rsidR="006D7484" w:rsidRPr="008E2A7B" w:rsidRDefault="006D7484" w:rsidP="006D7484">
      <w:pPr>
        <w:pStyle w:val="Brdtext"/>
        <w:contextualSpacing/>
        <w:rPr>
          <w:b/>
          <w:lang w:val="en-GB"/>
        </w:rPr>
      </w:pPr>
      <w:r w:rsidRPr="008E2A7B">
        <w:rPr>
          <w:b/>
          <w:lang w:val="en-GB"/>
        </w:rPr>
        <w:t>The Swedish target for 2020</w:t>
      </w:r>
      <w:bookmarkEnd w:id="10"/>
    </w:p>
    <w:p w14:paraId="20D67053" w14:textId="77777777" w:rsidR="006D7484" w:rsidRPr="009E6AC9" w:rsidRDefault="006D7484" w:rsidP="006D7484">
      <w:pPr>
        <w:pStyle w:val="Brdtext"/>
        <w:contextualSpacing/>
        <w:rPr>
          <w:lang w:val="en-GB"/>
        </w:rPr>
      </w:pPr>
      <w:r w:rsidRPr="009E6AC9">
        <w:rPr>
          <w:lang w:val="en-GB"/>
        </w:rPr>
        <w:t>Current climate policy is also set out in two Government Bills, entitled An Integrated Climate and Energy Policy, passed by the Riksdag in June 2009 (Govt. Bills 2008/09:162 and 163). The first of these Bills sets a national milestone target for climate, calling for a 40% reduction in emissions by 2020 compared with 1990. If the target in 2020 is met, greenhouse gas emissions from the non-ETS sector would be around 20 million tonnes of carbon dioxide equivalent lower than in 1990. This target applies to activities not included in the EU Emissions Trading System and does not include the LULUCF sector.</w:t>
      </w:r>
    </w:p>
    <w:p w14:paraId="5D9FF665" w14:textId="77777777" w:rsidR="006D7484" w:rsidRPr="008E2A7B" w:rsidRDefault="006D7484" w:rsidP="006D7484">
      <w:pPr>
        <w:pStyle w:val="Brdtext"/>
        <w:rPr>
          <w:lang w:val="en-GB"/>
        </w:rPr>
      </w:pPr>
    </w:p>
    <w:p w14:paraId="270891B4" w14:textId="5483E624" w:rsidR="0044710E" w:rsidRPr="008E2A7B" w:rsidRDefault="00BC1AD3" w:rsidP="009655C5">
      <w:pPr>
        <w:pStyle w:val="Rubrik3"/>
        <w:rPr>
          <w:lang w:val="en-GB"/>
        </w:rPr>
      </w:pPr>
      <w:r w:rsidRPr="008E2A7B">
        <w:rPr>
          <w:lang w:val="en-GB"/>
        </w:rPr>
        <w:t>Renewable energy (2030 Framework target)</w:t>
      </w:r>
    </w:p>
    <w:p w14:paraId="0ECA6509" w14:textId="77777777" w:rsidR="0044710E" w:rsidRPr="008E2A7B" w:rsidRDefault="0044710E" w:rsidP="0044710E">
      <w:pPr>
        <w:pStyle w:val="i-lista"/>
        <w:numPr>
          <w:ilvl w:val="1"/>
          <w:numId w:val="11"/>
        </w:numPr>
        <w:rPr>
          <w:i/>
          <w:lang w:val="en-GB"/>
        </w:rPr>
      </w:pPr>
      <w:r w:rsidRPr="008E2A7B">
        <w:rPr>
          <w:i/>
          <w:lang w:val="en-GB"/>
        </w:rPr>
        <w:t>The Member State's planned share of energy from renewable sources in gross final consumption of energy in 2030 as its national contribution to achieve the binding EU-level target of at least 27% in 2030</w:t>
      </w:r>
    </w:p>
    <w:p w14:paraId="0592B80E" w14:textId="4CF9775A" w:rsidR="0044710E" w:rsidRPr="008E2A7B" w:rsidRDefault="0044710E" w:rsidP="0044710E">
      <w:pPr>
        <w:pStyle w:val="Brdtext"/>
        <w:rPr>
          <w:lang w:val="en-GB"/>
        </w:rPr>
      </w:pPr>
      <w:r w:rsidRPr="008E2A7B">
        <w:rPr>
          <w:lang w:val="en-GB"/>
        </w:rPr>
        <w:t>The climate target described in 2.</w:t>
      </w:r>
      <w:r w:rsidR="003D501B">
        <w:rPr>
          <w:lang w:val="en-GB"/>
        </w:rPr>
        <w:t>1.1</w:t>
      </w:r>
      <w:r w:rsidR="003D501B">
        <w:rPr>
          <w:i/>
          <w:lang w:val="en-GB"/>
        </w:rPr>
        <w:t xml:space="preserve"> </w:t>
      </w:r>
      <w:r w:rsidRPr="008E2A7B">
        <w:rPr>
          <w:lang w:val="en-GB"/>
        </w:rPr>
        <w:t>naturally has consequences for the share of renewable energy, but Sweden has no explicit target for renewable energy by 2030. However, scenarios without additional measures</w:t>
      </w:r>
      <w:r w:rsidRPr="008E2A7B">
        <w:rPr>
          <w:rStyle w:val="Fotnotsreferens"/>
          <w:lang w:val="en-GB"/>
        </w:rPr>
        <w:footnoteReference w:id="3"/>
      </w:r>
      <w:r w:rsidRPr="008E2A7B">
        <w:rPr>
          <w:lang w:val="en-GB"/>
        </w:rPr>
        <w:t xml:space="preserve"> show that renewable energy would make up 60–66% of gross </w:t>
      </w:r>
      <w:r w:rsidRPr="008E2A7B">
        <w:rPr>
          <w:lang w:val="en-GB"/>
        </w:rPr>
        <w:lastRenderedPageBreak/>
        <w:t>final energy consumption, depending on the assumptions made, which is well above the 27% target for the EU as a whole.</w:t>
      </w:r>
    </w:p>
    <w:p w14:paraId="68ABA3E3" w14:textId="77777777" w:rsidR="0044710E" w:rsidRPr="008E2A7B" w:rsidRDefault="0044710E" w:rsidP="0044710E">
      <w:pPr>
        <w:pStyle w:val="i-lista"/>
        <w:numPr>
          <w:ilvl w:val="1"/>
          <w:numId w:val="11"/>
        </w:numPr>
        <w:rPr>
          <w:i/>
          <w:lang w:val="en-GB"/>
        </w:rPr>
      </w:pPr>
      <w:r w:rsidRPr="008E2A7B">
        <w:rPr>
          <w:i/>
          <w:lang w:val="en-GB"/>
        </w:rPr>
        <w:t>A linear trajectory for the overall share of renewable energy in gross final energy consumption from 2021 to 2030</w:t>
      </w:r>
    </w:p>
    <w:p w14:paraId="1BBB1B27" w14:textId="77777777" w:rsidR="0044710E" w:rsidRPr="008E2A7B" w:rsidRDefault="0044710E" w:rsidP="0044710E">
      <w:pPr>
        <w:pStyle w:val="Brdtext"/>
        <w:rPr>
          <w:lang w:val="en-GB"/>
        </w:rPr>
      </w:pPr>
      <w:r w:rsidRPr="008E2A7B">
        <w:rPr>
          <w:lang w:val="en-GB"/>
        </w:rPr>
        <w:t>As there is no explicit target for renewable energy by 2030, there is no linear trajectory to meet that target. However, the renewables obligation in the electricity certificate system described in 3.1.2.</w:t>
      </w:r>
      <w:r w:rsidRPr="008E2A7B">
        <w:rPr>
          <w:i/>
          <w:lang w:val="en-GB"/>
        </w:rPr>
        <w:t>i</w:t>
      </w:r>
      <w:r w:rsidRPr="008E2A7B">
        <w:rPr>
          <w:lang w:val="en-GB"/>
        </w:rPr>
        <w:t xml:space="preserve"> expresses a linear trajectory.</w:t>
      </w:r>
    </w:p>
    <w:p w14:paraId="740D58EB" w14:textId="77777777" w:rsidR="0044710E" w:rsidRPr="008E2A7B" w:rsidRDefault="0044710E" w:rsidP="0044710E">
      <w:pPr>
        <w:pStyle w:val="i-lista"/>
        <w:numPr>
          <w:ilvl w:val="1"/>
          <w:numId w:val="11"/>
        </w:numPr>
        <w:rPr>
          <w:i/>
          <w:lang w:val="en-GB"/>
        </w:rPr>
      </w:pPr>
      <w:r w:rsidRPr="008E2A7B">
        <w:rPr>
          <w:i/>
          <w:lang w:val="en-GB"/>
        </w:rPr>
        <w:t>Trajectories for the sectorial share of renewable energy in final energy consumption from 2021 to 2030 in the electricity, heating and cooling, and transport sectors</w:t>
      </w:r>
    </w:p>
    <w:p w14:paraId="3F192097" w14:textId="77777777" w:rsidR="0044710E" w:rsidRPr="008E2A7B" w:rsidRDefault="0044710E" w:rsidP="0044710E">
      <w:pPr>
        <w:pStyle w:val="Brdtext"/>
        <w:rPr>
          <w:lang w:val="en-GB"/>
        </w:rPr>
      </w:pPr>
      <w:r w:rsidRPr="008E2A7B">
        <w:rPr>
          <w:lang w:val="en-GB"/>
        </w:rPr>
        <w:t xml:space="preserve">As there is no explicit target for renewable energy by 2030, there are no trajectories for sectorial shares. </w:t>
      </w:r>
    </w:p>
    <w:p w14:paraId="42040604" w14:textId="6A81C4AA" w:rsidR="0044710E" w:rsidRPr="008E2A7B" w:rsidRDefault="0044710E" w:rsidP="0044710E">
      <w:pPr>
        <w:pStyle w:val="Brdtext"/>
        <w:rPr>
          <w:lang w:val="en-GB"/>
        </w:rPr>
      </w:pPr>
      <w:r w:rsidRPr="008E2A7B">
        <w:rPr>
          <w:lang w:val="en-GB"/>
        </w:rPr>
        <w:t xml:space="preserve">However, </w:t>
      </w:r>
      <w:r w:rsidR="00205AA1" w:rsidRPr="008E2A7B">
        <w:rPr>
          <w:lang w:val="en-GB"/>
        </w:rPr>
        <w:t>the Energy Policy Commission (described in 1.2.</w:t>
      </w:r>
      <w:r w:rsidR="00205AA1" w:rsidRPr="008E2A7B">
        <w:rPr>
          <w:i/>
          <w:lang w:val="en-GB"/>
        </w:rPr>
        <w:t>ii</w:t>
      </w:r>
      <w:r w:rsidR="00205AA1" w:rsidRPr="008E2A7B">
        <w:rPr>
          <w:lang w:val="en-GB"/>
        </w:rPr>
        <w:t>)</w:t>
      </w:r>
      <w:r w:rsidRPr="008E2A7B">
        <w:rPr>
          <w:lang w:val="en-GB"/>
        </w:rPr>
        <w:t xml:space="preserve"> has </w:t>
      </w:r>
      <w:r w:rsidR="00205AA1">
        <w:rPr>
          <w:lang w:val="en-GB"/>
        </w:rPr>
        <w:t xml:space="preserve">proposed </w:t>
      </w:r>
      <w:r w:rsidRPr="008E2A7B">
        <w:rPr>
          <w:lang w:val="en-GB"/>
        </w:rPr>
        <w:t>a sector specific target of 100% renewable electricity production by 2040</w:t>
      </w:r>
      <w:r w:rsidR="009F323B" w:rsidRPr="008E2A7B">
        <w:rPr>
          <w:lang w:val="en-GB"/>
        </w:rPr>
        <w:t xml:space="preserve">, which </w:t>
      </w:r>
      <w:r w:rsidR="00205AA1">
        <w:rPr>
          <w:lang w:val="en-GB"/>
        </w:rPr>
        <w:t xml:space="preserve">is planned to </w:t>
      </w:r>
      <w:r w:rsidR="009F323B" w:rsidRPr="008E2A7B">
        <w:rPr>
          <w:lang w:val="en-GB"/>
        </w:rPr>
        <w:t>be adopted</w:t>
      </w:r>
      <w:r w:rsidR="00A87DFD" w:rsidRPr="008E2A7B">
        <w:rPr>
          <w:lang w:val="en-GB"/>
        </w:rPr>
        <w:t xml:space="preserve"> by the Riksdag during 2018</w:t>
      </w:r>
      <w:r w:rsidR="008728CC" w:rsidRPr="008E2A7B">
        <w:rPr>
          <w:lang w:val="en-GB"/>
        </w:rPr>
        <w:t xml:space="preserve">.  </w:t>
      </w:r>
    </w:p>
    <w:p w14:paraId="2F679408" w14:textId="77777777" w:rsidR="0044710E" w:rsidRPr="008E2A7B" w:rsidRDefault="0044710E" w:rsidP="0044710E">
      <w:pPr>
        <w:pStyle w:val="Brdtext"/>
        <w:rPr>
          <w:lang w:val="en-GB"/>
        </w:rPr>
      </w:pPr>
      <w:r w:rsidRPr="008E2A7B">
        <w:rPr>
          <w:lang w:val="en-GB"/>
        </w:rPr>
        <w:t>Also, Sweden has an electricity certificate system described in 3.1.2.</w:t>
      </w:r>
      <w:r w:rsidRPr="008E2A7B">
        <w:rPr>
          <w:i/>
          <w:lang w:val="en-GB"/>
        </w:rPr>
        <w:t>i</w:t>
      </w:r>
      <w:r w:rsidRPr="008E2A7B">
        <w:rPr>
          <w:lang w:val="en-GB"/>
        </w:rPr>
        <w:t xml:space="preserve"> which requires an increase of 18 TWh renewable electricity by 2030. The increase will be linear, starting from 2022.</w:t>
      </w:r>
    </w:p>
    <w:p w14:paraId="1F8C591E" w14:textId="77777777" w:rsidR="0044710E" w:rsidRPr="008E2A7B" w:rsidRDefault="0044710E" w:rsidP="0044710E">
      <w:pPr>
        <w:pStyle w:val="i-lista"/>
        <w:numPr>
          <w:ilvl w:val="1"/>
          <w:numId w:val="11"/>
        </w:numPr>
        <w:rPr>
          <w:i/>
          <w:lang w:val="en-GB"/>
        </w:rPr>
      </w:pPr>
      <w:r w:rsidRPr="008E2A7B">
        <w:rPr>
          <w:i/>
          <w:lang w:val="en-GB"/>
        </w:rPr>
        <w:t>Trajectories by renewable energy technology that the Member State projects to use to achieve the overall and sectorial trajectories for renewable energy from 2021 to 2030 including expected total gross final energy consumption per technology and sector in Mtoe and total planned installed capacity (divided by new capacity and repowering) per technology and sector in MW</w:t>
      </w:r>
    </w:p>
    <w:p w14:paraId="6643862C" w14:textId="77777777" w:rsidR="0044710E" w:rsidRPr="008E2A7B" w:rsidRDefault="0044710E" w:rsidP="0044710E">
      <w:pPr>
        <w:pStyle w:val="Brdtext"/>
        <w:rPr>
          <w:lang w:val="en-GB"/>
        </w:rPr>
      </w:pPr>
      <w:r w:rsidRPr="008E2A7B">
        <w:rPr>
          <w:lang w:val="en-GB"/>
        </w:rPr>
        <w:t>As there is no explicit target for renewable energy by 2030, there are no trajectories by technology. Also, Sweden believes it is more cost efficient to deploy the renewable technologies which the market deems most profitable instead of determining the share of each technology beforehand.</w:t>
      </w:r>
    </w:p>
    <w:p w14:paraId="477F419E" w14:textId="77777777" w:rsidR="0044710E" w:rsidRPr="008E2A7B" w:rsidRDefault="0044710E" w:rsidP="0044710E">
      <w:pPr>
        <w:pStyle w:val="i-lista"/>
        <w:numPr>
          <w:ilvl w:val="1"/>
          <w:numId w:val="11"/>
        </w:numPr>
        <w:rPr>
          <w:i/>
          <w:lang w:val="en-GB"/>
        </w:rPr>
      </w:pPr>
      <w:r w:rsidRPr="008E2A7B">
        <w:rPr>
          <w:i/>
          <w:lang w:val="en-GB"/>
        </w:rPr>
        <w:t>Trajectories on bioenergy demand, disaggregated between heat, electricity and transport, and on biomass supply, by feedstocks and origin (distinguishing between domestic production and imports). For forest biomass, an assessment of its source and impact on the LULUCF sink</w:t>
      </w:r>
    </w:p>
    <w:p w14:paraId="780518FF" w14:textId="77777777" w:rsidR="0044710E" w:rsidRPr="008E2A7B" w:rsidRDefault="0044710E" w:rsidP="0044710E">
      <w:pPr>
        <w:pStyle w:val="Brdtext"/>
        <w:rPr>
          <w:noProof/>
          <w:lang w:val="en-GB"/>
        </w:rPr>
      </w:pPr>
      <w:r w:rsidRPr="008E2A7B">
        <w:rPr>
          <w:lang w:val="en-GB"/>
        </w:rPr>
        <w:t>As there is no explicit target for renewable energy by 2030, there are no trajectories for bioenergy demand. In the reference scenario without any additional measures</w:t>
      </w:r>
      <w:r w:rsidRPr="008E2A7B">
        <w:rPr>
          <w:rStyle w:val="Fotnotsreferens"/>
          <w:lang w:val="en-GB"/>
        </w:rPr>
        <w:footnoteReference w:id="4"/>
      </w:r>
      <w:r w:rsidRPr="008E2A7B">
        <w:rPr>
          <w:lang w:val="en-GB"/>
        </w:rPr>
        <w:t>, consumption of bioenergy</w:t>
      </w:r>
      <w:r w:rsidRPr="008E2A7B">
        <w:rPr>
          <w:rStyle w:val="Fotnotsreferens"/>
          <w:lang w:val="en-GB"/>
        </w:rPr>
        <w:footnoteReference w:id="5"/>
      </w:r>
      <w:r w:rsidRPr="008E2A7B">
        <w:rPr>
          <w:lang w:val="en-GB"/>
        </w:rPr>
        <w:t xml:space="preserve"> increases by 21 TWh </w:t>
      </w:r>
      <w:r w:rsidRPr="008E2A7B">
        <w:rPr>
          <w:lang w:val="en-GB"/>
        </w:rPr>
        <w:lastRenderedPageBreak/>
        <w:t xml:space="preserve">between </w:t>
      </w:r>
      <w:r w:rsidRPr="008E2A7B">
        <w:rPr>
          <w:noProof/>
          <w:lang w:val="en-GB"/>
        </w:rPr>
        <w:t xml:space="preserve">2014 and 2020, reaching at total bioenergy consumption of 151 TWh. This increase is mainly explained by an increase of 11 TWh biofuels in the transport sector, dominated by HVO which is primarily produced using waste and residue. </w:t>
      </w:r>
      <w:r w:rsidRPr="008E2A7B">
        <w:rPr>
          <w:lang w:val="en-GB"/>
        </w:rPr>
        <w:t xml:space="preserve">There is also an increased use of waste for district heating, </w:t>
      </w:r>
      <w:r w:rsidRPr="008E2A7B">
        <w:rPr>
          <w:noProof/>
          <w:lang w:val="en-GB"/>
        </w:rPr>
        <w:t>as</w:t>
      </w:r>
      <w:r w:rsidRPr="008E2A7B">
        <w:rPr>
          <w:lang w:val="en-GB"/>
        </w:rPr>
        <w:t xml:space="preserve"> other bioenergy </w:t>
      </w:r>
      <w:r w:rsidRPr="008E2A7B">
        <w:rPr>
          <w:noProof/>
          <w:lang w:val="en-GB"/>
        </w:rPr>
        <w:t xml:space="preserve">use </w:t>
      </w:r>
      <w:r w:rsidRPr="008E2A7B">
        <w:rPr>
          <w:lang w:val="en-GB"/>
        </w:rPr>
        <w:t>increases by 5 TWh.</w:t>
      </w:r>
      <w:r w:rsidRPr="008E2A7B">
        <w:rPr>
          <w:noProof/>
          <w:lang w:val="en-GB"/>
        </w:rPr>
        <w:t xml:space="preserve"> After 2020, bioenergy consumption remains more or less constant until 2040.</w:t>
      </w:r>
    </w:p>
    <w:p w14:paraId="769CDD3A" w14:textId="77777777" w:rsidR="0044710E" w:rsidRPr="008E2A7B" w:rsidRDefault="0044710E" w:rsidP="0044710E">
      <w:pPr>
        <w:pStyle w:val="Brdtext"/>
        <w:rPr>
          <w:lang w:val="en-GB"/>
        </w:rPr>
      </w:pPr>
      <w:r w:rsidRPr="008E2A7B">
        <w:rPr>
          <w:lang w:val="en-GB"/>
        </w:rPr>
        <w:t xml:space="preserve">In the report, </w:t>
      </w:r>
      <w:r w:rsidRPr="008E2A7B">
        <w:rPr>
          <w:i/>
          <w:lang w:val="en-GB"/>
        </w:rPr>
        <w:t>Potential supply and demand of domestic biomass feedstock in a growing Swedish bioeconomy</w:t>
      </w:r>
      <w:r w:rsidRPr="008E2A7B">
        <w:rPr>
          <w:rStyle w:val="Fotnotsreferens"/>
          <w:i/>
          <w:lang w:val="en-GB"/>
        </w:rPr>
        <w:footnoteReference w:id="6"/>
      </w:r>
      <w:r w:rsidRPr="008E2A7B">
        <w:rPr>
          <w:lang w:val="en-GB"/>
        </w:rPr>
        <w:t>,</w:t>
      </w:r>
      <w:r w:rsidRPr="008E2A7B">
        <w:rPr>
          <w:i/>
          <w:lang w:val="en-GB"/>
        </w:rPr>
        <w:t xml:space="preserve"> </w:t>
      </w:r>
      <w:r w:rsidRPr="008E2A7B">
        <w:rPr>
          <w:lang w:val="en-GB"/>
        </w:rPr>
        <w:t>the potential for an increased supply of domestic biomass is analysed considering technoeconomic as well as ecological restrictions. Under these restrictions, it is assessed that the supply of domestic biomass can increase by approximately 40–50 TWh in a time frame from today to 2030, and even further to 2050. Hence, even if additional policies and measures would increase bioenergy demand compared to the reference scenario, there seems to be a relatively large potential to increase the supply of sustainable domestic biomass with a low impact on the LULUCF sink.</w:t>
      </w:r>
    </w:p>
    <w:p w14:paraId="7ADFFE2A" w14:textId="77777777" w:rsidR="0044710E" w:rsidRPr="008E2A7B" w:rsidRDefault="0044710E" w:rsidP="0044710E">
      <w:pPr>
        <w:pStyle w:val="i-lista"/>
        <w:numPr>
          <w:ilvl w:val="1"/>
          <w:numId w:val="11"/>
        </w:numPr>
        <w:rPr>
          <w:i/>
          <w:lang w:val="en-GB"/>
        </w:rPr>
      </w:pPr>
      <w:r w:rsidRPr="008E2A7B">
        <w:rPr>
          <w:i/>
          <w:lang w:val="en-GB"/>
        </w:rPr>
        <w:t>If applicable, other national trajectories and objectives, including long-term or sectorial ones (e.g. share of advanced biofuels, share of renewable energy in district heating, renewable energy use in buildings, renewable energy produced by cities, energy communities and self-consumers)</w:t>
      </w:r>
    </w:p>
    <w:p w14:paraId="7E269A73" w14:textId="77777777" w:rsidR="0044710E" w:rsidRPr="008E2A7B" w:rsidRDefault="0044710E" w:rsidP="0044710E">
      <w:pPr>
        <w:pStyle w:val="Brdtext"/>
        <w:rPr>
          <w:lang w:val="en-GB"/>
        </w:rPr>
      </w:pPr>
      <w:r w:rsidRPr="008E2A7B">
        <w:rPr>
          <w:lang w:val="en-GB"/>
        </w:rPr>
        <w:t>Not applicable.</w:t>
      </w:r>
    </w:p>
    <w:p w14:paraId="2A001E19" w14:textId="77777777" w:rsidR="0044710E" w:rsidRPr="008E2A7B" w:rsidRDefault="0044710E" w:rsidP="0044710E">
      <w:pPr>
        <w:pStyle w:val="Rubrik2"/>
        <w:rPr>
          <w:lang w:val="en-GB"/>
        </w:rPr>
      </w:pPr>
      <w:bookmarkStart w:id="11" w:name="_Toc499285543"/>
      <w:r w:rsidRPr="008E2A7B">
        <w:rPr>
          <w:lang w:val="en-GB"/>
        </w:rPr>
        <w:t>Dimension Energy efficiency (2030 Framework target)</w:t>
      </w:r>
      <w:bookmarkEnd w:id="11"/>
    </w:p>
    <w:p w14:paraId="618F6359" w14:textId="77777777" w:rsidR="0044710E" w:rsidRPr="008E2A7B" w:rsidRDefault="0044710E" w:rsidP="0044710E">
      <w:pPr>
        <w:pStyle w:val="i-lista"/>
        <w:numPr>
          <w:ilvl w:val="1"/>
          <w:numId w:val="25"/>
        </w:numPr>
        <w:rPr>
          <w:i/>
          <w:lang w:val="en-GB"/>
        </w:rPr>
      </w:pPr>
      <w:r w:rsidRPr="008E2A7B">
        <w:rPr>
          <w:i/>
          <w:lang w:val="en-GB"/>
        </w:rPr>
        <w:t>The indicative national energy efficiency contribution to achieving the Union's binding energy efficiency target of 30% in 2030 as referred to in Article 1(1) and Article 3(4) of Directive 2012/27/EU [version as amended in accordance with proposal COM(2016)761], based on either primary or final energy consumption, primary or final energy savings, or energy intensity; expressed in terms of absolute level of primary energy consumption and final energy consumption in 2020 and 2030, with a linear trajectory for that contribution from 2021 onwards; including the underlying methodology and the conversion factors used</w:t>
      </w:r>
    </w:p>
    <w:p w14:paraId="54E324FF" w14:textId="77777777" w:rsidR="0044710E" w:rsidRPr="008E2A7B" w:rsidRDefault="0044710E" w:rsidP="0044710E">
      <w:pPr>
        <w:pStyle w:val="Brdtext"/>
        <w:rPr>
          <w:lang w:val="en-GB"/>
        </w:rPr>
      </w:pPr>
      <w:r w:rsidRPr="008E2A7B">
        <w:rPr>
          <w:lang w:val="en-GB"/>
        </w:rPr>
        <w:t>The Energy Policy Commission (described in 1.2.</w:t>
      </w:r>
      <w:r w:rsidRPr="008E2A7B">
        <w:rPr>
          <w:i/>
          <w:lang w:val="en-GB"/>
        </w:rPr>
        <w:t>ii</w:t>
      </w:r>
      <w:r w:rsidRPr="008E2A7B">
        <w:rPr>
          <w:lang w:val="en-GB"/>
        </w:rPr>
        <w:t>) proposed a target of 50% more efficient energy use by 2030 compared to 2005, expressed in terms of primary energy consumption in relation to gross domestic product (GDP). The definition of energy supply is the same as the one used for the above-mentioned Union target, i.e. excluding non-energy use and international transportation.</w:t>
      </w:r>
    </w:p>
    <w:p w14:paraId="290F3869" w14:textId="2A1D3DBB" w:rsidR="0044710E" w:rsidRPr="008E2A7B" w:rsidRDefault="00060831" w:rsidP="0044710E">
      <w:pPr>
        <w:pStyle w:val="Brdtext"/>
        <w:rPr>
          <w:lang w:val="en-GB"/>
        </w:rPr>
      </w:pPr>
      <w:r w:rsidRPr="008E2A7B">
        <w:rPr>
          <w:lang w:val="en-GB"/>
        </w:rPr>
        <w:lastRenderedPageBreak/>
        <w:fldChar w:fldCharType="begin"/>
      </w:r>
      <w:r w:rsidRPr="008E2A7B">
        <w:rPr>
          <w:lang w:val="en-GB"/>
        </w:rPr>
        <w:instrText xml:space="preserve"> REF _Ref498505990 \h </w:instrText>
      </w:r>
      <w:r w:rsidRPr="008E2A7B">
        <w:rPr>
          <w:lang w:val="en-GB"/>
        </w:rPr>
      </w:r>
      <w:r w:rsidRPr="008E2A7B">
        <w:rPr>
          <w:lang w:val="en-GB"/>
        </w:rPr>
        <w:fldChar w:fldCharType="separate"/>
      </w:r>
      <w:r w:rsidRPr="008E2A7B">
        <w:rPr>
          <w:lang w:val="en-GB"/>
        </w:rPr>
        <w:t xml:space="preserve">Figure </w:t>
      </w:r>
      <w:r w:rsidRPr="008E2A7B">
        <w:rPr>
          <w:noProof/>
          <w:lang w:val="en-GB"/>
        </w:rPr>
        <w:t>2</w:t>
      </w:r>
      <w:r w:rsidRPr="008E2A7B">
        <w:rPr>
          <w:lang w:val="en-GB"/>
        </w:rPr>
        <w:fldChar w:fldCharType="end"/>
      </w:r>
      <w:r w:rsidRPr="008E2A7B">
        <w:rPr>
          <w:lang w:val="en-GB"/>
        </w:rPr>
        <w:t xml:space="preserve"> </w:t>
      </w:r>
      <w:r w:rsidR="0044710E" w:rsidRPr="008E2A7B">
        <w:rPr>
          <w:lang w:val="en-GB"/>
        </w:rPr>
        <w:t xml:space="preserve">shows the energy intensity targets for 2020 and 2030. The target for 2020 is a 20% reduction in energy intensity compared to 2008 whereas the target for 2030 is a 50% reduction compared to 2005. </w:t>
      </w:r>
    </w:p>
    <w:p w14:paraId="47F3CB97" w14:textId="2D26985C" w:rsidR="0044710E" w:rsidRPr="008E2A7B" w:rsidRDefault="00060831" w:rsidP="00060831">
      <w:pPr>
        <w:pStyle w:val="Beskrivning"/>
        <w:rPr>
          <w:b w:val="0"/>
          <w:szCs w:val="20"/>
          <w:lang w:val="en-GB"/>
        </w:rPr>
      </w:pPr>
      <w:bookmarkStart w:id="12" w:name="_Ref498505990"/>
      <w:r w:rsidRPr="008E2A7B">
        <w:rPr>
          <w:lang w:val="en-GB"/>
        </w:rPr>
        <w:t xml:space="preserve">Figure </w:t>
      </w:r>
      <w:r w:rsidRPr="008E2A7B">
        <w:rPr>
          <w:lang w:val="en-GB"/>
        </w:rPr>
        <w:fldChar w:fldCharType="begin"/>
      </w:r>
      <w:r w:rsidRPr="00060831">
        <w:rPr>
          <w:lang w:val="en-US"/>
        </w:rPr>
        <w:instrText xml:space="preserve"> SEQ Figure \* ARABIC </w:instrText>
      </w:r>
      <w:r w:rsidRPr="008E2A7B">
        <w:rPr>
          <w:lang w:val="en-GB"/>
        </w:rPr>
        <w:fldChar w:fldCharType="separate"/>
      </w:r>
      <w:r w:rsidR="00524177">
        <w:rPr>
          <w:lang w:val="en-US"/>
        </w:rPr>
        <w:t>2</w:t>
      </w:r>
      <w:r w:rsidRPr="008E2A7B">
        <w:rPr>
          <w:lang w:val="en-GB"/>
        </w:rPr>
        <w:fldChar w:fldCharType="end"/>
      </w:r>
      <w:bookmarkEnd w:id="12"/>
      <w:r w:rsidR="0044710E" w:rsidRPr="008E2A7B">
        <w:rPr>
          <w:szCs w:val="20"/>
          <w:lang w:val="en-GB"/>
        </w:rPr>
        <w:t xml:space="preserve"> Energy intensity objectives for 2020 and 2030, assuming a linear progress, Wh/SEK (2009)</w:t>
      </w:r>
    </w:p>
    <w:p w14:paraId="6ED64994" w14:textId="77777777" w:rsidR="0044710E" w:rsidRPr="008E2A7B" w:rsidRDefault="0044710E" w:rsidP="0044710E">
      <w:pPr>
        <w:pStyle w:val="Brdtext"/>
        <w:rPr>
          <w:lang w:val="en-GB"/>
        </w:rPr>
      </w:pPr>
    </w:p>
    <w:p w14:paraId="2DD197EC" w14:textId="77777777" w:rsidR="0044710E" w:rsidRPr="008E2A7B" w:rsidRDefault="0044710E" w:rsidP="0044710E">
      <w:pPr>
        <w:pStyle w:val="Brdtext"/>
        <w:rPr>
          <w:lang w:val="en-GB"/>
        </w:rPr>
      </w:pPr>
      <w:r w:rsidRPr="008E2A7B">
        <w:rPr>
          <w:noProof/>
          <w:sz w:val="20"/>
          <w:szCs w:val="20"/>
          <w:lang w:val="en-GB" w:eastAsia="sv-SE"/>
        </w:rPr>
        <w:drawing>
          <wp:inline distT="0" distB="0" distL="0" distR="0" wp14:anchorId="7B87F31F" wp14:editId="2986DCCE">
            <wp:extent cx="4391660" cy="2639876"/>
            <wp:effectExtent l="0" t="0" r="8890" b="8255"/>
            <wp:docPr id="45" name="Bildobjekt 45"/>
            <wp:cNvGraphicFramePr/>
            <a:graphic xmlns:a="http://schemas.openxmlformats.org/drawingml/2006/main">
              <a:graphicData uri="http://schemas.openxmlformats.org/drawingml/2006/picture">
                <pic:pic xmlns:pic="http://schemas.openxmlformats.org/drawingml/2006/picture">
                  <pic:nvPicPr>
                    <pic:cNvPr id="3" name="Bildobjekt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1660" cy="2639876"/>
                    </a:xfrm>
                    <a:prstGeom prst="rect">
                      <a:avLst/>
                    </a:prstGeom>
                    <a:noFill/>
                  </pic:spPr>
                </pic:pic>
              </a:graphicData>
            </a:graphic>
          </wp:inline>
        </w:drawing>
      </w:r>
    </w:p>
    <w:p w14:paraId="5CBDF49A" w14:textId="5561B1A1" w:rsidR="0044710E" w:rsidRPr="008E2A7B" w:rsidRDefault="0044710E" w:rsidP="0044710E">
      <w:pPr>
        <w:pStyle w:val="Brdtext"/>
        <w:rPr>
          <w:lang w:val="en-GB"/>
        </w:rPr>
      </w:pPr>
      <w:bookmarkStart w:id="13" w:name="_Ref493491133"/>
      <w:r w:rsidRPr="008E2A7B">
        <w:rPr>
          <w:lang w:val="en-GB"/>
        </w:rPr>
        <w:t>Since energy intensity depends on the size of the GDP, translating it into absolute terms requires assumptions about economic growth. For translating primary consumption to final consumption, losses in transformation and distribution must be subtracted. According to official statistics, there is no constant relationship between final and primary consumption. However, there is a near constant ratio once losses from nuclear power have been subtracted</w:t>
      </w:r>
      <w:r w:rsidRPr="008E2A7B">
        <w:rPr>
          <w:rStyle w:val="Fotnotsreferens"/>
          <w:lang w:val="en-GB"/>
        </w:rPr>
        <w:footnoteReference w:id="7"/>
      </w:r>
      <w:r w:rsidRPr="008E2A7B">
        <w:rPr>
          <w:lang w:val="en-GB"/>
        </w:rPr>
        <w:t xml:space="preserve">. Primary consumption can therefore be translated to final consumption using different assumptions for the levels of nuclear power production (where these levels, and thus the losses, are assumed to be independent of the growth rate and final energy consumption). This is shown in </w:t>
      </w:r>
      <w:r w:rsidR="00B75F2F" w:rsidRPr="008E2A7B">
        <w:rPr>
          <w:lang w:val="en-GB"/>
        </w:rPr>
        <w:fldChar w:fldCharType="begin"/>
      </w:r>
      <w:r w:rsidR="00B75F2F" w:rsidRPr="008E2A7B">
        <w:rPr>
          <w:lang w:val="en-GB"/>
        </w:rPr>
        <w:instrText xml:space="preserve"> REF _Ref496262080 \h </w:instrText>
      </w:r>
      <w:r w:rsidR="00B75F2F" w:rsidRPr="008E2A7B">
        <w:rPr>
          <w:lang w:val="en-GB"/>
        </w:rPr>
      </w:r>
      <w:r w:rsidR="00B75F2F" w:rsidRPr="008E2A7B">
        <w:rPr>
          <w:lang w:val="en-GB"/>
        </w:rPr>
        <w:fldChar w:fldCharType="separate"/>
      </w:r>
      <w:r w:rsidR="00B75F2F" w:rsidRPr="008E2A7B">
        <w:rPr>
          <w:lang w:val="en-GB"/>
        </w:rPr>
        <w:t xml:space="preserve">Figure </w:t>
      </w:r>
      <w:r w:rsidR="00B75F2F" w:rsidRPr="008E2A7B">
        <w:rPr>
          <w:noProof/>
          <w:lang w:val="en-GB"/>
        </w:rPr>
        <w:t>3</w:t>
      </w:r>
      <w:r w:rsidR="00B75F2F" w:rsidRPr="008E2A7B">
        <w:rPr>
          <w:lang w:val="en-GB"/>
        </w:rPr>
        <w:fldChar w:fldCharType="end"/>
      </w:r>
      <w:r w:rsidRPr="008E2A7B">
        <w:rPr>
          <w:lang w:val="en-GB"/>
        </w:rPr>
        <w:t xml:space="preserve"> for different rates of economic growth.</w:t>
      </w:r>
    </w:p>
    <w:p w14:paraId="6F9CD715" w14:textId="77777777" w:rsidR="00C373DC" w:rsidRDefault="00C373DC">
      <w:pPr>
        <w:spacing w:after="160" w:line="0" w:lineRule="auto"/>
        <w:rPr>
          <w:b/>
          <w:iCs/>
          <w:sz w:val="20"/>
          <w:szCs w:val="18"/>
          <w:lang w:val="en-GB"/>
        </w:rPr>
      </w:pPr>
      <w:bookmarkStart w:id="14" w:name="_Ref496262080"/>
      <w:r>
        <w:rPr>
          <w:lang w:val="en-GB"/>
        </w:rPr>
        <w:br w:type="page"/>
      </w:r>
    </w:p>
    <w:p w14:paraId="7E5D96CD" w14:textId="09217112" w:rsidR="0044710E" w:rsidRPr="008E2A7B" w:rsidRDefault="0044710E" w:rsidP="0044710E">
      <w:pPr>
        <w:pStyle w:val="Beskrivning"/>
        <w:rPr>
          <w:b w:val="0"/>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3</w:t>
      </w:r>
      <w:r w:rsidRPr="008E2A7B">
        <w:rPr>
          <w:lang w:val="en-GB"/>
        </w:rPr>
        <w:fldChar w:fldCharType="end"/>
      </w:r>
      <w:bookmarkEnd w:id="13"/>
      <w:bookmarkEnd w:id="14"/>
      <w:r w:rsidRPr="008E2A7B">
        <w:rPr>
          <w:szCs w:val="20"/>
          <w:lang w:val="en-GB"/>
        </w:rPr>
        <w:t xml:space="preserve"> Primary and final energy consumption </w:t>
      </w:r>
      <w:r w:rsidR="008E52C2">
        <w:rPr>
          <w:szCs w:val="20"/>
          <w:lang w:val="en-GB"/>
        </w:rPr>
        <w:t xml:space="preserve">(TWh) </w:t>
      </w:r>
      <w:r w:rsidRPr="008E2A7B">
        <w:rPr>
          <w:szCs w:val="20"/>
          <w:lang w:val="en-GB"/>
        </w:rPr>
        <w:t>at target attainment in 2030 for various values of the average annual GDP (2009) evolution in 2005–2030 and for various nuclear-power-loss scenarios.</w:t>
      </w:r>
    </w:p>
    <w:p w14:paraId="676F3506" w14:textId="77777777" w:rsidR="0044710E" w:rsidRPr="008E2A7B" w:rsidRDefault="0044710E" w:rsidP="0044710E">
      <w:pPr>
        <w:pStyle w:val="Brdtext"/>
        <w:rPr>
          <w:lang w:val="en-GB"/>
        </w:rPr>
      </w:pPr>
    </w:p>
    <w:p w14:paraId="30521F71" w14:textId="5A4E68CA" w:rsidR="0044710E" w:rsidRPr="008E2A7B" w:rsidRDefault="00C373DC" w:rsidP="0044710E">
      <w:pPr>
        <w:pStyle w:val="Brdtext"/>
        <w:rPr>
          <w:lang w:val="en-GB"/>
        </w:rPr>
      </w:pPr>
      <w:r>
        <w:rPr>
          <w:rFonts w:eastAsia="Times New Roman"/>
          <w:noProof/>
        </w:rPr>
        <w:drawing>
          <wp:inline distT="0" distB="0" distL="0" distR="0" wp14:anchorId="31C760C3" wp14:editId="59EC47EE">
            <wp:extent cx="4543425" cy="2876550"/>
            <wp:effectExtent l="0" t="0" r="9525" b="0"/>
            <wp:docPr id="46" name="Bildobjekt 46" descr="Inline 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2"/>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543425" cy="2876550"/>
                    </a:xfrm>
                    <a:prstGeom prst="rect">
                      <a:avLst/>
                    </a:prstGeom>
                    <a:noFill/>
                    <a:ln>
                      <a:noFill/>
                    </a:ln>
                  </pic:spPr>
                </pic:pic>
              </a:graphicData>
            </a:graphic>
          </wp:inline>
        </w:drawing>
      </w:r>
    </w:p>
    <w:p w14:paraId="598CF9FB" w14:textId="77777777" w:rsidR="0044710E" w:rsidRPr="008E2A7B" w:rsidRDefault="0044710E" w:rsidP="0044710E">
      <w:pPr>
        <w:pStyle w:val="i-lista"/>
        <w:numPr>
          <w:ilvl w:val="1"/>
          <w:numId w:val="25"/>
        </w:numPr>
        <w:rPr>
          <w:i/>
          <w:lang w:val="en-GB"/>
        </w:rPr>
      </w:pPr>
      <w:bookmarkStart w:id="15" w:name="_Hlk494277894"/>
      <w:r w:rsidRPr="008E2A7B">
        <w:rPr>
          <w:i/>
          <w:lang w:val="en-GB"/>
        </w:rPr>
        <w:t>Cumulative amount of energy savings to be achieved over the period 2021-2030 under Article 7 on energy saving obligations of Directive 2012/27/EU [version as amended in accordance with proposal COM(2016)761]</w:t>
      </w:r>
      <w:bookmarkEnd w:id="15"/>
    </w:p>
    <w:p w14:paraId="105EFA69" w14:textId="77777777" w:rsidR="0044710E" w:rsidRPr="008E2A7B" w:rsidRDefault="0044710E" w:rsidP="0044710E">
      <w:pPr>
        <w:pStyle w:val="Brdtext"/>
        <w:rPr>
          <w:lang w:val="en-GB"/>
        </w:rPr>
      </w:pPr>
      <w:r w:rsidRPr="008E2A7B">
        <w:rPr>
          <w:lang w:val="en-GB"/>
        </w:rPr>
        <w:t>Pursuant to the above-mentioned article, member states shall achieve cumulative end-use energy savings at least equivalent to new savings each year from 1 January 2021 to 31 December 2030 of 1.5% of annual energy sales to final customers by volume, averaged over the most recent three-year period prior to 1 January 2019. Moreover, member states shall achieve the required amount of savings either by establishing an energy efficiency obligation scheme or by adopting alternative measures referred to in the directive. Sweden has chosen the latter option.</w:t>
      </w:r>
    </w:p>
    <w:p w14:paraId="26B95B06" w14:textId="77777777" w:rsidR="0044710E" w:rsidRPr="008E2A7B" w:rsidRDefault="0044710E" w:rsidP="0044710E">
      <w:pPr>
        <w:pStyle w:val="Brdtext"/>
        <w:rPr>
          <w:lang w:val="en-GB"/>
        </w:rPr>
      </w:pPr>
      <w:r w:rsidRPr="008E2A7B">
        <w:rPr>
          <w:lang w:val="en-GB"/>
        </w:rPr>
        <w:fldChar w:fldCharType="begin"/>
      </w:r>
      <w:r w:rsidRPr="008E2A7B">
        <w:rPr>
          <w:lang w:val="en-GB"/>
        </w:rPr>
        <w:instrText xml:space="preserve"> REF _Ref495927786 \h </w:instrText>
      </w:r>
      <w:r w:rsidRPr="008E2A7B">
        <w:rPr>
          <w:lang w:val="en-GB"/>
        </w:rPr>
      </w:r>
      <w:r w:rsidRPr="008E2A7B">
        <w:rPr>
          <w:lang w:val="en-GB"/>
        </w:rPr>
        <w:fldChar w:fldCharType="separate"/>
      </w:r>
      <w:r w:rsidRPr="008E2A7B">
        <w:rPr>
          <w:lang w:val="en-GB"/>
        </w:rPr>
        <w:t xml:space="preserve">Table </w:t>
      </w:r>
      <w:r w:rsidRPr="008E2A7B">
        <w:rPr>
          <w:noProof/>
          <w:lang w:val="en-GB"/>
        </w:rPr>
        <w:t>1</w:t>
      </w:r>
      <w:r w:rsidRPr="008E2A7B">
        <w:rPr>
          <w:lang w:val="en-GB"/>
        </w:rPr>
        <w:fldChar w:fldCharType="end"/>
      </w:r>
      <w:r w:rsidRPr="008E2A7B">
        <w:rPr>
          <w:lang w:val="en-GB"/>
        </w:rPr>
        <w:t xml:space="preserve"> shows energy sales in different sectors for the period 2013–2015 according to official Swedish statistics. Fuel that is sold and used for non-energy purposes has not been included. The same applies to electricity consumption for internal purposes by district heating plants and refineries, the consumption of electricity from industrial back-pressure production by industries (i.e. auto-producers), coal and coke that is used in the blast furnaces of the iron and steel industry and biofuel produced within industry (e.g. the paper and pulp industry, sawmills and the wood products industry). In addition, the coal and coke used for energy purposes in the iron and steel industry are imported directly and are therefore not supplied by Swedish energy suppliers. To ensure that the </w:t>
      </w:r>
      <w:r w:rsidRPr="008E2A7B">
        <w:rPr>
          <w:lang w:val="en-GB"/>
        </w:rPr>
        <w:lastRenderedPageBreak/>
        <w:t xml:space="preserve">system boundaries are the same as if an obligation scheme had been introduced, these energy quantities have not been included. </w:t>
      </w:r>
    </w:p>
    <w:p w14:paraId="2FE5B698" w14:textId="77777777" w:rsidR="0044710E" w:rsidRPr="008E2A7B" w:rsidRDefault="0044710E" w:rsidP="0044710E">
      <w:pPr>
        <w:pStyle w:val="Beskrivning"/>
        <w:keepNext/>
        <w:rPr>
          <w:lang w:val="en-GB"/>
        </w:rPr>
      </w:pPr>
      <w:bookmarkStart w:id="16" w:name="_Ref495927786"/>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1</w:t>
      </w:r>
      <w:r w:rsidRPr="008E2A7B">
        <w:rPr>
          <w:lang w:val="en-GB"/>
        </w:rPr>
        <w:fldChar w:fldCharType="end"/>
      </w:r>
      <w:bookmarkEnd w:id="16"/>
      <w:r w:rsidRPr="008E2A7B">
        <w:rPr>
          <w:szCs w:val="20"/>
          <w:lang w:val="en-GB"/>
        </w:rPr>
        <w:t xml:space="preserve"> Quantity of energy sold 2013-2015 [TWh/year]</w:t>
      </w:r>
    </w:p>
    <w:tbl>
      <w:tblPr>
        <w:tblStyle w:val="Enkeltabell1"/>
        <w:tblW w:w="7513" w:type="dxa"/>
        <w:tblLook w:val="04A0" w:firstRow="1" w:lastRow="0" w:firstColumn="1" w:lastColumn="0" w:noHBand="0" w:noVBand="1"/>
      </w:tblPr>
      <w:tblGrid>
        <w:gridCol w:w="1980"/>
        <w:gridCol w:w="1276"/>
        <w:gridCol w:w="1134"/>
        <w:gridCol w:w="1142"/>
        <w:gridCol w:w="1981"/>
      </w:tblGrid>
      <w:tr w:rsidR="0044710E" w:rsidRPr="008E2A7B" w14:paraId="5A7CE8C6" w14:textId="77777777" w:rsidTr="0044710E">
        <w:trPr>
          <w:cnfStyle w:val="100000000000" w:firstRow="1" w:lastRow="0" w:firstColumn="0" w:lastColumn="0" w:oddVBand="0" w:evenVBand="0" w:oddHBand="0" w:evenHBand="0" w:firstRowFirstColumn="0" w:firstRowLastColumn="0" w:lastRowFirstColumn="0" w:lastRowLastColumn="0"/>
          <w:trHeight w:val="349"/>
        </w:trPr>
        <w:tc>
          <w:tcPr>
            <w:tcW w:w="1980" w:type="dxa"/>
          </w:tcPr>
          <w:p w14:paraId="1A9AAEA7" w14:textId="77777777" w:rsidR="0044710E" w:rsidRPr="008E2A7B" w:rsidRDefault="0044710E" w:rsidP="0044710E">
            <w:pPr>
              <w:rPr>
                <w:rFonts w:ascii="Arial" w:hAnsi="Arial" w:cs="Arial"/>
                <w:b/>
                <w:bCs/>
                <w:color w:val="000000"/>
                <w:sz w:val="16"/>
                <w:szCs w:val="16"/>
                <w:lang w:val="en-GB"/>
              </w:rPr>
            </w:pPr>
          </w:p>
        </w:tc>
        <w:tc>
          <w:tcPr>
            <w:tcW w:w="1276" w:type="dxa"/>
          </w:tcPr>
          <w:p w14:paraId="3B2AF072" w14:textId="77777777" w:rsidR="0044710E" w:rsidRPr="008E2A7B" w:rsidRDefault="0044710E" w:rsidP="0044710E">
            <w:pPr>
              <w:rPr>
                <w:rFonts w:ascii="Arial" w:hAnsi="Arial" w:cs="Arial"/>
                <w:color w:val="000000"/>
                <w:sz w:val="16"/>
                <w:szCs w:val="16"/>
                <w:lang w:val="en-GB"/>
              </w:rPr>
            </w:pPr>
            <w:r w:rsidRPr="008E2A7B">
              <w:rPr>
                <w:rFonts w:ascii="Arial" w:hAnsi="Arial" w:cs="Arial"/>
                <w:bCs/>
                <w:color w:val="000000"/>
                <w:sz w:val="16"/>
                <w:szCs w:val="16"/>
                <w:lang w:val="en-GB"/>
              </w:rPr>
              <w:t>2013</w:t>
            </w:r>
          </w:p>
        </w:tc>
        <w:tc>
          <w:tcPr>
            <w:tcW w:w="1134" w:type="dxa"/>
          </w:tcPr>
          <w:p w14:paraId="79570C98" w14:textId="77777777" w:rsidR="0044710E" w:rsidRPr="008E2A7B" w:rsidRDefault="0044710E" w:rsidP="0044710E">
            <w:pPr>
              <w:rPr>
                <w:rFonts w:ascii="Arial" w:hAnsi="Arial" w:cs="Arial"/>
                <w:color w:val="000000"/>
                <w:sz w:val="16"/>
                <w:szCs w:val="16"/>
                <w:lang w:val="en-GB"/>
              </w:rPr>
            </w:pPr>
            <w:r w:rsidRPr="008E2A7B">
              <w:rPr>
                <w:rFonts w:ascii="Arial" w:hAnsi="Arial" w:cs="Arial"/>
                <w:bCs/>
                <w:color w:val="000000"/>
                <w:sz w:val="16"/>
                <w:szCs w:val="16"/>
                <w:lang w:val="en-GB"/>
              </w:rPr>
              <w:t>2014</w:t>
            </w:r>
          </w:p>
        </w:tc>
        <w:tc>
          <w:tcPr>
            <w:tcW w:w="1142" w:type="dxa"/>
          </w:tcPr>
          <w:p w14:paraId="1B8B127D" w14:textId="77777777" w:rsidR="0044710E" w:rsidRPr="008E2A7B" w:rsidRDefault="0044710E" w:rsidP="0044710E">
            <w:pPr>
              <w:rPr>
                <w:rFonts w:ascii="Arial" w:hAnsi="Arial" w:cs="Arial"/>
                <w:color w:val="000000"/>
                <w:sz w:val="16"/>
                <w:szCs w:val="16"/>
                <w:lang w:val="en-GB"/>
              </w:rPr>
            </w:pPr>
            <w:r w:rsidRPr="008E2A7B">
              <w:rPr>
                <w:rFonts w:ascii="Arial" w:hAnsi="Arial" w:cs="Arial"/>
                <w:bCs/>
                <w:color w:val="000000"/>
                <w:sz w:val="16"/>
                <w:szCs w:val="16"/>
                <w:lang w:val="en-GB"/>
              </w:rPr>
              <w:t>2015</w:t>
            </w:r>
          </w:p>
        </w:tc>
        <w:tc>
          <w:tcPr>
            <w:tcW w:w="1981" w:type="dxa"/>
          </w:tcPr>
          <w:p w14:paraId="41511536" w14:textId="77777777" w:rsidR="0044710E" w:rsidRPr="008E2A7B" w:rsidRDefault="0044710E" w:rsidP="0044710E">
            <w:pPr>
              <w:rPr>
                <w:rFonts w:ascii="Arial" w:hAnsi="Arial" w:cs="Arial"/>
                <w:bCs/>
                <w:color w:val="000000"/>
                <w:sz w:val="16"/>
                <w:szCs w:val="16"/>
                <w:lang w:val="en-GB"/>
              </w:rPr>
            </w:pPr>
            <w:r w:rsidRPr="008E2A7B">
              <w:rPr>
                <w:rFonts w:ascii="Arial" w:hAnsi="Arial" w:cs="Arial"/>
                <w:bCs/>
                <w:color w:val="000000"/>
                <w:sz w:val="16"/>
                <w:szCs w:val="16"/>
                <w:lang w:val="en-GB"/>
              </w:rPr>
              <w:t>average</w:t>
            </w:r>
          </w:p>
          <w:p w14:paraId="5EA77D40" w14:textId="77777777" w:rsidR="0044710E" w:rsidRPr="008E2A7B" w:rsidRDefault="0044710E" w:rsidP="0044710E">
            <w:pPr>
              <w:rPr>
                <w:rFonts w:ascii="Arial" w:hAnsi="Arial" w:cs="Arial"/>
                <w:color w:val="000000"/>
                <w:sz w:val="16"/>
                <w:szCs w:val="16"/>
                <w:lang w:val="en-GB"/>
              </w:rPr>
            </w:pPr>
            <w:r w:rsidRPr="008E2A7B">
              <w:rPr>
                <w:rFonts w:ascii="Arial" w:hAnsi="Arial" w:cs="Arial"/>
                <w:bCs/>
                <w:color w:val="000000"/>
                <w:sz w:val="16"/>
                <w:szCs w:val="16"/>
                <w:lang w:val="en-GB"/>
              </w:rPr>
              <w:t>2013-2015</w:t>
            </w:r>
          </w:p>
        </w:tc>
      </w:tr>
      <w:tr w:rsidR="0044710E" w:rsidRPr="008E2A7B" w14:paraId="510D3127" w14:textId="77777777" w:rsidTr="0044710E">
        <w:trPr>
          <w:trHeight w:val="349"/>
        </w:trPr>
        <w:tc>
          <w:tcPr>
            <w:tcW w:w="1980" w:type="dxa"/>
          </w:tcPr>
          <w:p w14:paraId="04FADCAF"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Electricity</w:t>
            </w:r>
          </w:p>
        </w:tc>
        <w:tc>
          <w:tcPr>
            <w:tcW w:w="1276" w:type="dxa"/>
          </w:tcPr>
          <w:p w14:paraId="26F0D681"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119</w:t>
            </w:r>
          </w:p>
        </w:tc>
        <w:tc>
          <w:tcPr>
            <w:tcW w:w="1134" w:type="dxa"/>
          </w:tcPr>
          <w:p w14:paraId="0061DDCC"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115</w:t>
            </w:r>
          </w:p>
        </w:tc>
        <w:tc>
          <w:tcPr>
            <w:tcW w:w="1142" w:type="dxa"/>
          </w:tcPr>
          <w:p w14:paraId="458680CC"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117</w:t>
            </w:r>
          </w:p>
        </w:tc>
        <w:tc>
          <w:tcPr>
            <w:tcW w:w="1981" w:type="dxa"/>
          </w:tcPr>
          <w:p w14:paraId="5407F9F6"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117</w:t>
            </w:r>
          </w:p>
        </w:tc>
      </w:tr>
      <w:tr w:rsidR="0044710E" w:rsidRPr="008E2A7B" w14:paraId="775AF00C" w14:textId="77777777" w:rsidTr="0044710E">
        <w:trPr>
          <w:trHeight w:val="328"/>
        </w:trPr>
        <w:tc>
          <w:tcPr>
            <w:tcW w:w="1980" w:type="dxa"/>
          </w:tcPr>
          <w:p w14:paraId="0223766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2581B04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c>
          <w:tcPr>
            <w:tcW w:w="1134" w:type="dxa"/>
          </w:tcPr>
          <w:p w14:paraId="7B542E04"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68</w:t>
            </w:r>
          </w:p>
        </w:tc>
        <w:tc>
          <w:tcPr>
            <w:tcW w:w="1142" w:type="dxa"/>
          </w:tcPr>
          <w:p w14:paraId="67765652"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c>
          <w:tcPr>
            <w:tcW w:w="1981" w:type="dxa"/>
          </w:tcPr>
          <w:p w14:paraId="41DA863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70</w:t>
            </w:r>
          </w:p>
        </w:tc>
      </w:tr>
      <w:tr w:rsidR="0044710E" w:rsidRPr="008E2A7B" w14:paraId="5E49B70B" w14:textId="77777777" w:rsidTr="0044710E">
        <w:trPr>
          <w:trHeight w:val="349"/>
        </w:trPr>
        <w:tc>
          <w:tcPr>
            <w:tcW w:w="1980" w:type="dxa"/>
          </w:tcPr>
          <w:p w14:paraId="76B7EBED"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08E2CEC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45</w:t>
            </w:r>
          </w:p>
        </w:tc>
        <w:tc>
          <w:tcPr>
            <w:tcW w:w="1134" w:type="dxa"/>
          </w:tcPr>
          <w:p w14:paraId="00233629"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44</w:t>
            </w:r>
          </w:p>
        </w:tc>
        <w:tc>
          <w:tcPr>
            <w:tcW w:w="1142" w:type="dxa"/>
          </w:tcPr>
          <w:p w14:paraId="61E1672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43</w:t>
            </w:r>
          </w:p>
        </w:tc>
        <w:tc>
          <w:tcPr>
            <w:tcW w:w="1981" w:type="dxa"/>
          </w:tcPr>
          <w:p w14:paraId="1F3F667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44</w:t>
            </w:r>
          </w:p>
        </w:tc>
      </w:tr>
      <w:tr w:rsidR="0044710E" w:rsidRPr="008E2A7B" w14:paraId="5EA342F1" w14:textId="77777777" w:rsidTr="0044710E">
        <w:trPr>
          <w:trHeight w:val="328"/>
        </w:trPr>
        <w:tc>
          <w:tcPr>
            <w:tcW w:w="1980" w:type="dxa"/>
          </w:tcPr>
          <w:p w14:paraId="4D001177"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transports</w:t>
            </w:r>
          </w:p>
        </w:tc>
        <w:tc>
          <w:tcPr>
            <w:tcW w:w="1276" w:type="dxa"/>
          </w:tcPr>
          <w:p w14:paraId="16AACE5C"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w:t>
            </w:r>
          </w:p>
        </w:tc>
        <w:tc>
          <w:tcPr>
            <w:tcW w:w="1134" w:type="dxa"/>
          </w:tcPr>
          <w:p w14:paraId="31BB67E1"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w:t>
            </w:r>
          </w:p>
        </w:tc>
        <w:tc>
          <w:tcPr>
            <w:tcW w:w="1142" w:type="dxa"/>
          </w:tcPr>
          <w:p w14:paraId="7D8CEF0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w:t>
            </w:r>
          </w:p>
        </w:tc>
        <w:tc>
          <w:tcPr>
            <w:tcW w:w="1981" w:type="dxa"/>
          </w:tcPr>
          <w:p w14:paraId="22BA42D9"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w:t>
            </w:r>
          </w:p>
        </w:tc>
      </w:tr>
      <w:tr w:rsidR="0044710E" w:rsidRPr="008E2A7B" w14:paraId="55ACC440" w14:textId="77777777" w:rsidTr="0044710E">
        <w:trPr>
          <w:trHeight w:val="349"/>
        </w:trPr>
        <w:tc>
          <w:tcPr>
            <w:tcW w:w="1980" w:type="dxa"/>
          </w:tcPr>
          <w:p w14:paraId="384BF5A9"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district heating</w:t>
            </w:r>
          </w:p>
        </w:tc>
        <w:tc>
          <w:tcPr>
            <w:tcW w:w="1276" w:type="dxa"/>
          </w:tcPr>
          <w:p w14:paraId="551C33A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51</w:t>
            </w:r>
          </w:p>
        </w:tc>
        <w:tc>
          <w:tcPr>
            <w:tcW w:w="1134" w:type="dxa"/>
          </w:tcPr>
          <w:p w14:paraId="35F57C2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49</w:t>
            </w:r>
          </w:p>
        </w:tc>
        <w:tc>
          <w:tcPr>
            <w:tcW w:w="1142" w:type="dxa"/>
          </w:tcPr>
          <w:p w14:paraId="25A8EE1D"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49</w:t>
            </w:r>
          </w:p>
        </w:tc>
        <w:tc>
          <w:tcPr>
            <w:tcW w:w="1981" w:type="dxa"/>
          </w:tcPr>
          <w:p w14:paraId="5CC3915F"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49</w:t>
            </w:r>
          </w:p>
        </w:tc>
      </w:tr>
      <w:tr w:rsidR="0044710E" w:rsidRPr="008E2A7B" w14:paraId="63263E09" w14:textId="77777777" w:rsidTr="0044710E">
        <w:trPr>
          <w:trHeight w:val="328"/>
        </w:trPr>
        <w:tc>
          <w:tcPr>
            <w:tcW w:w="1980" w:type="dxa"/>
          </w:tcPr>
          <w:p w14:paraId="5FF1A3D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5426573A"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47</w:t>
            </w:r>
          </w:p>
        </w:tc>
        <w:tc>
          <w:tcPr>
            <w:tcW w:w="1134" w:type="dxa"/>
          </w:tcPr>
          <w:p w14:paraId="5DED1ECA"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45</w:t>
            </w:r>
          </w:p>
        </w:tc>
        <w:tc>
          <w:tcPr>
            <w:tcW w:w="1142" w:type="dxa"/>
          </w:tcPr>
          <w:p w14:paraId="6CC3199A"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45</w:t>
            </w:r>
          </w:p>
        </w:tc>
        <w:tc>
          <w:tcPr>
            <w:tcW w:w="1981" w:type="dxa"/>
          </w:tcPr>
          <w:p w14:paraId="13BA0A3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45</w:t>
            </w:r>
          </w:p>
        </w:tc>
      </w:tr>
      <w:tr w:rsidR="0044710E" w:rsidRPr="008E2A7B" w14:paraId="71C7CE96" w14:textId="77777777" w:rsidTr="0044710E">
        <w:trPr>
          <w:trHeight w:val="328"/>
        </w:trPr>
        <w:tc>
          <w:tcPr>
            <w:tcW w:w="1980" w:type="dxa"/>
          </w:tcPr>
          <w:p w14:paraId="4D26D49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65B7296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134" w:type="dxa"/>
          </w:tcPr>
          <w:p w14:paraId="3EBB5DB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142" w:type="dxa"/>
          </w:tcPr>
          <w:p w14:paraId="3507B39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981" w:type="dxa"/>
          </w:tcPr>
          <w:p w14:paraId="038072F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r>
      <w:tr w:rsidR="0044710E" w:rsidRPr="008E2A7B" w14:paraId="195A3BD6" w14:textId="77777777" w:rsidTr="0044710E">
        <w:trPr>
          <w:trHeight w:val="328"/>
        </w:trPr>
        <w:tc>
          <w:tcPr>
            <w:tcW w:w="1980" w:type="dxa"/>
          </w:tcPr>
          <w:p w14:paraId="194D54AB"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oil products</w:t>
            </w:r>
          </w:p>
        </w:tc>
        <w:tc>
          <w:tcPr>
            <w:tcW w:w="1276" w:type="dxa"/>
          </w:tcPr>
          <w:p w14:paraId="46B5E77B"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96</w:t>
            </w:r>
          </w:p>
        </w:tc>
        <w:tc>
          <w:tcPr>
            <w:tcW w:w="1134" w:type="dxa"/>
          </w:tcPr>
          <w:p w14:paraId="4B7E3ED6"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92</w:t>
            </w:r>
          </w:p>
        </w:tc>
        <w:tc>
          <w:tcPr>
            <w:tcW w:w="1142" w:type="dxa"/>
          </w:tcPr>
          <w:p w14:paraId="453D79D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91</w:t>
            </w:r>
          </w:p>
        </w:tc>
        <w:tc>
          <w:tcPr>
            <w:tcW w:w="1981" w:type="dxa"/>
          </w:tcPr>
          <w:p w14:paraId="6277649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93</w:t>
            </w:r>
          </w:p>
        </w:tc>
      </w:tr>
      <w:tr w:rsidR="0044710E" w:rsidRPr="008E2A7B" w14:paraId="513CA90B" w14:textId="77777777" w:rsidTr="0044710E">
        <w:trPr>
          <w:trHeight w:val="328"/>
        </w:trPr>
        <w:tc>
          <w:tcPr>
            <w:tcW w:w="1980" w:type="dxa"/>
          </w:tcPr>
          <w:p w14:paraId="35B651D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2E6D86EF"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13</w:t>
            </w:r>
          </w:p>
        </w:tc>
        <w:tc>
          <w:tcPr>
            <w:tcW w:w="1134" w:type="dxa"/>
          </w:tcPr>
          <w:p w14:paraId="3ADE47A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12</w:t>
            </w:r>
          </w:p>
        </w:tc>
        <w:tc>
          <w:tcPr>
            <w:tcW w:w="1142" w:type="dxa"/>
          </w:tcPr>
          <w:p w14:paraId="7C6FC0C9"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12</w:t>
            </w:r>
          </w:p>
        </w:tc>
        <w:tc>
          <w:tcPr>
            <w:tcW w:w="1981" w:type="dxa"/>
          </w:tcPr>
          <w:p w14:paraId="6643C72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12</w:t>
            </w:r>
          </w:p>
        </w:tc>
      </w:tr>
      <w:tr w:rsidR="0044710E" w:rsidRPr="008E2A7B" w14:paraId="44689FF2" w14:textId="77777777" w:rsidTr="0044710E">
        <w:trPr>
          <w:trHeight w:val="328"/>
        </w:trPr>
        <w:tc>
          <w:tcPr>
            <w:tcW w:w="1980" w:type="dxa"/>
          </w:tcPr>
          <w:p w14:paraId="1F2DDE7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3DBC626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10</w:t>
            </w:r>
          </w:p>
        </w:tc>
        <w:tc>
          <w:tcPr>
            <w:tcW w:w="1134" w:type="dxa"/>
          </w:tcPr>
          <w:p w14:paraId="7F180E3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9</w:t>
            </w:r>
          </w:p>
        </w:tc>
        <w:tc>
          <w:tcPr>
            <w:tcW w:w="1142" w:type="dxa"/>
          </w:tcPr>
          <w:p w14:paraId="58E5428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w:t>
            </w:r>
          </w:p>
        </w:tc>
        <w:tc>
          <w:tcPr>
            <w:tcW w:w="1981" w:type="dxa"/>
          </w:tcPr>
          <w:p w14:paraId="6E36B91E"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9</w:t>
            </w:r>
          </w:p>
        </w:tc>
      </w:tr>
      <w:tr w:rsidR="0044710E" w:rsidRPr="008E2A7B" w14:paraId="787AFB73" w14:textId="77777777" w:rsidTr="0044710E">
        <w:trPr>
          <w:trHeight w:val="328"/>
        </w:trPr>
        <w:tc>
          <w:tcPr>
            <w:tcW w:w="1980" w:type="dxa"/>
          </w:tcPr>
          <w:p w14:paraId="7CCCDE0D"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transports</w:t>
            </w:r>
          </w:p>
        </w:tc>
        <w:tc>
          <w:tcPr>
            <w:tcW w:w="1276" w:type="dxa"/>
          </w:tcPr>
          <w:p w14:paraId="5A6FA27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73</w:t>
            </w:r>
          </w:p>
        </w:tc>
        <w:tc>
          <w:tcPr>
            <w:tcW w:w="1134" w:type="dxa"/>
          </w:tcPr>
          <w:p w14:paraId="07B79D8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c>
          <w:tcPr>
            <w:tcW w:w="1142" w:type="dxa"/>
          </w:tcPr>
          <w:p w14:paraId="2A21DFD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c>
          <w:tcPr>
            <w:tcW w:w="1981" w:type="dxa"/>
          </w:tcPr>
          <w:p w14:paraId="7093FDC2"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72</w:t>
            </w:r>
          </w:p>
        </w:tc>
      </w:tr>
      <w:tr w:rsidR="0044710E" w:rsidRPr="008E2A7B" w14:paraId="5B1B9324" w14:textId="77777777" w:rsidTr="0044710E">
        <w:trPr>
          <w:trHeight w:val="328"/>
        </w:trPr>
        <w:tc>
          <w:tcPr>
            <w:tcW w:w="1980" w:type="dxa"/>
          </w:tcPr>
          <w:p w14:paraId="210D7446"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natural gas</w:t>
            </w:r>
          </w:p>
        </w:tc>
        <w:tc>
          <w:tcPr>
            <w:tcW w:w="1276" w:type="dxa"/>
          </w:tcPr>
          <w:p w14:paraId="1C3260E5"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6</w:t>
            </w:r>
          </w:p>
        </w:tc>
        <w:tc>
          <w:tcPr>
            <w:tcW w:w="1134" w:type="dxa"/>
          </w:tcPr>
          <w:p w14:paraId="53BC054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6</w:t>
            </w:r>
          </w:p>
        </w:tc>
        <w:tc>
          <w:tcPr>
            <w:tcW w:w="1142" w:type="dxa"/>
          </w:tcPr>
          <w:p w14:paraId="6F22AD89"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6</w:t>
            </w:r>
          </w:p>
        </w:tc>
        <w:tc>
          <w:tcPr>
            <w:tcW w:w="1981" w:type="dxa"/>
          </w:tcPr>
          <w:p w14:paraId="20684494"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6</w:t>
            </w:r>
          </w:p>
        </w:tc>
      </w:tr>
      <w:tr w:rsidR="0044710E" w:rsidRPr="008E2A7B" w14:paraId="75B7F71F" w14:textId="77777777" w:rsidTr="0044710E">
        <w:trPr>
          <w:trHeight w:val="328"/>
        </w:trPr>
        <w:tc>
          <w:tcPr>
            <w:tcW w:w="1980" w:type="dxa"/>
          </w:tcPr>
          <w:p w14:paraId="4BE8C0D1"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3B39EB9E"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2</w:t>
            </w:r>
          </w:p>
        </w:tc>
        <w:tc>
          <w:tcPr>
            <w:tcW w:w="1134" w:type="dxa"/>
          </w:tcPr>
          <w:p w14:paraId="3810D022"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2</w:t>
            </w:r>
          </w:p>
        </w:tc>
        <w:tc>
          <w:tcPr>
            <w:tcW w:w="1142" w:type="dxa"/>
          </w:tcPr>
          <w:p w14:paraId="780D89F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2</w:t>
            </w:r>
          </w:p>
        </w:tc>
        <w:tc>
          <w:tcPr>
            <w:tcW w:w="1981" w:type="dxa"/>
          </w:tcPr>
          <w:p w14:paraId="3A73560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2</w:t>
            </w:r>
          </w:p>
        </w:tc>
      </w:tr>
      <w:tr w:rsidR="0044710E" w:rsidRPr="008E2A7B" w14:paraId="6F948742" w14:textId="77777777" w:rsidTr="0044710E">
        <w:trPr>
          <w:trHeight w:val="328"/>
        </w:trPr>
        <w:tc>
          <w:tcPr>
            <w:tcW w:w="1980" w:type="dxa"/>
          </w:tcPr>
          <w:p w14:paraId="2D90636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1741A20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134" w:type="dxa"/>
          </w:tcPr>
          <w:p w14:paraId="4BF106C9"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142" w:type="dxa"/>
          </w:tcPr>
          <w:p w14:paraId="789E219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c>
          <w:tcPr>
            <w:tcW w:w="1981" w:type="dxa"/>
          </w:tcPr>
          <w:p w14:paraId="657C60A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4</w:t>
            </w:r>
          </w:p>
        </w:tc>
      </w:tr>
      <w:tr w:rsidR="0044710E" w:rsidRPr="008E2A7B" w14:paraId="44A1ADAC" w14:textId="77777777" w:rsidTr="0044710E">
        <w:trPr>
          <w:trHeight w:val="328"/>
        </w:trPr>
        <w:tc>
          <w:tcPr>
            <w:tcW w:w="1980" w:type="dxa"/>
          </w:tcPr>
          <w:p w14:paraId="3015EFB4"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transports</w:t>
            </w:r>
          </w:p>
        </w:tc>
        <w:tc>
          <w:tcPr>
            <w:tcW w:w="1276" w:type="dxa"/>
          </w:tcPr>
          <w:p w14:paraId="5499A8A0"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w:t>
            </w:r>
          </w:p>
        </w:tc>
        <w:tc>
          <w:tcPr>
            <w:tcW w:w="1134" w:type="dxa"/>
          </w:tcPr>
          <w:p w14:paraId="25E6F2F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w:t>
            </w:r>
          </w:p>
        </w:tc>
        <w:tc>
          <w:tcPr>
            <w:tcW w:w="1142" w:type="dxa"/>
          </w:tcPr>
          <w:p w14:paraId="2803DCB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0</w:t>
            </w:r>
          </w:p>
        </w:tc>
        <w:tc>
          <w:tcPr>
            <w:tcW w:w="1981" w:type="dxa"/>
          </w:tcPr>
          <w:p w14:paraId="3736993E"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w:t>
            </w:r>
          </w:p>
        </w:tc>
      </w:tr>
      <w:tr w:rsidR="0044710E" w:rsidRPr="008E2A7B" w14:paraId="2EE59A3C" w14:textId="77777777" w:rsidTr="0044710E">
        <w:trPr>
          <w:trHeight w:val="328"/>
        </w:trPr>
        <w:tc>
          <w:tcPr>
            <w:tcW w:w="1980" w:type="dxa"/>
          </w:tcPr>
          <w:p w14:paraId="09908AA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biofuel</w:t>
            </w:r>
          </w:p>
        </w:tc>
        <w:tc>
          <w:tcPr>
            <w:tcW w:w="1276" w:type="dxa"/>
          </w:tcPr>
          <w:p w14:paraId="092338F4"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33</w:t>
            </w:r>
          </w:p>
        </w:tc>
        <w:tc>
          <w:tcPr>
            <w:tcW w:w="1134" w:type="dxa"/>
          </w:tcPr>
          <w:p w14:paraId="274CA2C9"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34</w:t>
            </w:r>
          </w:p>
        </w:tc>
        <w:tc>
          <w:tcPr>
            <w:tcW w:w="1142" w:type="dxa"/>
          </w:tcPr>
          <w:p w14:paraId="420DD10F"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36</w:t>
            </w:r>
          </w:p>
        </w:tc>
        <w:tc>
          <w:tcPr>
            <w:tcW w:w="1981" w:type="dxa"/>
          </w:tcPr>
          <w:p w14:paraId="271A16B3"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34</w:t>
            </w:r>
          </w:p>
        </w:tc>
      </w:tr>
      <w:tr w:rsidR="0044710E" w:rsidRPr="008E2A7B" w14:paraId="4C6C75A3" w14:textId="77777777" w:rsidTr="0044710E">
        <w:trPr>
          <w:trHeight w:val="328"/>
        </w:trPr>
        <w:tc>
          <w:tcPr>
            <w:tcW w:w="1980" w:type="dxa"/>
          </w:tcPr>
          <w:p w14:paraId="395AB50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67DFC77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15</w:t>
            </w:r>
          </w:p>
        </w:tc>
        <w:tc>
          <w:tcPr>
            <w:tcW w:w="1134" w:type="dxa"/>
          </w:tcPr>
          <w:p w14:paraId="0EF374ED"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w:t>
            </w:r>
          </w:p>
        </w:tc>
        <w:tc>
          <w:tcPr>
            <w:tcW w:w="1142" w:type="dxa"/>
          </w:tcPr>
          <w:p w14:paraId="2CD95C0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w:t>
            </w:r>
          </w:p>
        </w:tc>
        <w:tc>
          <w:tcPr>
            <w:tcW w:w="1981" w:type="dxa"/>
          </w:tcPr>
          <w:p w14:paraId="29AC274D"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w:t>
            </w:r>
          </w:p>
        </w:tc>
      </w:tr>
      <w:tr w:rsidR="0044710E" w:rsidRPr="008E2A7B" w14:paraId="409616DD" w14:textId="77777777" w:rsidTr="0044710E">
        <w:trPr>
          <w:trHeight w:val="328"/>
        </w:trPr>
        <w:tc>
          <w:tcPr>
            <w:tcW w:w="1980" w:type="dxa"/>
          </w:tcPr>
          <w:p w14:paraId="77E9BEAF"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5D4542E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9</w:t>
            </w:r>
          </w:p>
        </w:tc>
        <w:tc>
          <w:tcPr>
            <w:tcW w:w="1134" w:type="dxa"/>
          </w:tcPr>
          <w:p w14:paraId="4525419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10</w:t>
            </w:r>
          </w:p>
        </w:tc>
        <w:tc>
          <w:tcPr>
            <w:tcW w:w="1142" w:type="dxa"/>
          </w:tcPr>
          <w:p w14:paraId="4152CA6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9</w:t>
            </w:r>
          </w:p>
        </w:tc>
        <w:tc>
          <w:tcPr>
            <w:tcW w:w="1981" w:type="dxa"/>
          </w:tcPr>
          <w:p w14:paraId="202B84E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9</w:t>
            </w:r>
          </w:p>
        </w:tc>
      </w:tr>
      <w:tr w:rsidR="0044710E" w:rsidRPr="008E2A7B" w14:paraId="0B0A7EF0" w14:textId="77777777" w:rsidTr="0044710E">
        <w:trPr>
          <w:trHeight w:val="328"/>
        </w:trPr>
        <w:tc>
          <w:tcPr>
            <w:tcW w:w="1980" w:type="dxa"/>
          </w:tcPr>
          <w:p w14:paraId="58F7F5A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transports</w:t>
            </w:r>
          </w:p>
        </w:tc>
        <w:tc>
          <w:tcPr>
            <w:tcW w:w="1276" w:type="dxa"/>
          </w:tcPr>
          <w:p w14:paraId="3B98BC1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w:t>
            </w:r>
          </w:p>
        </w:tc>
        <w:tc>
          <w:tcPr>
            <w:tcW w:w="1134" w:type="dxa"/>
          </w:tcPr>
          <w:p w14:paraId="6D73F0A7"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11</w:t>
            </w:r>
          </w:p>
        </w:tc>
        <w:tc>
          <w:tcPr>
            <w:tcW w:w="1142" w:type="dxa"/>
          </w:tcPr>
          <w:p w14:paraId="13E4290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13</w:t>
            </w:r>
          </w:p>
        </w:tc>
        <w:tc>
          <w:tcPr>
            <w:tcW w:w="1981" w:type="dxa"/>
          </w:tcPr>
          <w:p w14:paraId="330612C3"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11</w:t>
            </w:r>
          </w:p>
        </w:tc>
      </w:tr>
      <w:tr w:rsidR="0044710E" w:rsidRPr="008E2A7B" w14:paraId="0E61B7EC" w14:textId="77777777" w:rsidTr="0044710E">
        <w:trPr>
          <w:trHeight w:val="328"/>
        </w:trPr>
        <w:tc>
          <w:tcPr>
            <w:tcW w:w="1980" w:type="dxa"/>
          </w:tcPr>
          <w:p w14:paraId="2CB4643A"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total</w:t>
            </w:r>
          </w:p>
        </w:tc>
        <w:tc>
          <w:tcPr>
            <w:tcW w:w="1276" w:type="dxa"/>
          </w:tcPr>
          <w:p w14:paraId="1F75D0E6"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304</w:t>
            </w:r>
          </w:p>
        </w:tc>
        <w:tc>
          <w:tcPr>
            <w:tcW w:w="1134" w:type="dxa"/>
          </w:tcPr>
          <w:p w14:paraId="05DBDA81"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296</w:t>
            </w:r>
          </w:p>
        </w:tc>
        <w:tc>
          <w:tcPr>
            <w:tcW w:w="1142" w:type="dxa"/>
          </w:tcPr>
          <w:p w14:paraId="5E5A3D42"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299</w:t>
            </w:r>
          </w:p>
        </w:tc>
        <w:tc>
          <w:tcPr>
            <w:tcW w:w="1981" w:type="dxa"/>
          </w:tcPr>
          <w:p w14:paraId="46ED083C" w14:textId="77777777" w:rsidR="0044710E" w:rsidRPr="008E2A7B" w:rsidRDefault="0044710E" w:rsidP="0044710E">
            <w:pPr>
              <w:rPr>
                <w:rFonts w:ascii="Arial" w:hAnsi="Arial" w:cs="Arial"/>
                <w:color w:val="000000"/>
                <w:sz w:val="16"/>
                <w:szCs w:val="16"/>
                <w:lang w:val="en-GB"/>
              </w:rPr>
            </w:pPr>
            <w:r w:rsidRPr="008E2A7B">
              <w:rPr>
                <w:rFonts w:ascii="Arial" w:hAnsi="Arial" w:cs="Arial"/>
                <w:b/>
                <w:bCs/>
                <w:color w:val="000000"/>
                <w:sz w:val="16"/>
                <w:szCs w:val="16"/>
                <w:lang w:val="en-GB"/>
              </w:rPr>
              <w:t>300</w:t>
            </w:r>
          </w:p>
        </w:tc>
      </w:tr>
      <w:tr w:rsidR="0044710E" w:rsidRPr="008E2A7B" w14:paraId="6D68DF41" w14:textId="77777777" w:rsidTr="0044710E">
        <w:trPr>
          <w:trHeight w:val="328"/>
        </w:trPr>
        <w:tc>
          <w:tcPr>
            <w:tcW w:w="1980" w:type="dxa"/>
          </w:tcPr>
          <w:p w14:paraId="55D98F3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residential etc</w:t>
            </w:r>
          </w:p>
        </w:tc>
        <w:tc>
          <w:tcPr>
            <w:tcW w:w="1276" w:type="dxa"/>
          </w:tcPr>
          <w:p w14:paraId="1657C01E"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147</w:t>
            </w:r>
          </w:p>
        </w:tc>
        <w:tc>
          <w:tcPr>
            <w:tcW w:w="1134" w:type="dxa"/>
          </w:tcPr>
          <w:p w14:paraId="3F720CE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140</w:t>
            </w:r>
          </w:p>
        </w:tc>
        <w:tc>
          <w:tcPr>
            <w:tcW w:w="1142" w:type="dxa"/>
          </w:tcPr>
          <w:p w14:paraId="1565B0C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143</w:t>
            </w:r>
          </w:p>
        </w:tc>
        <w:tc>
          <w:tcPr>
            <w:tcW w:w="1981" w:type="dxa"/>
          </w:tcPr>
          <w:p w14:paraId="793B278A"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143</w:t>
            </w:r>
          </w:p>
        </w:tc>
      </w:tr>
      <w:tr w:rsidR="0044710E" w:rsidRPr="008E2A7B" w14:paraId="16EA7367" w14:textId="77777777" w:rsidTr="0044710E">
        <w:trPr>
          <w:trHeight w:val="328"/>
        </w:trPr>
        <w:tc>
          <w:tcPr>
            <w:tcW w:w="1980" w:type="dxa"/>
          </w:tcPr>
          <w:p w14:paraId="6B499FD8"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industry</w:t>
            </w:r>
          </w:p>
        </w:tc>
        <w:tc>
          <w:tcPr>
            <w:tcW w:w="1276" w:type="dxa"/>
          </w:tcPr>
          <w:p w14:paraId="02861C94"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73</w:t>
            </w:r>
          </w:p>
        </w:tc>
        <w:tc>
          <w:tcPr>
            <w:tcW w:w="1134" w:type="dxa"/>
          </w:tcPr>
          <w:p w14:paraId="6E031E06"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c>
          <w:tcPr>
            <w:tcW w:w="1142" w:type="dxa"/>
          </w:tcPr>
          <w:p w14:paraId="08A3B83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69</w:t>
            </w:r>
          </w:p>
        </w:tc>
        <w:tc>
          <w:tcPr>
            <w:tcW w:w="1981" w:type="dxa"/>
          </w:tcPr>
          <w:p w14:paraId="0BDF7725"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71</w:t>
            </w:r>
          </w:p>
        </w:tc>
      </w:tr>
      <w:tr w:rsidR="0044710E" w:rsidRPr="008E2A7B" w14:paraId="32D192C2" w14:textId="77777777" w:rsidTr="0044710E">
        <w:trPr>
          <w:trHeight w:val="80"/>
        </w:trPr>
        <w:tc>
          <w:tcPr>
            <w:tcW w:w="1980" w:type="dxa"/>
          </w:tcPr>
          <w:p w14:paraId="3B59E94B"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transports</w:t>
            </w:r>
          </w:p>
        </w:tc>
        <w:tc>
          <w:tcPr>
            <w:tcW w:w="1276" w:type="dxa"/>
          </w:tcPr>
          <w:p w14:paraId="0357C8E7"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85</w:t>
            </w:r>
          </w:p>
        </w:tc>
        <w:tc>
          <w:tcPr>
            <w:tcW w:w="1134" w:type="dxa"/>
          </w:tcPr>
          <w:p w14:paraId="59C2F38C"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85</w:t>
            </w:r>
          </w:p>
        </w:tc>
        <w:tc>
          <w:tcPr>
            <w:tcW w:w="1142" w:type="dxa"/>
          </w:tcPr>
          <w:p w14:paraId="27063374"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87</w:t>
            </w:r>
          </w:p>
        </w:tc>
        <w:tc>
          <w:tcPr>
            <w:tcW w:w="1981" w:type="dxa"/>
          </w:tcPr>
          <w:p w14:paraId="33F0AAB4" w14:textId="77777777" w:rsidR="0044710E" w:rsidRPr="008E2A7B" w:rsidRDefault="0044710E" w:rsidP="0044710E">
            <w:pPr>
              <w:rPr>
                <w:rFonts w:ascii="Arial" w:hAnsi="Arial" w:cs="Arial"/>
                <w:color w:val="000000"/>
                <w:sz w:val="16"/>
                <w:szCs w:val="16"/>
                <w:lang w:val="en-GB"/>
              </w:rPr>
            </w:pPr>
            <w:r w:rsidRPr="008E2A7B">
              <w:rPr>
                <w:rFonts w:ascii="Arial" w:hAnsi="Arial" w:cs="Arial"/>
                <w:color w:val="000000"/>
                <w:sz w:val="16"/>
                <w:szCs w:val="16"/>
                <w:lang w:val="en-GB"/>
              </w:rPr>
              <w:t>86</w:t>
            </w:r>
          </w:p>
        </w:tc>
      </w:tr>
    </w:tbl>
    <w:p w14:paraId="2CF7EE60" w14:textId="77777777" w:rsidR="0044710E" w:rsidRPr="008E2A7B" w:rsidRDefault="0044710E" w:rsidP="0044710E">
      <w:pPr>
        <w:rPr>
          <w:rFonts w:ascii="Arial" w:eastAsia="Times New Roman" w:hAnsi="Arial" w:cs="Arial"/>
          <w:color w:val="000000"/>
          <w:sz w:val="22"/>
          <w:lang w:val="en-GB" w:eastAsia="sv-SE"/>
        </w:rPr>
      </w:pPr>
    </w:p>
    <w:p w14:paraId="3E80A0CE" w14:textId="77777777" w:rsidR="0044710E" w:rsidRPr="008E2A7B" w:rsidRDefault="0044710E" w:rsidP="0044710E">
      <w:pPr>
        <w:pStyle w:val="Brdtext"/>
        <w:rPr>
          <w:lang w:val="en-GB"/>
        </w:rPr>
      </w:pPr>
      <w:r w:rsidRPr="008E2A7B">
        <w:rPr>
          <w:lang w:val="en-GB"/>
        </w:rPr>
        <w:t xml:space="preserve">With energy sales 2013–2015 averaging 300 TWh, the cumulative amount of energy savings to be achieved is 247 TWh. If energy sales in the transport sector are excluded, which is possible under the directive proposal, the cumulative amount is instead 176 TWh. </w:t>
      </w:r>
    </w:p>
    <w:p w14:paraId="67A5E70F" w14:textId="77777777" w:rsidR="0044710E" w:rsidRPr="008E2A7B" w:rsidRDefault="0044710E" w:rsidP="0044710E">
      <w:pPr>
        <w:pStyle w:val="i-lista"/>
        <w:numPr>
          <w:ilvl w:val="1"/>
          <w:numId w:val="25"/>
        </w:numPr>
        <w:rPr>
          <w:i/>
          <w:lang w:val="en-GB"/>
        </w:rPr>
      </w:pPr>
      <w:r w:rsidRPr="008E2A7B">
        <w:rPr>
          <w:i/>
          <w:lang w:val="en-GB"/>
        </w:rPr>
        <w:t>Objectives for the long-term renovation of the national stock of residential and commercial buildings (both public and private)</w:t>
      </w:r>
    </w:p>
    <w:p w14:paraId="629E1DB0" w14:textId="77777777" w:rsidR="0044710E" w:rsidRPr="008E2A7B" w:rsidRDefault="0044710E" w:rsidP="0044710E">
      <w:pPr>
        <w:pStyle w:val="Brdtext"/>
        <w:rPr>
          <w:lang w:val="en-GB"/>
        </w:rPr>
      </w:pPr>
      <w:r w:rsidRPr="008E2A7B">
        <w:rPr>
          <w:lang w:val="en-GB"/>
        </w:rPr>
        <w:t xml:space="preserve">Although renovation is one measure that can increase energy efficiency, just setting a target for renovation of the building stock does not guarantee that the renovation is done in a way that increases energy efficiency. In fact, measures to stimulate renovation may lead to buildings being renovated earlier than what would be optimal from a resource management perspective. Unless the measures require a certain minimum energy savings, renovations may actually increase energy consumption.  </w:t>
      </w:r>
      <w:r w:rsidRPr="008E2A7B">
        <w:rPr>
          <w:lang w:val="en-GB"/>
        </w:rPr>
        <w:lastRenderedPageBreak/>
        <w:t xml:space="preserve">Also, the age structure of Swedish buildings is uneven, thus the need for renovation varies heavily between years. Although there are several national and local policies aimed at increasing energy efficient renovation, Sweden has not found it suitable to set a quantitative objective. </w:t>
      </w:r>
    </w:p>
    <w:p w14:paraId="66E5D0B6" w14:textId="77777777" w:rsidR="0044710E" w:rsidRPr="008E2A7B" w:rsidRDefault="0044710E" w:rsidP="0044710E">
      <w:pPr>
        <w:pStyle w:val="i-lista"/>
        <w:numPr>
          <w:ilvl w:val="1"/>
          <w:numId w:val="25"/>
        </w:numPr>
        <w:rPr>
          <w:i/>
          <w:lang w:val="en-GB"/>
        </w:rPr>
      </w:pPr>
      <w:r w:rsidRPr="008E2A7B">
        <w:rPr>
          <w:i/>
          <w:lang w:val="en-GB"/>
        </w:rPr>
        <w:t>The total floor area to be renovated or equivalent annual energy savings to be achieved from 2021 to 2030 under Article 5 on the exemplary role of public bodies' buildings of Directive 2012/27/EU</w:t>
      </w:r>
    </w:p>
    <w:p w14:paraId="1984C5EA" w14:textId="77777777" w:rsidR="0044710E" w:rsidRPr="008E2A7B" w:rsidRDefault="0044710E" w:rsidP="0044710E">
      <w:pPr>
        <w:pStyle w:val="Brdtext"/>
        <w:rPr>
          <w:color w:val="FF0000"/>
          <w:lang w:val="en-GB"/>
        </w:rPr>
      </w:pPr>
      <w:r w:rsidRPr="008E2A7B">
        <w:rPr>
          <w:color w:val="FF0000"/>
          <w:lang w:val="en-GB"/>
        </w:rPr>
        <w:t xml:space="preserve">[RK/Boverket] </w:t>
      </w:r>
    </w:p>
    <w:p w14:paraId="15A955C9" w14:textId="77777777" w:rsidR="0044710E" w:rsidRPr="008E2A7B" w:rsidRDefault="0044710E" w:rsidP="0044710E">
      <w:pPr>
        <w:pStyle w:val="i-lista"/>
        <w:numPr>
          <w:ilvl w:val="1"/>
          <w:numId w:val="25"/>
        </w:numPr>
        <w:rPr>
          <w:i/>
          <w:lang w:val="en-GB"/>
        </w:rPr>
      </w:pPr>
      <w:r w:rsidRPr="008E2A7B">
        <w:rPr>
          <w:i/>
          <w:lang w:val="en-GB"/>
        </w:rPr>
        <w:t>If applicable, other national objectives, including long-term targets or strategies and sectorial targets. National objectives in areas such as energy efficiency in the transport sector and with regard to heating and cooling</w:t>
      </w:r>
    </w:p>
    <w:p w14:paraId="1C4CC734" w14:textId="77777777" w:rsidR="0044710E" w:rsidRPr="008E2A7B" w:rsidRDefault="0044710E" w:rsidP="0044710E">
      <w:pPr>
        <w:pStyle w:val="Brdtext"/>
        <w:rPr>
          <w:lang w:val="en-GB"/>
        </w:rPr>
      </w:pPr>
      <w:r w:rsidRPr="008E2A7B">
        <w:rPr>
          <w:lang w:val="en-GB"/>
        </w:rPr>
        <w:t>Not applicable.</w:t>
      </w:r>
    </w:p>
    <w:p w14:paraId="4882DECC" w14:textId="77777777" w:rsidR="0044710E" w:rsidRPr="008E2A7B" w:rsidRDefault="0044710E" w:rsidP="0044710E">
      <w:pPr>
        <w:pStyle w:val="Rubrik2"/>
        <w:rPr>
          <w:lang w:val="en-GB"/>
        </w:rPr>
      </w:pPr>
      <w:bookmarkStart w:id="17" w:name="_Toc499285544"/>
      <w:r w:rsidRPr="008E2A7B">
        <w:rPr>
          <w:lang w:val="en-GB"/>
        </w:rPr>
        <w:t>Dimension Energy security</w:t>
      </w:r>
      <w:bookmarkEnd w:id="17"/>
      <w:r w:rsidRPr="008E2A7B">
        <w:rPr>
          <w:lang w:val="en-GB"/>
        </w:rPr>
        <w:t xml:space="preserve"> </w:t>
      </w:r>
    </w:p>
    <w:p w14:paraId="5FAA07D5" w14:textId="2E4D56E4" w:rsidR="0044710E" w:rsidRPr="008E2A7B" w:rsidRDefault="0044710E" w:rsidP="0044710E">
      <w:pPr>
        <w:pStyle w:val="Brdtext"/>
        <w:rPr>
          <w:lang w:val="en-GB"/>
        </w:rPr>
      </w:pPr>
      <w:r w:rsidRPr="008E2A7B">
        <w:rPr>
          <w:lang w:val="en-GB"/>
        </w:rPr>
        <w:t xml:space="preserve">Energy security is together with ecological sustainability and competitiveness part of the overarching objective for Swedish energy policy, and is also an integral part of general policies for emergency preparedness and civil defence. The objective of these policies is qualitative in character and based on the principle of well-functioning energy markets which prevent and mitigate disruptions and shortages. This means that Sweden does not have detailed </w:t>
      </w:r>
      <w:r w:rsidR="00676D75" w:rsidRPr="008E2A7B">
        <w:rPr>
          <w:lang w:val="en-GB"/>
        </w:rPr>
        <w:t xml:space="preserve">quantitative </w:t>
      </w:r>
      <w:r w:rsidRPr="008E2A7B">
        <w:rPr>
          <w:lang w:val="en-GB"/>
        </w:rPr>
        <w:t>objectives for most of the areas requested below.</w:t>
      </w:r>
    </w:p>
    <w:p w14:paraId="18FB5A69" w14:textId="77777777" w:rsidR="0044710E" w:rsidRPr="008E2A7B" w:rsidRDefault="0044710E" w:rsidP="0042741F">
      <w:pPr>
        <w:pStyle w:val="i-lista"/>
        <w:rPr>
          <w:i/>
          <w:lang w:val="en-GB"/>
        </w:rPr>
      </w:pPr>
      <w:r w:rsidRPr="008E2A7B">
        <w:rPr>
          <w:i/>
          <w:lang w:val="en-GB"/>
        </w:rPr>
        <w:t>National objectives with regard to increasing the diversification of energy sources and supply from third countries, storage and demand response</w:t>
      </w:r>
    </w:p>
    <w:p w14:paraId="7DC8346C" w14:textId="77777777" w:rsidR="0044710E" w:rsidRPr="008E2A7B" w:rsidRDefault="0044710E" w:rsidP="0044710E">
      <w:pPr>
        <w:pStyle w:val="Brdtext"/>
        <w:rPr>
          <w:lang w:val="en-GB"/>
        </w:rPr>
      </w:pPr>
      <w:r w:rsidRPr="008E2A7B">
        <w:rPr>
          <w:lang w:val="en-GB"/>
        </w:rPr>
        <w:t>As for diversification of energy sources, Sweden has objectives for increasing supply of renewable electricity as described in 2.1.2.</w:t>
      </w:r>
      <w:r w:rsidRPr="008E2A7B">
        <w:rPr>
          <w:i/>
          <w:lang w:val="en-GB"/>
        </w:rPr>
        <w:t>iii</w:t>
      </w:r>
      <w:r w:rsidRPr="008E2A7B">
        <w:rPr>
          <w:lang w:val="en-GB"/>
        </w:rPr>
        <w:t xml:space="preserve">. </w:t>
      </w:r>
    </w:p>
    <w:p w14:paraId="049021FA" w14:textId="77777777" w:rsidR="0044710E" w:rsidRPr="008E2A7B" w:rsidRDefault="0044710E" w:rsidP="0044710E">
      <w:pPr>
        <w:pStyle w:val="Brdtext"/>
        <w:rPr>
          <w:lang w:val="en-GB"/>
        </w:rPr>
      </w:pPr>
      <w:r w:rsidRPr="008E2A7B">
        <w:rPr>
          <w:lang w:val="en-GB"/>
        </w:rPr>
        <w:t>As for supply from third countries, see 2.3.</w:t>
      </w:r>
      <w:r w:rsidRPr="008E2A7B">
        <w:rPr>
          <w:i/>
          <w:lang w:val="en-GB"/>
        </w:rPr>
        <w:t>ii</w:t>
      </w:r>
      <w:r w:rsidRPr="008E2A7B">
        <w:rPr>
          <w:lang w:val="en-GB"/>
        </w:rPr>
        <w:t xml:space="preserve">. </w:t>
      </w:r>
    </w:p>
    <w:p w14:paraId="28742859" w14:textId="77777777" w:rsidR="0044710E" w:rsidRPr="008E2A7B" w:rsidRDefault="0044710E" w:rsidP="0044710E">
      <w:pPr>
        <w:pStyle w:val="Brdtext"/>
        <w:rPr>
          <w:lang w:val="en-GB"/>
        </w:rPr>
      </w:pPr>
      <w:r w:rsidRPr="008E2A7B">
        <w:rPr>
          <w:lang w:val="en-GB"/>
        </w:rPr>
        <w:t>As for demand response, see 2.4.3.</w:t>
      </w:r>
      <w:r w:rsidRPr="008E2A7B">
        <w:rPr>
          <w:i/>
          <w:lang w:val="en-GB"/>
        </w:rPr>
        <w:t>ii</w:t>
      </w:r>
      <w:r w:rsidRPr="008E2A7B">
        <w:rPr>
          <w:lang w:val="en-GB"/>
        </w:rPr>
        <w:t xml:space="preserve">. </w:t>
      </w:r>
    </w:p>
    <w:p w14:paraId="0B3C9E79" w14:textId="0D416115" w:rsidR="0044710E" w:rsidRPr="008E2A7B" w:rsidRDefault="0044710E" w:rsidP="00635D0A">
      <w:pPr>
        <w:pStyle w:val="Brdtext"/>
        <w:rPr>
          <w:lang w:val="en-GB"/>
        </w:rPr>
      </w:pPr>
      <w:r w:rsidRPr="008E2A7B">
        <w:rPr>
          <w:lang w:val="en-GB"/>
        </w:rPr>
        <w:t>As for storage, the Energy Policy Commission expresses an ambition to enhance possibilities to store electricity, but does not propose a specific objective. Regarding emergency stocks of oil, objectives for minimum stocks follow from Council Directive 2009/119/EC</w:t>
      </w:r>
      <w:r w:rsidR="00214B19" w:rsidRPr="008E2A7B">
        <w:rPr>
          <w:lang w:val="en-GB"/>
        </w:rPr>
        <w:t xml:space="preserve"> and </w:t>
      </w:r>
      <w:r w:rsidR="00046BB7">
        <w:rPr>
          <w:lang w:val="en-GB"/>
        </w:rPr>
        <w:t>the International Energy Program</w:t>
      </w:r>
      <w:r w:rsidR="00214B19" w:rsidRPr="008E2A7B">
        <w:rPr>
          <w:lang w:val="en-GB"/>
        </w:rPr>
        <w:t xml:space="preserve"> Agreement that requires </w:t>
      </w:r>
      <w:r w:rsidR="00046BB7">
        <w:rPr>
          <w:lang w:val="en-GB"/>
        </w:rPr>
        <w:t>International Energy Agency</w:t>
      </w:r>
      <w:r w:rsidR="00635D0A" w:rsidRPr="008E2A7B">
        <w:rPr>
          <w:lang w:val="en-GB"/>
        </w:rPr>
        <w:t xml:space="preserve"> </w:t>
      </w:r>
      <w:r w:rsidR="00214B19" w:rsidRPr="008E2A7B">
        <w:rPr>
          <w:lang w:val="en-GB"/>
        </w:rPr>
        <w:t>member countries to hold oil stocks equivalent to at least 90 days.</w:t>
      </w:r>
      <w:r w:rsidR="00214B19" w:rsidRPr="008E2A7B" w:rsidDel="00214B19">
        <w:rPr>
          <w:lang w:val="en-GB"/>
        </w:rPr>
        <w:t xml:space="preserve"> </w:t>
      </w:r>
    </w:p>
    <w:p w14:paraId="2F984E04" w14:textId="77777777" w:rsidR="0044710E" w:rsidRPr="008E2A7B" w:rsidRDefault="0044710E" w:rsidP="0042741F">
      <w:pPr>
        <w:pStyle w:val="i-lista"/>
        <w:rPr>
          <w:i/>
          <w:lang w:val="en-GB"/>
        </w:rPr>
      </w:pPr>
      <w:r w:rsidRPr="008E2A7B">
        <w:rPr>
          <w:i/>
          <w:lang w:val="en-GB"/>
        </w:rPr>
        <w:lastRenderedPageBreak/>
        <w:t>National objectives with regard to reducing energy import dependency from third countries</w:t>
      </w:r>
    </w:p>
    <w:p w14:paraId="00F5C2ED" w14:textId="52BA80E4" w:rsidR="0044710E" w:rsidRPr="008E2A7B" w:rsidRDefault="0044710E" w:rsidP="00214B19">
      <w:pPr>
        <w:pStyle w:val="Brdtext"/>
        <w:rPr>
          <w:lang w:val="en-GB"/>
        </w:rPr>
      </w:pPr>
      <w:r w:rsidRPr="008E2A7B">
        <w:rPr>
          <w:lang w:val="en-GB"/>
        </w:rPr>
        <w:t>Apart from requirements and criteria from Union legislation, there are no national objectives to reduce energy import dependency from third countries. Energy supply is instead secured by well-functioning energy markets where energy as far as possible flows freely both within Sweden and between Sweden and other countries.</w:t>
      </w:r>
    </w:p>
    <w:p w14:paraId="6F43BEE8" w14:textId="77777777" w:rsidR="0044710E" w:rsidRPr="008E2A7B" w:rsidRDefault="0044710E" w:rsidP="00852893">
      <w:pPr>
        <w:pStyle w:val="i-lista"/>
        <w:rPr>
          <w:i/>
          <w:lang w:val="en-GB"/>
        </w:rPr>
      </w:pPr>
      <w:bookmarkStart w:id="18" w:name="_Hlk498501127"/>
      <w:r w:rsidRPr="008E2A7B">
        <w:rPr>
          <w:i/>
          <w:lang w:val="en-GB"/>
        </w:rPr>
        <w:t xml:space="preserve">National objectives with regard to readiness to cope with constrained or interrupted supply of an energy source (including gas and electricity) and, where appropriate, a timeframe for when the objectives shall be met </w:t>
      </w:r>
    </w:p>
    <w:bookmarkEnd w:id="18"/>
    <w:p w14:paraId="5F0ACB99" w14:textId="77777777" w:rsidR="00676D75" w:rsidRPr="008E2A7B" w:rsidRDefault="00676D75" w:rsidP="00676D75">
      <w:pPr>
        <w:pStyle w:val="Brdtext"/>
        <w:rPr>
          <w:lang w:val="en-GB"/>
        </w:rPr>
      </w:pPr>
      <w:r w:rsidRPr="008E2A7B">
        <w:rPr>
          <w:lang w:val="en-GB"/>
        </w:rPr>
        <w:t xml:space="preserve">Responsibility for a secure energy supply lies in many different actors. The markets must be able to prevent and alleviate interruptions and shortcomings through their functioning. The government has an important role in designing and controlling well-functioning energy markets. Those who provide energy have a far-reaching responsibility to prevent and alleviate any disturbances that may occur. Energy users also have a responsibility to handle the consequences of disturbances and disruptions of energy supply that may arise. </w:t>
      </w:r>
    </w:p>
    <w:p w14:paraId="3C319F73" w14:textId="6CCC5A3D" w:rsidR="00676D75" w:rsidRPr="008E2A7B" w:rsidRDefault="00676D75" w:rsidP="00676D75">
      <w:pPr>
        <w:pStyle w:val="Brdtext"/>
        <w:rPr>
          <w:lang w:val="en-GB"/>
        </w:rPr>
      </w:pPr>
      <w:r w:rsidRPr="008E2A7B">
        <w:rPr>
          <w:lang w:val="en-GB"/>
        </w:rPr>
        <w:t xml:space="preserve">Energy users who have </w:t>
      </w:r>
      <w:r w:rsidR="00FF5A12" w:rsidRPr="008E2A7B">
        <w:rPr>
          <w:lang w:val="en-GB"/>
        </w:rPr>
        <w:t>higher reliability</w:t>
      </w:r>
      <w:r w:rsidR="00E41FFA" w:rsidRPr="008E2A7B">
        <w:rPr>
          <w:lang w:val="en-GB"/>
        </w:rPr>
        <w:t xml:space="preserve"> for </w:t>
      </w:r>
      <w:r w:rsidRPr="008E2A7B">
        <w:rPr>
          <w:lang w:val="en-GB"/>
        </w:rPr>
        <w:t>energy needs than what the market function can guarantee</w:t>
      </w:r>
      <w:r w:rsidR="00E41FFA" w:rsidRPr="008E2A7B">
        <w:rPr>
          <w:lang w:val="en-GB"/>
        </w:rPr>
        <w:t>,</w:t>
      </w:r>
      <w:r w:rsidRPr="008E2A7B">
        <w:rPr>
          <w:lang w:val="en-GB"/>
        </w:rPr>
        <w:t xml:space="preserve"> need to create their own ability to prevent and alleviate the consequences that may arise in the event of disturbances in energy supplies. This is particularly important for energy users who carry out activities that are vital for society. If the energy markets do not adequately prevent and alleviate the disturbances that occur, there must be prepared and well-known crisis management measures, which are described below. </w:t>
      </w:r>
    </w:p>
    <w:p w14:paraId="14FFCF0F" w14:textId="77777777" w:rsidR="0044710E" w:rsidRPr="008E2A7B" w:rsidRDefault="0044710E" w:rsidP="0044710E">
      <w:pPr>
        <w:pStyle w:val="Brdtext"/>
        <w:rPr>
          <w:lang w:val="en-GB"/>
        </w:rPr>
      </w:pPr>
      <w:r w:rsidRPr="008E2A7B">
        <w:rPr>
          <w:lang w:val="en-GB"/>
        </w:rPr>
        <w:t>As for the oil supply, see 2.3.</w:t>
      </w:r>
      <w:r w:rsidRPr="008E2A7B">
        <w:rPr>
          <w:i/>
          <w:lang w:val="en-GB"/>
        </w:rPr>
        <w:t>i</w:t>
      </w:r>
      <w:r w:rsidRPr="008E2A7B">
        <w:rPr>
          <w:lang w:val="en-GB"/>
        </w:rPr>
        <w:t xml:space="preserve">. </w:t>
      </w:r>
    </w:p>
    <w:p w14:paraId="34B72C5F" w14:textId="41B4626F" w:rsidR="0044710E" w:rsidRPr="008E2A7B" w:rsidRDefault="0044710E" w:rsidP="0044710E">
      <w:pPr>
        <w:pStyle w:val="Brdtext"/>
        <w:rPr>
          <w:lang w:val="en-GB"/>
        </w:rPr>
      </w:pPr>
      <w:bookmarkStart w:id="19" w:name="_Hlk498500849"/>
      <w:r w:rsidRPr="008E2A7B">
        <w:rPr>
          <w:lang w:val="en-GB"/>
        </w:rPr>
        <w:t>As for the gas supply, the Swedish implementation of the gas supply security regulation requires that protected customers, i.e. consumers, have access to gas for at least 30 days in the event of supply disturbances or disruptions.</w:t>
      </w:r>
      <w:r w:rsidR="00476B6A" w:rsidRPr="008E2A7B">
        <w:rPr>
          <w:rStyle w:val="Fotnotsreferens"/>
          <w:lang w:val="en-GB"/>
        </w:rPr>
        <w:footnoteReference w:id="8"/>
      </w:r>
      <w:r w:rsidRPr="008E2A7B">
        <w:rPr>
          <w:lang w:val="en-GB"/>
        </w:rPr>
        <w:t xml:space="preserve"> </w:t>
      </w:r>
    </w:p>
    <w:bookmarkEnd w:id="19"/>
    <w:p w14:paraId="722DFBA5" w14:textId="27AECD84" w:rsidR="0044710E" w:rsidRPr="008E2A7B" w:rsidRDefault="0044710E" w:rsidP="0044710E">
      <w:pPr>
        <w:pStyle w:val="Brdtext"/>
        <w:rPr>
          <w:lang w:val="en-GB"/>
        </w:rPr>
      </w:pPr>
      <w:r w:rsidRPr="008E2A7B">
        <w:rPr>
          <w:lang w:val="en-GB"/>
        </w:rPr>
        <w:t>As for electricity, there is an objective, expressed as a requirement aimed at the network operator, that outages must not last longer than 24 hours, unless caused by a factor not controlled by the operator. There is also an objective for the operational reliability of the national grid, which states that an individual failure at the level n-1</w:t>
      </w:r>
      <w:r w:rsidR="00F30AE5" w:rsidRPr="008E2A7B">
        <w:rPr>
          <w:rStyle w:val="Fotnotsreferens"/>
          <w:lang w:val="en-GB"/>
        </w:rPr>
        <w:footnoteReference w:id="9"/>
      </w:r>
      <w:r w:rsidRPr="008E2A7B">
        <w:rPr>
          <w:lang w:val="en-GB"/>
        </w:rPr>
        <w:t xml:space="preserve"> in the Swedish national grid must not be critical for electricity delivery. Should such a failure occur, </w:t>
      </w:r>
      <w:r w:rsidRPr="008E2A7B">
        <w:rPr>
          <w:lang w:val="en-GB"/>
        </w:rPr>
        <w:lastRenderedPageBreak/>
        <w:t>consequences are to be remedied within 15 minutes and the electricity system should then be ready for a potential new failure. If the grid is damaged, necessary repair measures are to be initiated without delay.</w:t>
      </w:r>
    </w:p>
    <w:p w14:paraId="4C8397A3" w14:textId="364EE249" w:rsidR="00B23468" w:rsidRPr="008E2A7B" w:rsidRDefault="00B23468" w:rsidP="0044710E">
      <w:pPr>
        <w:pStyle w:val="Brdtext"/>
        <w:rPr>
          <w:lang w:val="en-GB"/>
        </w:rPr>
      </w:pPr>
      <w:r w:rsidRPr="008E2A7B">
        <w:rPr>
          <w:lang w:val="en-GB"/>
        </w:rPr>
        <w:t>Electric energy shortages and electric power shortages are described in more detail in 3.3</w:t>
      </w:r>
      <w:r w:rsidRPr="008E2A7B">
        <w:rPr>
          <w:i/>
          <w:lang w:val="en-GB"/>
        </w:rPr>
        <w:t>i</w:t>
      </w:r>
      <w:r w:rsidRPr="008E2A7B">
        <w:rPr>
          <w:lang w:val="en-GB"/>
        </w:rPr>
        <w:t xml:space="preserve">.  </w:t>
      </w:r>
    </w:p>
    <w:p w14:paraId="691BDF8D" w14:textId="77777777" w:rsidR="0044710E" w:rsidRPr="008E2A7B" w:rsidRDefault="0044710E" w:rsidP="00852893">
      <w:pPr>
        <w:pStyle w:val="i-lista"/>
        <w:rPr>
          <w:i/>
          <w:lang w:val="en-GB"/>
        </w:rPr>
      </w:pPr>
      <w:r w:rsidRPr="008E2A7B">
        <w:rPr>
          <w:i/>
          <w:lang w:val="en-GB"/>
        </w:rPr>
        <w:t>National objectives with regard to deployment of domestic energy sources (notably renewable energy)</w:t>
      </w:r>
    </w:p>
    <w:p w14:paraId="6D5C12BD" w14:textId="77777777" w:rsidR="0044710E" w:rsidRPr="008E2A7B" w:rsidRDefault="0044710E" w:rsidP="0044710E">
      <w:pPr>
        <w:pStyle w:val="Brdtext"/>
        <w:rPr>
          <w:lang w:val="en-GB"/>
        </w:rPr>
      </w:pPr>
      <w:r w:rsidRPr="008E2A7B">
        <w:rPr>
          <w:lang w:val="en-GB"/>
        </w:rPr>
        <w:t>National objectives with regard to deployment of domestic energy sources are the objectives for deployment of renewable electricity described in 2.1.2.</w:t>
      </w:r>
      <w:r w:rsidRPr="008E2A7B">
        <w:rPr>
          <w:i/>
          <w:lang w:val="en-GB"/>
        </w:rPr>
        <w:t>iii</w:t>
      </w:r>
      <w:r w:rsidRPr="008E2A7B">
        <w:rPr>
          <w:lang w:val="en-GB"/>
        </w:rPr>
        <w:t>.</w:t>
      </w:r>
    </w:p>
    <w:p w14:paraId="0047D9CB" w14:textId="77777777" w:rsidR="0044710E" w:rsidRPr="008E2A7B" w:rsidRDefault="0044710E" w:rsidP="0044710E">
      <w:pPr>
        <w:pStyle w:val="Brdtext"/>
        <w:rPr>
          <w:lang w:val="en-GB"/>
        </w:rPr>
      </w:pPr>
    </w:p>
    <w:p w14:paraId="5F7B0168" w14:textId="77777777" w:rsidR="0044710E" w:rsidRPr="008E2A7B" w:rsidRDefault="0044710E" w:rsidP="0044710E">
      <w:pPr>
        <w:pStyle w:val="Rubrik2"/>
        <w:rPr>
          <w:lang w:val="en-GB"/>
        </w:rPr>
      </w:pPr>
      <w:bookmarkStart w:id="20" w:name="_Toc499285545"/>
      <w:r w:rsidRPr="008E2A7B">
        <w:rPr>
          <w:lang w:val="en-GB"/>
        </w:rPr>
        <w:t>Dimension Internal energy market</w:t>
      </w:r>
      <w:bookmarkEnd w:id="20"/>
    </w:p>
    <w:p w14:paraId="0CF1E99F" w14:textId="77777777" w:rsidR="0044710E" w:rsidRPr="008E2A7B" w:rsidRDefault="0044710E" w:rsidP="0044710E">
      <w:pPr>
        <w:pStyle w:val="Rubrik3"/>
        <w:rPr>
          <w:lang w:val="en-GB"/>
        </w:rPr>
      </w:pPr>
      <w:r w:rsidRPr="008E2A7B">
        <w:rPr>
          <w:lang w:val="en-GB"/>
        </w:rPr>
        <w:t>Electricity interconnectivity (2030 Framework target)</w:t>
      </w:r>
    </w:p>
    <w:p w14:paraId="379C3DC6" w14:textId="77777777" w:rsidR="0044710E" w:rsidRPr="008E2A7B" w:rsidRDefault="0044710E" w:rsidP="0044710E">
      <w:pPr>
        <w:pStyle w:val="i-lista"/>
        <w:numPr>
          <w:ilvl w:val="1"/>
          <w:numId w:val="27"/>
        </w:numPr>
        <w:rPr>
          <w:i/>
          <w:lang w:val="en-GB"/>
        </w:rPr>
      </w:pPr>
      <w:r w:rsidRPr="008E2A7B">
        <w:rPr>
          <w:i/>
          <w:lang w:val="en-GB"/>
        </w:rPr>
        <w:t>The level of electricity interconnectivity that the Member State aims for in 2030 in relation to the October 2014 European Council objective</w:t>
      </w:r>
    </w:p>
    <w:p w14:paraId="7FFA9391" w14:textId="77777777" w:rsidR="0044710E" w:rsidRPr="008E2A7B" w:rsidRDefault="0044710E" w:rsidP="0044710E">
      <w:pPr>
        <w:pStyle w:val="Brdtext"/>
        <w:rPr>
          <w:lang w:val="en-GB"/>
        </w:rPr>
      </w:pPr>
      <w:r w:rsidRPr="008E2A7B">
        <w:rPr>
          <w:lang w:val="en-GB"/>
        </w:rPr>
        <w:t xml:space="preserve">The Swedish level of electricity interconnectivity is 26%, as of 2017, and is expected to increase to approximately 28% by 2030, i.e. well above the Union objective of 15%. Hence, Sweden sees no need for a quantitative objective. </w:t>
      </w:r>
    </w:p>
    <w:p w14:paraId="4AFC1C2F" w14:textId="77777777" w:rsidR="0044710E" w:rsidRPr="008E2A7B" w:rsidRDefault="0044710E" w:rsidP="0044710E">
      <w:pPr>
        <w:pStyle w:val="Rubrik3"/>
        <w:rPr>
          <w:lang w:val="en-GB"/>
        </w:rPr>
      </w:pPr>
      <w:r w:rsidRPr="008E2A7B">
        <w:rPr>
          <w:lang w:val="en-GB"/>
        </w:rPr>
        <w:t>Energy transmission infrastructure</w:t>
      </w:r>
    </w:p>
    <w:p w14:paraId="44D21050" w14:textId="77777777" w:rsidR="0044710E" w:rsidRPr="008E2A7B" w:rsidRDefault="0044710E" w:rsidP="0044710E">
      <w:pPr>
        <w:pStyle w:val="i-lista"/>
        <w:numPr>
          <w:ilvl w:val="1"/>
          <w:numId w:val="28"/>
        </w:numPr>
        <w:rPr>
          <w:i/>
          <w:lang w:val="en-GB"/>
        </w:rPr>
      </w:pPr>
      <w:r w:rsidRPr="008E2A7B">
        <w:rPr>
          <w:i/>
          <w:lang w:val="en-GB"/>
        </w:rPr>
        <w:t>Key national objectives for electricity and gas transmission infrastructure that are necessary for the achievement of objectives and targets under any of the dimensions of the Energy Union strategy</w:t>
      </w:r>
    </w:p>
    <w:p w14:paraId="49C8B3B7" w14:textId="77777777" w:rsidR="0044710E" w:rsidRPr="008E2A7B" w:rsidRDefault="0044710E" w:rsidP="0044710E">
      <w:pPr>
        <w:pStyle w:val="Brdtext"/>
        <w:rPr>
          <w:lang w:val="en-GB"/>
        </w:rPr>
      </w:pPr>
      <w:r w:rsidRPr="008E2A7B">
        <w:rPr>
          <w:lang w:val="en-GB"/>
        </w:rPr>
        <w:t xml:space="preserve">The Energy Policy Commission proposed an ambition to increase electricity transmission capacity within Sweden and between Sweden and other countries. An increased transmission capacity is important for a stabile security of supply when variable electricity production is increasing in the future power system. </w:t>
      </w:r>
    </w:p>
    <w:p w14:paraId="33A3477A" w14:textId="77777777" w:rsidR="0044710E" w:rsidRPr="008E2A7B" w:rsidRDefault="0044710E" w:rsidP="0044710E">
      <w:pPr>
        <w:pStyle w:val="i-lista"/>
        <w:numPr>
          <w:ilvl w:val="1"/>
          <w:numId w:val="28"/>
        </w:numPr>
        <w:rPr>
          <w:i/>
          <w:lang w:val="en-GB"/>
        </w:rPr>
      </w:pPr>
      <w:r w:rsidRPr="008E2A7B">
        <w:rPr>
          <w:i/>
          <w:lang w:val="en-GB"/>
        </w:rPr>
        <w:t xml:space="preserve">If applicable, main infrastructure projects envisaged other than Projects of Common Interest (PCIs) </w:t>
      </w:r>
    </w:p>
    <w:p w14:paraId="19F9DE8D" w14:textId="7CA210D3" w:rsidR="0044710E" w:rsidRPr="00696A44" w:rsidRDefault="0044710E" w:rsidP="0044710E">
      <w:pPr>
        <w:pStyle w:val="Brdtext"/>
        <w:rPr>
          <w:color w:val="FF0000"/>
          <w:lang w:val="sv-SE"/>
        </w:rPr>
      </w:pPr>
      <w:r w:rsidRPr="008E2A7B">
        <w:rPr>
          <w:lang w:val="en-GB"/>
        </w:rPr>
        <w:t>Not applicable. All planned infrastructure projects can be found in the Swedish TSO Svenska kraftnät’s System development plan.</w:t>
      </w:r>
      <w:r w:rsidR="00696A44">
        <w:rPr>
          <w:lang w:val="en-GB"/>
        </w:rPr>
        <w:t xml:space="preserve"> </w:t>
      </w:r>
      <w:r w:rsidR="00696A44" w:rsidRPr="00696A44">
        <w:rPr>
          <w:color w:val="FF0000"/>
          <w:lang w:val="sv-SE"/>
        </w:rPr>
        <w:t>[Hänvisning till Systemutvecklingsplanen, när den sen finns publicerad, antagligen i slutet av året]</w:t>
      </w:r>
      <w:r w:rsidR="00696A44">
        <w:rPr>
          <w:color w:val="FF0000"/>
          <w:lang w:val="sv-SE"/>
        </w:rPr>
        <w:t>.</w:t>
      </w:r>
    </w:p>
    <w:p w14:paraId="21DB88C9" w14:textId="77777777" w:rsidR="0044710E" w:rsidRPr="008E2A7B" w:rsidRDefault="0044710E" w:rsidP="0044710E">
      <w:pPr>
        <w:pStyle w:val="Rubrik3"/>
        <w:rPr>
          <w:lang w:val="en-GB"/>
        </w:rPr>
      </w:pPr>
      <w:r w:rsidRPr="008E2A7B">
        <w:rPr>
          <w:lang w:val="en-GB"/>
        </w:rPr>
        <w:lastRenderedPageBreak/>
        <w:t>Market integration</w:t>
      </w:r>
    </w:p>
    <w:p w14:paraId="7E1B5E62" w14:textId="77777777" w:rsidR="0044710E" w:rsidRPr="008E2A7B" w:rsidRDefault="0044710E" w:rsidP="0044710E">
      <w:pPr>
        <w:pStyle w:val="i-lista"/>
        <w:numPr>
          <w:ilvl w:val="1"/>
          <w:numId w:val="29"/>
        </w:numPr>
        <w:rPr>
          <w:i/>
          <w:lang w:val="en-GB"/>
        </w:rPr>
      </w:pPr>
      <w:r w:rsidRPr="008E2A7B">
        <w:rPr>
          <w:i/>
          <w:lang w:val="en-GB"/>
        </w:rPr>
        <w:t>National objectives related to other aspects of the internal energy market such as market integration and coupling, including a timeframe for when the objectives shall be met</w:t>
      </w:r>
    </w:p>
    <w:p w14:paraId="7B00CDDC" w14:textId="77777777" w:rsidR="0044710E" w:rsidRPr="008E2A7B" w:rsidRDefault="0044710E" w:rsidP="0044710E">
      <w:pPr>
        <w:pStyle w:val="Brdtext"/>
        <w:rPr>
          <w:lang w:val="en-GB"/>
        </w:rPr>
      </w:pPr>
      <w:r w:rsidRPr="008E2A7B">
        <w:rPr>
          <w:lang w:val="en-GB"/>
        </w:rPr>
        <w:t>Not applicable.</w:t>
      </w:r>
    </w:p>
    <w:p w14:paraId="68E65F4A" w14:textId="77777777" w:rsidR="0044710E" w:rsidRPr="008E2A7B" w:rsidRDefault="0044710E" w:rsidP="0044710E">
      <w:pPr>
        <w:pStyle w:val="i-lista"/>
        <w:numPr>
          <w:ilvl w:val="1"/>
          <w:numId w:val="29"/>
        </w:numPr>
        <w:rPr>
          <w:i/>
          <w:lang w:val="en-GB"/>
        </w:rPr>
      </w:pPr>
      <w:r w:rsidRPr="008E2A7B">
        <w:rPr>
          <w:i/>
          <w:lang w:val="en-GB"/>
        </w:rPr>
        <w:t>National objectives with regard to ensuring electricity system adequacy, as well as for the flexibility of the energy system with regard to renewable energy production, including a timeframe for when the objectives shall be met</w:t>
      </w:r>
    </w:p>
    <w:p w14:paraId="68E28926" w14:textId="77777777" w:rsidR="0044710E" w:rsidRPr="008E2A7B" w:rsidRDefault="0044710E" w:rsidP="0044710E">
      <w:pPr>
        <w:pStyle w:val="Brdtext"/>
        <w:rPr>
          <w:lang w:val="en-GB"/>
        </w:rPr>
      </w:pPr>
      <w:r w:rsidRPr="008E2A7B">
        <w:rPr>
          <w:lang w:val="en-GB"/>
        </w:rPr>
        <w:t>The Energy Policy Commission proposed an ambition to improve possibilities for demand response.</w:t>
      </w:r>
    </w:p>
    <w:p w14:paraId="55B46CE4" w14:textId="77777777" w:rsidR="0044710E" w:rsidRPr="008E2A7B" w:rsidRDefault="0044710E" w:rsidP="0044710E">
      <w:pPr>
        <w:pStyle w:val="i-lista"/>
        <w:numPr>
          <w:ilvl w:val="1"/>
          <w:numId w:val="29"/>
        </w:numPr>
        <w:rPr>
          <w:i/>
          <w:lang w:val="en-GB"/>
        </w:rPr>
      </w:pPr>
      <w:r w:rsidRPr="008E2A7B">
        <w:rPr>
          <w:i/>
          <w:lang w:val="en-GB"/>
        </w:rPr>
        <w:t xml:space="preserve">National objectives to </w:t>
      </w:r>
      <w:bookmarkStart w:id="21" w:name="_Hlk494701049"/>
      <w:r w:rsidRPr="008E2A7B">
        <w:rPr>
          <w:i/>
          <w:lang w:val="en-GB"/>
        </w:rPr>
        <w:t>protect energy consumers and improve the competitiveness of the retail energy sector</w:t>
      </w:r>
      <w:bookmarkEnd w:id="21"/>
    </w:p>
    <w:p w14:paraId="05C24ADC" w14:textId="77777777" w:rsidR="0044710E" w:rsidRPr="008E2A7B" w:rsidRDefault="0044710E" w:rsidP="0044710E">
      <w:pPr>
        <w:pStyle w:val="Brdtext"/>
        <w:rPr>
          <w:lang w:val="en-GB"/>
        </w:rPr>
      </w:pPr>
      <w:r w:rsidRPr="008E2A7B">
        <w:rPr>
          <w:lang w:val="en-GB"/>
        </w:rPr>
        <w:t>Although there are measures aimed at protecting energy consumers and improving the competitiveness of the retail energy sector, Sweden has no explicit objectives in this area.</w:t>
      </w:r>
    </w:p>
    <w:p w14:paraId="09BEA035" w14:textId="77777777" w:rsidR="0044710E" w:rsidRPr="008E2A7B" w:rsidRDefault="0044710E" w:rsidP="0044710E">
      <w:pPr>
        <w:pStyle w:val="Rubrik3"/>
        <w:rPr>
          <w:lang w:val="en-GB"/>
        </w:rPr>
      </w:pPr>
      <w:r w:rsidRPr="008E2A7B">
        <w:rPr>
          <w:lang w:val="en-GB"/>
        </w:rPr>
        <w:t>Energy poverty</w:t>
      </w:r>
    </w:p>
    <w:p w14:paraId="7114D343" w14:textId="77777777" w:rsidR="0044710E" w:rsidRPr="008E2A7B" w:rsidRDefault="0044710E" w:rsidP="0044710E">
      <w:pPr>
        <w:pStyle w:val="i-lista"/>
        <w:numPr>
          <w:ilvl w:val="1"/>
          <w:numId w:val="30"/>
        </w:numPr>
        <w:rPr>
          <w:i/>
          <w:lang w:val="en-GB"/>
        </w:rPr>
      </w:pPr>
      <w:r w:rsidRPr="008E2A7B">
        <w:rPr>
          <w:i/>
          <w:lang w:val="en-GB"/>
        </w:rPr>
        <w:t>National objectives with regard to energy poverty including a timeframe for when the objectives shall be met</w:t>
      </w:r>
    </w:p>
    <w:p w14:paraId="46F9B284" w14:textId="77777777" w:rsidR="0044710E" w:rsidRPr="008E2A7B" w:rsidRDefault="0044710E" w:rsidP="0044710E">
      <w:pPr>
        <w:pStyle w:val="Brdtext"/>
        <w:rPr>
          <w:lang w:val="en-GB"/>
        </w:rPr>
      </w:pPr>
      <w:r w:rsidRPr="008E2A7B">
        <w:rPr>
          <w:lang w:val="en-GB"/>
        </w:rPr>
        <w:t>Sweden does not treat energy poverty differently from poverty in general and so has no specific objectives for energy poverty.</w:t>
      </w:r>
    </w:p>
    <w:p w14:paraId="7442517C" w14:textId="77777777" w:rsidR="0044710E" w:rsidRPr="008E2A7B" w:rsidRDefault="0044710E" w:rsidP="0044710E">
      <w:pPr>
        <w:pStyle w:val="Brdtext"/>
        <w:rPr>
          <w:lang w:val="en-GB"/>
        </w:rPr>
      </w:pPr>
    </w:p>
    <w:p w14:paraId="2F3CF297" w14:textId="77777777" w:rsidR="0044710E" w:rsidRPr="008E2A7B" w:rsidRDefault="0044710E" w:rsidP="0044710E">
      <w:pPr>
        <w:pStyle w:val="Rubrik2"/>
        <w:rPr>
          <w:lang w:val="en-GB"/>
        </w:rPr>
      </w:pPr>
      <w:bookmarkStart w:id="22" w:name="_Toc499285546"/>
      <w:r w:rsidRPr="008E2A7B">
        <w:rPr>
          <w:lang w:val="en-GB"/>
        </w:rPr>
        <w:t>Dimension Research, innovation and competitiveness</w:t>
      </w:r>
      <w:bookmarkEnd w:id="22"/>
    </w:p>
    <w:p w14:paraId="50335E1A" w14:textId="77777777" w:rsidR="0044710E" w:rsidRPr="008E2A7B" w:rsidRDefault="0044710E" w:rsidP="0044710E">
      <w:pPr>
        <w:pStyle w:val="i-lista"/>
        <w:numPr>
          <w:ilvl w:val="1"/>
          <w:numId w:val="31"/>
        </w:numPr>
        <w:rPr>
          <w:i/>
          <w:lang w:val="en-GB"/>
        </w:rPr>
      </w:pPr>
      <w:r w:rsidRPr="008E2A7B">
        <w:rPr>
          <w:i/>
          <w:lang w:val="en-GB"/>
        </w:rPr>
        <w:t>National objectives and funding targets for public and private research and innovation relating to the Energy Union including, if appropriate, a timeframe for when the objectives shall be met; reflecting the priorities of the Energy Union Strategy and the SET-Plan</w:t>
      </w:r>
    </w:p>
    <w:p w14:paraId="5DADDDB7" w14:textId="77777777" w:rsidR="0044710E" w:rsidRPr="008E2A7B" w:rsidRDefault="0044710E" w:rsidP="0044710E">
      <w:pPr>
        <w:pStyle w:val="Brdtext"/>
        <w:rPr>
          <w:lang w:val="en-GB"/>
        </w:rPr>
      </w:pPr>
      <w:r w:rsidRPr="008E2A7B">
        <w:rPr>
          <w:lang w:val="en-GB"/>
        </w:rPr>
        <w:t>The objective for public research and innovation in the energy area is to contribute to Sweden’s energy and climate targets, long term energy and climate policy and energy related environmental objectives. More specifically, it aims at</w:t>
      </w:r>
    </w:p>
    <w:p w14:paraId="721FA040" w14:textId="673AC1B5" w:rsidR="0044710E" w:rsidRPr="008E2A7B" w:rsidRDefault="0044710E" w:rsidP="0044710E">
      <w:pPr>
        <w:pStyle w:val="Brdtext"/>
        <w:numPr>
          <w:ilvl w:val="0"/>
          <w:numId w:val="42"/>
        </w:numPr>
        <w:rPr>
          <w:lang w:val="en-GB"/>
        </w:rPr>
      </w:pPr>
      <w:r w:rsidRPr="008E2A7B">
        <w:rPr>
          <w:lang w:val="en-GB"/>
        </w:rPr>
        <w:t xml:space="preserve">building scientific and technological knowledge and competence in order to </w:t>
      </w:r>
      <w:r w:rsidR="00FF5A12" w:rsidRPr="008E2A7B">
        <w:rPr>
          <w:lang w:val="en-GB"/>
        </w:rPr>
        <w:t>enable</w:t>
      </w:r>
      <w:r w:rsidRPr="008E2A7B">
        <w:rPr>
          <w:lang w:val="en-GB"/>
        </w:rPr>
        <w:t>, through new technology and new services, a transition to a sustainable energy system in Sweden, uniting ecological sustainability, competitiveness and energy security,</w:t>
      </w:r>
    </w:p>
    <w:p w14:paraId="4253B13C" w14:textId="77777777" w:rsidR="0044710E" w:rsidRPr="008E2A7B" w:rsidRDefault="0044710E" w:rsidP="0044710E">
      <w:pPr>
        <w:pStyle w:val="Brdtext"/>
        <w:numPr>
          <w:ilvl w:val="0"/>
          <w:numId w:val="42"/>
        </w:numPr>
        <w:rPr>
          <w:lang w:val="en-GB"/>
        </w:rPr>
      </w:pPr>
      <w:r w:rsidRPr="008E2A7B">
        <w:rPr>
          <w:lang w:val="en-GB"/>
        </w:rPr>
        <w:lastRenderedPageBreak/>
        <w:t xml:space="preserve">developing technology and services that can be commercialised by Swedish enterprises, thus contributing to sustainable growth and the transition and development of the energy system in Sweden as well as in other markets, and </w:t>
      </w:r>
    </w:p>
    <w:p w14:paraId="1FC3198C" w14:textId="77777777" w:rsidR="0044710E" w:rsidRPr="008E2A7B" w:rsidRDefault="0044710E" w:rsidP="0044710E">
      <w:pPr>
        <w:pStyle w:val="Brdtext"/>
        <w:numPr>
          <w:ilvl w:val="0"/>
          <w:numId w:val="42"/>
        </w:numPr>
        <w:rPr>
          <w:lang w:val="en-GB"/>
        </w:rPr>
      </w:pPr>
      <w:r w:rsidRPr="008E2A7B">
        <w:rPr>
          <w:lang w:val="en-GB"/>
        </w:rPr>
        <w:t>contributing to and taking advantage of international cooperation in the energy area.</w:t>
      </w:r>
    </w:p>
    <w:p w14:paraId="1AB7E608" w14:textId="56415E72" w:rsidR="0044710E" w:rsidRPr="008E2A7B" w:rsidRDefault="0044710E" w:rsidP="0044710E">
      <w:pPr>
        <w:pStyle w:val="Brdtext"/>
        <w:rPr>
          <w:lang w:val="en-GB"/>
        </w:rPr>
      </w:pPr>
      <w:r w:rsidRPr="008E2A7B">
        <w:rPr>
          <w:lang w:val="en-GB"/>
        </w:rPr>
        <w:t>As for public funding, the latest budget constitutes an increase in spending from SEK 1.3 billion in 2017 to SEK 1.6 billion in 2020</w:t>
      </w:r>
      <w:r w:rsidR="00FF5A12" w:rsidRPr="008E2A7B">
        <w:rPr>
          <w:lang w:val="en-GB"/>
        </w:rPr>
        <w:t xml:space="preserve"> annually</w:t>
      </w:r>
      <w:r w:rsidRPr="008E2A7B">
        <w:rPr>
          <w:lang w:val="en-GB"/>
        </w:rPr>
        <w:t xml:space="preserve">. Beneficiaries </w:t>
      </w:r>
      <w:r w:rsidR="00FF5A12" w:rsidRPr="008E2A7B">
        <w:rPr>
          <w:lang w:val="en-GB"/>
        </w:rPr>
        <w:t xml:space="preserve">in the private sector </w:t>
      </w:r>
      <w:r w:rsidRPr="008E2A7B">
        <w:rPr>
          <w:lang w:val="en-GB"/>
        </w:rPr>
        <w:t>are expected to contribute private funding equalling at least half the amount of public funding received.</w:t>
      </w:r>
    </w:p>
    <w:p w14:paraId="1C00700A" w14:textId="77777777" w:rsidR="0044710E" w:rsidRPr="008E2A7B" w:rsidRDefault="0044710E" w:rsidP="0044710E">
      <w:pPr>
        <w:pStyle w:val="i-lista"/>
        <w:numPr>
          <w:ilvl w:val="1"/>
          <w:numId w:val="31"/>
        </w:numPr>
        <w:rPr>
          <w:i/>
          <w:lang w:val="en-GB"/>
        </w:rPr>
      </w:pPr>
      <w:r w:rsidRPr="008E2A7B">
        <w:rPr>
          <w:i/>
          <w:lang w:val="en-GB"/>
        </w:rPr>
        <w:t>If appropriate, national objectives including long-term targets (2050) for the deployment of low-carbon technologies, including for decarbonising energy- and carbon-intensive industrial sectors and, if applicable, for related carbon transport and storage infrastructure</w:t>
      </w:r>
    </w:p>
    <w:p w14:paraId="57D6ECC6" w14:textId="77777777" w:rsidR="0044710E" w:rsidRPr="008E2A7B" w:rsidRDefault="0044710E" w:rsidP="0044710E">
      <w:pPr>
        <w:pStyle w:val="Brdtext"/>
        <w:rPr>
          <w:lang w:val="en-GB"/>
        </w:rPr>
      </w:pPr>
      <w:r w:rsidRPr="008E2A7B">
        <w:rPr>
          <w:lang w:val="en-GB"/>
        </w:rPr>
        <w:t>Not applicable.</w:t>
      </w:r>
    </w:p>
    <w:p w14:paraId="6B464A29" w14:textId="77777777" w:rsidR="0044710E" w:rsidRPr="008E2A7B" w:rsidRDefault="0044710E" w:rsidP="0044710E">
      <w:pPr>
        <w:pStyle w:val="i-lista"/>
        <w:numPr>
          <w:ilvl w:val="1"/>
          <w:numId w:val="31"/>
        </w:numPr>
        <w:rPr>
          <w:i/>
          <w:lang w:val="en-GB"/>
        </w:rPr>
      </w:pPr>
      <w:r w:rsidRPr="008E2A7B">
        <w:rPr>
          <w:i/>
          <w:lang w:val="en-GB"/>
        </w:rPr>
        <w:t>National objectives with regard to competitiveness</w:t>
      </w:r>
    </w:p>
    <w:p w14:paraId="0297E5C2" w14:textId="77777777" w:rsidR="0044710E" w:rsidRPr="008E2A7B" w:rsidRDefault="0044710E" w:rsidP="0044710E">
      <w:pPr>
        <w:pStyle w:val="Brdtext"/>
        <w:rPr>
          <w:lang w:val="en-GB"/>
        </w:rPr>
      </w:pPr>
      <w:r w:rsidRPr="008E2A7B">
        <w:rPr>
          <w:lang w:val="en-GB"/>
        </w:rPr>
        <w:t xml:space="preserve">The goal of Swedish enterprise and industrial policy is to enhance Swedish competitiveness and create conditions for more jobs in an increasing number of growing companies. Enterprise policy initiatives are also to contribute towards the global sustainable development goals and the goals of the EU's common strategy for growth and employment, Europe 2020. In addition, Govt. Bill 2016/17:146 </w:t>
      </w:r>
      <w:r w:rsidRPr="008E2A7B">
        <w:rPr>
          <w:i/>
          <w:lang w:val="en-GB"/>
        </w:rPr>
        <w:t>A climate policy framework for Sweden</w:t>
      </w:r>
      <w:r w:rsidRPr="008E2A7B">
        <w:rPr>
          <w:lang w:val="en-GB"/>
        </w:rPr>
        <w:t xml:space="preserve"> states that Sweden aims to show that it is possible to unite climate transition with welfare and competitiveness.</w:t>
      </w:r>
    </w:p>
    <w:p w14:paraId="1855F575" w14:textId="77777777" w:rsidR="0044710E" w:rsidRPr="008E2A7B" w:rsidRDefault="0044710E" w:rsidP="0044710E">
      <w:pPr>
        <w:pStyle w:val="Brdtext"/>
        <w:rPr>
          <w:lang w:val="en-GB"/>
        </w:rPr>
      </w:pPr>
    </w:p>
    <w:p w14:paraId="34B642E7" w14:textId="77777777" w:rsidR="0044710E" w:rsidRPr="008E2A7B" w:rsidRDefault="0044710E" w:rsidP="0044710E">
      <w:pPr>
        <w:pStyle w:val="Rubrik1"/>
        <w:rPr>
          <w:lang w:val="en-GB"/>
        </w:rPr>
      </w:pPr>
      <w:bookmarkStart w:id="23" w:name="_Toc499285547"/>
      <w:r w:rsidRPr="008E2A7B">
        <w:rPr>
          <w:lang w:val="en-GB"/>
        </w:rPr>
        <w:lastRenderedPageBreak/>
        <w:t>Policies and measures</w:t>
      </w:r>
      <w:bookmarkEnd w:id="23"/>
    </w:p>
    <w:p w14:paraId="4F3167A4" w14:textId="77777777" w:rsidR="0044710E" w:rsidRPr="008E2A7B" w:rsidRDefault="0044710E" w:rsidP="0044710E">
      <w:pPr>
        <w:pStyle w:val="Rubrik2"/>
        <w:rPr>
          <w:lang w:val="en-GB"/>
        </w:rPr>
      </w:pPr>
      <w:bookmarkStart w:id="24" w:name="_Toc499285548"/>
      <w:r w:rsidRPr="008E2A7B">
        <w:rPr>
          <w:lang w:val="en-GB"/>
        </w:rPr>
        <w:t>Dimension Decarbonisation</w:t>
      </w:r>
      <w:bookmarkEnd w:id="24"/>
    </w:p>
    <w:p w14:paraId="3561E29C" w14:textId="77777777" w:rsidR="0044710E" w:rsidRPr="008E2A7B" w:rsidRDefault="0044710E" w:rsidP="0044710E">
      <w:pPr>
        <w:pStyle w:val="Rubrik3"/>
        <w:rPr>
          <w:lang w:val="en-GB"/>
        </w:rPr>
      </w:pPr>
      <w:r w:rsidRPr="008E2A7B">
        <w:rPr>
          <w:lang w:val="en-GB"/>
        </w:rPr>
        <w:t>GHG emissions and removals (for the plan covering the period from 2021 to 2030, the 2030 Framework target)</w:t>
      </w:r>
    </w:p>
    <w:p w14:paraId="073F40F5" w14:textId="77777777" w:rsidR="0044710E" w:rsidRPr="008E2A7B" w:rsidRDefault="0044710E" w:rsidP="0044710E">
      <w:pPr>
        <w:pStyle w:val="i-lista"/>
        <w:numPr>
          <w:ilvl w:val="1"/>
          <w:numId w:val="12"/>
        </w:numPr>
        <w:rPr>
          <w:i/>
          <w:lang w:val="en-GB"/>
        </w:rPr>
      </w:pPr>
      <w:r w:rsidRPr="008E2A7B">
        <w:rPr>
          <w:i/>
          <w:lang w:val="en-GB"/>
        </w:rPr>
        <w:t>Policies and measures to achieve the target set under Regulation [ ] [ESR] as referred to in 2.1.1 and policies and measures to comply with Regulation [ ] [LULUCF ], covering all key emitting sectors and sectors for the enhancement of removals, with an outlook to the long-term vision and goal to become a low-carbon economy with a 50 years perspective and achieving a balance between emissions and removals in accordance with the Paris Agreement</w:t>
      </w:r>
    </w:p>
    <w:p w14:paraId="20ABB905" w14:textId="77777777" w:rsidR="0044710E" w:rsidRPr="008E2A7B" w:rsidRDefault="0044710E" w:rsidP="0044710E">
      <w:pPr>
        <w:pStyle w:val="Brdtext"/>
        <w:contextualSpacing/>
        <w:rPr>
          <w:lang w:val="en-GB"/>
        </w:rPr>
      </w:pPr>
      <w:r w:rsidRPr="008E2A7B">
        <w:rPr>
          <w:lang w:val="en-GB"/>
        </w:rPr>
        <w:t xml:space="preserve">Several policies and measures affecting the abovementioned objectives originate at the EU level, such as the fuel quality directive, emission performance standards for new vehicles, the regulation on fluorinated greenhouse gases, the landfill directive and the common agricultural policy. These are not described further here. </w:t>
      </w:r>
    </w:p>
    <w:p w14:paraId="76E5A943" w14:textId="77777777" w:rsidR="0044710E" w:rsidRPr="008E2A7B" w:rsidRDefault="0044710E" w:rsidP="0044710E">
      <w:pPr>
        <w:pStyle w:val="Brdtext"/>
        <w:contextualSpacing/>
        <w:rPr>
          <w:lang w:val="en-GB"/>
        </w:rPr>
      </w:pPr>
    </w:p>
    <w:p w14:paraId="48338E8A" w14:textId="04FB31D7" w:rsidR="00DE2442" w:rsidRPr="008E2A7B" w:rsidRDefault="00DE2442" w:rsidP="00DE2442">
      <w:pPr>
        <w:pStyle w:val="Brdtext"/>
        <w:contextualSpacing/>
        <w:rPr>
          <w:lang w:val="en-GB"/>
        </w:rPr>
      </w:pPr>
      <w:r w:rsidRPr="008E2A7B">
        <w:rPr>
          <w:lang w:val="en-GB"/>
        </w:rPr>
        <w:t xml:space="preserve">Further, several policies and measures targeting renewable energy and energy efficiency (described in 3.1.2 </w:t>
      </w:r>
      <w:r w:rsidRPr="008E2A7B">
        <w:rPr>
          <w:i/>
          <w:lang w:val="en-GB"/>
        </w:rPr>
        <w:t>i</w:t>
      </w:r>
      <w:r w:rsidRPr="008E2A7B">
        <w:rPr>
          <w:lang w:val="en-GB"/>
        </w:rPr>
        <w:t xml:space="preserve"> and</w:t>
      </w:r>
      <w:r w:rsidR="00897D79" w:rsidRPr="008E2A7B">
        <w:rPr>
          <w:lang w:val="en-GB"/>
        </w:rPr>
        <w:t xml:space="preserve"> </w:t>
      </w:r>
      <w:r w:rsidRPr="008E2A7B">
        <w:rPr>
          <w:lang w:val="en-GB"/>
        </w:rPr>
        <w:t xml:space="preserve">3.2 </w:t>
      </w:r>
      <w:r w:rsidRPr="008E2A7B">
        <w:rPr>
          <w:i/>
          <w:lang w:val="en-GB"/>
        </w:rPr>
        <w:t>i</w:t>
      </w:r>
      <w:r w:rsidRPr="008E2A7B">
        <w:rPr>
          <w:lang w:val="en-GB"/>
        </w:rPr>
        <w:t>) affects the reduction of greenhouse gas emissions in Sweden.</w:t>
      </w:r>
      <w:r w:rsidR="00897D79" w:rsidRPr="008E2A7B">
        <w:rPr>
          <w:lang w:val="en-GB"/>
        </w:rPr>
        <w:t xml:space="preserve"> An overview of key policies affecting the national climate target to 2030 is presented in </w:t>
      </w:r>
      <w:r w:rsidR="00897D79" w:rsidRPr="008E2A7B">
        <w:rPr>
          <w:lang w:val="en-GB"/>
        </w:rPr>
        <w:fldChar w:fldCharType="begin"/>
      </w:r>
      <w:r w:rsidR="00897D79" w:rsidRPr="008E2A7B">
        <w:rPr>
          <w:lang w:val="en-GB"/>
        </w:rPr>
        <w:instrText xml:space="preserve"> REF _Ref498506486 \h </w:instrText>
      </w:r>
      <w:r w:rsidR="00897D79" w:rsidRPr="008E2A7B">
        <w:rPr>
          <w:lang w:val="en-GB"/>
        </w:rPr>
      </w:r>
      <w:r w:rsidR="00897D79" w:rsidRPr="008E2A7B">
        <w:rPr>
          <w:lang w:val="en-GB"/>
        </w:rPr>
        <w:fldChar w:fldCharType="separate"/>
      </w:r>
      <w:r w:rsidR="00897D79" w:rsidRPr="008E2A7B">
        <w:rPr>
          <w:lang w:val="en-GB"/>
        </w:rPr>
        <w:t xml:space="preserve">Table </w:t>
      </w:r>
      <w:r w:rsidR="00897D79" w:rsidRPr="008E2A7B">
        <w:rPr>
          <w:noProof/>
          <w:lang w:val="en-GB"/>
        </w:rPr>
        <w:t>2</w:t>
      </w:r>
      <w:r w:rsidR="00897D79" w:rsidRPr="008E2A7B">
        <w:rPr>
          <w:lang w:val="en-GB"/>
        </w:rPr>
        <w:fldChar w:fldCharType="end"/>
      </w:r>
      <w:r w:rsidR="00897D79" w:rsidRPr="008E2A7B">
        <w:rPr>
          <w:lang w:val="en-GB"/>
        </w:rPr>
        <w:t>.</w:t>
      </w:r>
    </w:p>
    <w:p w14:paraId="7CF02EC1" w14:textId="538581AB" w:rsidR="00DE2442" w:rsidRPr="008E2A7B" w:rsidRDefault="00897D79" w:rsidP="00897D79">
      <w:pPr>
        <w:pStyle w:val="Beskrivning"/>
        <w:rPr>
          <w:szCs w:val="20"/>
          <w:lang w:val="en-GB"/>
        </w:rPr>
      </w:pPr>
      <w:bookmarkStart w:id="25" w:name="_Ref498506486"/>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2</w:t>
      </w:r>
      <w:r w:rsidRPr="008E2A7B">
        <w:rPr>
          <w:lang w:val="en-GB"/>
        </w:rPr>
        <w:fldChar w:fldCharType="end"/>
      </w:r>
      <w:bookmarkEnd w:id="25"/>
      <w:r w:rsidRPr="008E2A7B">
        <w:rPr>
          <w:szCs w:val="20"/>
          <w:lang w:val="en-GB"/>
        </w:rPr>
        <w:t>.</w:t>
      </w:r>
      <w:r w:rsidR="00DE2442" w:rsidRPr="008E2A7B">
        <w:rPr>
          <w:szCs w:val="20"/>
          <w:lang w:val="en-GB"/>
        </w:rPr>
        <w:t xml:space="preserve"> Overview of key policies affecting the national climate target to 2030 (EU policy instruments are marked with bold and instruments marked with’*’ are not included in the projection due to recent decisions)</w:t>
      </w:r>
    </w:p>
    <w:tbl>
      <w:tblPr>
        <w:tblStyle w:val="Enkeltabell1"/>
        <w:tblW w:w="8046" w:type="dxa"/>
        <w:tblLayout w:type="fixed"/>
        <w:tblLook w:val="04A0" w:firstRow="1" w:lastRow="0" w:firstColumn="1" w:lastColumn="0" w:noHBand="0" w:noVBand="1"/>
      </w:tblPr>
      <w:tblGrid>
        <w:gridCol w:w="1101"/>
        <w:gridCol w:w="1101"/>
        <w:gridCol w:w="1134"/>
        <w:gridCol w:w="1417"/>
        <w:gridCol w:w="1134"/>
        <w:gridCol w:w="884"/>
        <w:gridCol w:w="1101"/>
        <w:gridCol w:w="174"/>
      </w:tblGrid>
      <w:tr w:rsidR="00DE2442" w:rsidRPr="008E2A7B" w14:paraId="5E29CB90" w14:textId="77777777" w:rsidTr="002301F4">
        <w:trPr>
          <w:gridAfter w:val="1"/>
          <w:cnfStyle w:val="100000000000" w:firstRow="1" w:lastRow="0" w:firstColumn="0" w:lastColumn="0" w:oddVBand="0" w:evenVBand="0" w:oddHBand="0" w:evenHBand="0" w:firstRowFirstColumn="0" w:firstRowLastColumn="0" w:lastRowFirstColumn="0" w:lastRowLastColumn="0"/>
          <w:wAfter w:w="174" w:type="dxa"/>
          <w:trHeight w:val="347"/>
        </w:trPr>
        <w:tc>
          <w:tcPr>
            <w:tcW w:w="1101" w:type="dxa"/>
          </w:tcPr>
          <w:p w14:paraId="253E8E29" w14:textId="77777777" w:rsidR="00DE2442" w:rsidRPr="008E2A7B" w:rsidRDefault="00DE2442" w:rsidP="002301F4">
            <w:pPr>
              <w:pStyle w:val="Brdtext"/>
              <w:spacing w:before="120" w:after="120"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Cross-sectoral</w:t>
            </w:r>
          </w:p>
        </w:tc>
        <w:tc>
          <w:tcPr>
            <w:tcW w:w="1101" w:type="dxa"/>
          </w:tcPr>
          <w:p w14:paraId="6BE09209" w14:textId="77777777" w:rsidR="00DE2442" w:rsidRPr="008E2A7B" w:rsidRDefault="00DE2442" w:rsidP="002301F4">
            <w:pPr>
              <w:pStyle w:val="Brdtext"/>
              <w:spacing w:before="120" w:after="120"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Energy supply</w:t>
            </w:r>
          </w:p>
        </w:tc>
        <w:tc>
          <w:tcPr>
            <w:tcW w:w="1134" w:type="dxa"/>
          </w:tcPr>
          <w:p w14:paraId="214F46A0" w14:textId="77777777" w:rsidR="00DE2442" w:rsidRPr="008E2A7B" w:rsidRDefault="00DE2442" w:rsidP="002301F4">
            <w:pPr>
              <w:pStyle w:val="Brdtext"/>
              <w:spacing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 xml:space="preserve">Residential </w:t>
            </w:r>
          </w:p>
        </w:tc>
        <w:tc>
          <w:tcPr>
            <w:tcW w:w="1417" w:type="dxa"/>
          </w:tcPr>
          <w:p w14:paraId="79553C91" w14:textId="061E9F6D" w:rsidR="00DE2442" w:rsidRPr="008E2A7B" w:rsidRDefault="00DE2442" w:rsidP="002301F4">
            <w:pPr>
              <w:pStyle w:val="Brdtext"/>
              <w:spacing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Industry</w:t>
            </w:r>
          </w:p>
        </w:tc>
        <w:tc>
          <w:tcPr>
            <w:tcW w:w="1134" w:type="dxa"/>
          </w:tcPr>
          <w:p w14:paraId="56017BB6" w14:textId="77777777" w:rsidR="00DE2442" w:rsidRPr="008E2A7B" w:rsidRDefault="00DE2442" w:rsidP="002301F4">
            <w:pPr>
              <w:pStyle w:val="Brdtext"/>
              <w:spacing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Transport</w:t>
            </w:r>
          </w:p>
        </w:tc>
        <w:tc>
          <w:tcPr>
            <w:tcW w:w="884" w:type="dxa"/>
          </w:tcPr>
          <w:p w14:paraId="11F3EAD5" w14:textId="77777777" w:rsidR="00DE2442" w:rsidRPr="008E2A7B" w:rsidRDefault="00DE2442" w:rsidP="002301F4">
            <w:pPr>
              <w:pStyle w:val="Brdtext"/>
              <w:spacing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Waste</w:t>
            </w:r>
          </w:p>
        </w:tc>
        <w:tc>
          <w:tcPr>
            <w:tcW w:w="1101" w:type="dxa"/>
          </w:tcPr>
          <w:p w14:paraId="5584AE91" w14:textId="77777777" w:rsidR="00DE2442" w:rsidRPr="008E2A7B" w:rsidRDefault="00DE2442" w:rsidP="002301F4">
            <w:pPr>
              <w:pStyle w:val="Brdtext"/>
              <w:spacing w:after="120" w:line="240" w:lineRule="auto"/>
              <w:contextualSpacing/>
              <w:jc w:val="both"/>
              <w:rPr>
                <w:rFonts w:asciiTheme="majorHAnsi" w:hAnsiTheme="majorHAnsi" w:cstheme="majorHAnsi"/>
                <w:b/>
                <w:sz w:val="14"/>
                <w:szCs w:val="14"/>
                <w:lang w:val="en-GB"/>
              </w:rPr>
            </w:pPr>
            <w:r w:rsidRPr="008E2A7B">
              <w:rPr>
                <w:rFonts w:asciiTheme="majorHAnsi" w:hAnsiTheme="majorHAnsi" w:cstheme="majorHAnsi"/>
                <w:b/>
                <w:sz w:val="14"/>
                <w:szCs w:val="14"/>
                <w:lang w:val="en-GB"/>
              </w:rPr>
              <w:t>Agriculture</w:t>
            </w:r>
          </w:p>
        </w:tc>
      </w:tr>
      <w:tr w:rsidR="00DE2442" w:rsidRPr="0059097C" w14:paraId="4F8CD664" w14:textId="77777777" w:rsidTr="00574687">
        <w:tc>
          <w:tcPr>
            <w:tcW w:w="1101" w:type="dxa"/>
          </w:tcPr>
          <w:p w14:paraId="047339D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37DCCFC"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1C2DB30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03987A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Climate Leap</w:t>
            </w:r>
          </w:p>
          <w:p w14:paraId="5A1509E6"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429914C"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Environmental Code</w:t>
            </w:r>
          </w:p>
          <w:p w14:paraId="79B7FB2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22B12C3"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Information</w:t>
            </w:r>
          </w:p>
        </w:tc>
        <w:tc>
          <w:tcPr>
            <w:tcW w:w="1101" w:type="dxa"/>
          </w:tcPr>
          <w:p w14:paraId="697B8599"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42C138B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09A9A12C"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4B98BC8C"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Electricity certificate system</w:t>
            </w:r>
          </w:p>
          <w:p w14:paraId="3D861D1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D174AE8"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Initiatives for wind power</w:t>
            </w:r>
          </w:p>
          <w:p w14:paraId="61A185A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0C91AD5E"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Support for solar power</w:t>
            </w:r>
          </w:p>
        </w:tc>
        <w:tc>
          <w:tcPr>
            <w:tcW w:w="1134" w:type="dxa"/>
          </w:tcPr>
          <w:p w14:paraId="4BB4A41F"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6C09233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3598A250"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3B97ACDB"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Building regulations</w:t>
            </w:r>
          </w:p>
          <w:p w14:paraId="44CF2693"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A07A726"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declaration</w:t>
            </w:r>
          </w:p>
          <w:p w14:paraId="72A43D29"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21CB3E5D"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Eco Design Directive and energy labelling</w:t>
            </w:r>
          </w:p>
          <w:p w14:paraId="0D2441FE"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43045656" w14:textId="4039E61F"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Support for energy efficiency in apartments*</w:t>
            </w:r>
          </w:p>
          <w:p w14:paraId="1870E96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3EB6C4D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Training programmes*</w:t>
            </w:r>
          </w:p>
          <w:p w14:paraId="04A9932B"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87F9B28"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Technology procurement</w:t>
            </w:r>
          </w:p>
          <w:p w14:paraId="527032C2" w14:textId="77777777" w:rsidR="00DE2442" w:rsidRPr="008E2A7B" w:rsidRDefault="00DE2442" w:rsidP="00AF3772">
            <w:pPr>
              <w:pStyle w:val="Brdtext"/>
              <w:contextualSpacing/>
              <w:rPr>
                <w:rFonts w:asciiTheme="majorHAnsi" w:hAnsiTheme="majorHAnsi" w:cstheme="majorHAnsi"/>
                <w:sz w:val="14"/>
                <w:szCs w:val="14"/>
                <w:lang w:val="en-GB"/>
              </w:rPr>
            </w:pPr>
          </w:p>
          <w:p w14:paraId="3558259A" w14:textId="77777777" w:rsidR="00DE2442" w:rsidRPr="008E2A7B" w:rsidRDefault="00DE2442" w:rsidP="00AF3772">
            <w:pPr>
              <w:pStyle w:val="Brdtext"/>
              <w:contextualSpacing/>
              <w:rPr>
                <w:rFonts w:asciiTheme="majorHAnsi" w:hAnsiTheme="majorHAnsi" w:cstheme="majorHAnsi"/>
                <w:sz w:val="14"/>
                <w:szCs w:val="14"/>
                <w:lang w:val="en-GB"/>
              </w:rPr>
            </w:pPr>
          </w:p>
        </w:tc>
        <w:tc>
          <w:tcPr>
            <w:tcW w:w="1417" w:type="dxa"/>
          </w:tcPr>
          <w:p w14:paraId="11A758B8"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C03412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03E7DC8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104BD19"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Grants for energy audit</w:t>
            </w:r>
          </w:p>
          <w:p w14:paraId="5DD76AE8"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C2D25D1"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climate coaches</w:t>
            </w:r>
          </w:p>
          <w:p w14:paraId="5B108D1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50217E8"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efficiency network</w:t>
            </w:r>
          </w:p>
          <w:p w14:paraId="5C5BE39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4C37F10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Environmental Code</w:t>
            </w:r>
          </w:p>
          <w:p w14:paraId="19275299"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14986704"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Industrial Leap*</w:t>
            </w:r>
          </w:p>
          <w:p w14:paraId="35B4B71B"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0E1588D"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Regulation on F-gases and BREF</w:t>
            </w:r>
          </w:p>
        </w:tc>
        <w:tc>
          <w:tcPr>
            <w:tcW w:w="1134" w:type="dxa"/>
          </w:tcPr>
          <w:p w14:paraId="100F1FF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F49512B"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2ABBB8B0"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EA8F826"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Emission performance standards</w:t>
            </w:r>
          </w:p>
          <w:p w14:paraId="3344BD32"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6F1AF683"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Climate Leap</w:t>
            </w:r>
          </w:p>
          <w:p w14:paraId="786FE723"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8032B1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Urban environmental agreements</w:t>
            </w:r>
          </w:p>
          <w:p w14:paraId="2C99EC0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801739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Differentiated vehicle tax</w:t>
            </w:r>
          </w:p>
          <w:p w14:paraId="5ABBF23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747448C"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Requirements of renewable fuels at filling stations</w:t>
            </w:r>
          </w:p>
          <w:p w14:paraId="041DADA4"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019B2CF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Electrical bus premium*</w:t>
            </w:r>
          </w:p>
          <w:p w14:paraId="3917F484"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670C330F"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Emission reduction obligation*</w:t>
            </w:r>
          </w:p>
          <w:p w14:paraId="5A0FBA36"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8679BCF"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Bonus-Malus system*</w:t>
            </w:r>
          </w:p>
          <w:p w14:paraId="29D12726"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7D79334"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Electrical vehicle premium*</w:t>
            </w:r>
          </w:p>
          <w:p w14:paraId="043706C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4E0C1F24"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Charge at home grant*</w:t>
            </w:r>
          </w:p>
          <w:p w14:paraId="421384EA"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01DEE0E0"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Eco-bonus system for heavy transport*</w:t>
            </w:r>
          </w:p>
          <w:p w14:paraId="5E659903"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7AABE54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Fossil free Sweden initiative*</w:t>
            </w:r>
          </w:p>
          <w:p w14:paraId="2F88AA51"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28FABC4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Tax on air travel*</w:t>
            </w:r>
          </w:p>
        </w:tc>
        <w:tc>
          <w:tcPr>
            <w:tcW w:w="884" w:type="dxa"/>
          </w:tcPr>
          <w:p w14:paraId="36156A8D"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6EA561A3"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Bans on landfill disposal</w:t>
            </w:r>
          </w:p>
          <w:p w14:paraId="599F8FD1"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595D2A74"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Methane recovery</w:t>
            </w:r>
          </w:p>
          <w:p w14:paraId="663282B3"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3ACCEFB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Producer responsibility</w:t>
            </w:r>
          </w:p>
          <w:p w14:paraId="6314D50F"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313E864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Municipal waste plans</w:t>
            </w:r>
          </w:p>
          <w:p w14:paraId="46B225D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3B63617B"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Landfill tax</w:t>
            </w:r>
          </w:p>
        </w:tc>
        <w:tc>
          <w:tcPr>
            <w:tcW w:w="1275" w:type="dxa"/>
            <w:gridSpan w:val="2"/>
          </w:tcPr>
          <w:p w14:paraId="6E9F8F7C"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7A508626"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Energy and carbon dioxide taxes</w:t>
            </w:r>
          </w:p>
          <w:p w14:paraId="7E37549D"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2BB61222"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r w:rsidRPr="008E2A7B">
              <w:rPr>
                <w:rFonts w:asciiTheme="majorHAnsi" w:hAnsiTheme="majorHAnsi" w:cstheme="majorHAnsi"/>
                <w:b/>
                <w:sz w:val="14"/>
                <w:szCs w:val="14"/>
                <w:lang w:val="en-GB"/>
              </w:rPr>
              <w:t>Rural Development Programme</w:t>
            </w:r>
          </w:p>
          <w:p w14:paraId="02E26903" w14:textId="77777777" w:rsidR="00DE2442" w:rsidRPr="008E2A7B" w:rsidRDefault="00DE2442" w:rsidP="00AF3772">
            <w:pPr>
              <w:pStyle w:val="Brdtext"/>
              <w:spacing w:after="120" w:line="240" w:lineRule="auto"/>
              <w:contextualSpacing/>
              <w:rPr>
                <w:rFonts w:asciiTheme="majorHAnsi" w:hAnsiTheme="majorHAnsi" w:cstheme="majorHAnsi"/>
                <w:b/>
                <w:sz w:val="14"/>
                <w:szCs w:val="14"/>
                <w:lang w:val="en-GB"/>
              </w:rPr>
            </w:pPr>
          </w:p>
          <w:p w14:paraId="42E35695"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Support for biogas production</w:t>
            </w:r>
          </w:p>
          <w:p w14:paraId="267D585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31B2D3A7"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r w:rsidRPr="008E2A7B">
              <w:rPr>
                <w:rFonts w:asciiTheme="majorHAnsi" w:hAnsiTheme="majorHAnsi" w:cstheme="majorHAnsi"/>
                <w:sz w:val="14"/>
                <w:szCs w:val="14"/>
                <w:lang w:val="en-GB"/>
              </w:rPr>
              <w:t>The rural network</w:t>
            </w:r>
          </w:p>
          <w:p w14:paraId="346E8389"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0EB8FEC2"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p w14:paraId="6A11FFBD" w14:textId="77777777" w:rsidR="00DE2442" w:rsidRPr="008E2A7B" w:rsidRDefault="00DE2442" w:rsidP="00AF3772">
            <w:pPr>
              <w:pStyle w:val="Brdtext"/>
              <w:spacing w:after="120" w:line="240" w:lineRule="auto"/>
              <w:contextualSpacing/>
              <w:rPr>
                <w:rFonts w:asciiTheme="majorHAnsi" w:hAnsiTheme="majorHAnsi" w:cstheme="majorHAnsi"/>
                <w:sz w:val="14"/>
                <w:szCs w:val="14"/>
                <w:lang w:val="en-GB"/>
              </w:rPr>
            </w:pPr>
          </w:p>
        </w:tc>
      </w:tr>
    </w:tbl>
    <w:p w14:paraId="03734F34" w14:textId="77777777" w:rsidR="00DE2442" w:rsidRPr="008E2A7B" w:rsidRDefault="00DE2442" w:rsidP="00DE2442">
      <w:pPr>
        <w:pStyle w:val="Brdtext"/>
        <w:rPr>
          <w:b/>
          <w:lang w:val="en-GB"/>
        </w:rPr>
      </w:pPr>
    </w:p>
    <w:p w14:paraId="4B939C25" w14:textId="10E6DB2F" w:rsidR="00DE2442" w:rsidRPr="008E2A7B" w:rsidRDefault="00DE2442" w:rsidP="00DE2442">
      <w:pPr>
        <w:pStyle w:val="Brdtext"/>
        <w:contextualSpacing/>
        <w:rPr>
          <w:b/>
          <w:lang w:val="en-GB"/>
        </w:rPr>
      </w:pPr>
      <w:r w:rsidRPr="008E2A7B">
        <w:rPr>
          <w:b/>
          <w:lang w:val="en-GB"/>
        </w:rPr>
        <w:t xml:space="preserve">Energy tax and carbon dioxide tax </w:t>
      </w:r>
    </w:p>
    <w:p w14:paraId="622059F4" w14:textId="154BAF71" w:rsidR="00297099" w:rsidRPr="008E2A7B" w:rsidRDefault="00DE2442" w:rsidP="00DE2442">
      <w:pPr>
        <w:pStyle w:val="Brdtext"/>
        <w:contextualSpacing/>
        <w:rPr>
          <w:lang w:val="en-GB"/>
        </w:rPr>
      </w:pPr>
      <w:r w:rsidRPr="008E2A7B">
        <w:rPr>
          <w:lang w:val="en-GB"/>
        </w:rPr>
        <w:t xml:space="preserve">The Swedish system of energy taxation is based on a combination of a carbon dioxide tax, an energy tax on fuels, and an energy tax on electricity. The key taxes influencing greenhouse gas emissions in Sweden are the carbon dioxide tax and the energy tax on fuels, which are described below in general and </w:t>
      </w:r>
      <w:r w:rsidR="00297099" w:rsidRPr="008E2A7B">
        <w:rPr>
          <w:lang w:val="en-GB"/>
        </w:rPr>
        <w:t>more in detail for each sector.</w:t>
      </w:r>
    </w:p>
    <w:p w14:paraId="4931C518" w14:textId="77777777" w:rsidR="00297099" w:rsidRPr="008E2A7B" w:rsidRDefault="00297099" w:rsidP="00DE2442">
      <w:pPr>
        <w:pStyle w:val="Brdtext"/>
        <w:contextualSpacing/>
        <w:rPr>
          <w:lang w:val="en-GB"/>
        </w:rPr>
      </w:pPr>
    </w:p>
    <w:p w14:paraId="13DA3A9E" w14:textId="77777777" w:rsidR="00DE2442" w:rsidRPr="008E2A7B" w:rsidRDefault="00DE2442" w:rsidP="00DE2442">
      <w:pPr>
        <w:pStyle w:val="Brdtext"/>
        <w:contextualSpacing/>
        <w:rPr>
          <w:lang w:val="en-GB"/>
        </w:rPr>
      </w:pPr>
      <w:r w:rsidRPr="008E2A7B">
        <w:rPr>
          <w:u w:val="single"/>
          <w:lang w:val="en-GB"/>
        </w:rPr>
        <w:t>Carbon dioxide tax</w:t>
      </w:r>
    </w:p>
    <w:p w14:paraId="0E27D7E9" w14:textId="7C256D77" w:rsidR="00297099" w:rsidRPr="008E2A7B" w:rsidRDefault="00DE2442" w:rsidP="00DE2442">
      <w:pPr>
        <w:pStyle w:val="Brdtext"/>
        <w:contextualSpacing/>
        <w:rPr>
          <w:lang w:val="en-GB"/>
        </w:rPr>
      </w:pPr>
      <w:r w:rsidRPr="008E2A7B">
        <w:rPr>
          <w:lang w:val="en-GB"/>
        </w:rPr>
        <w:t>A carbon dioxide tax, based on the fossil carbon content in the fuel, was introduced in 1991 and aims at reducing the emissions of carbon dioxide in sectors outside the EU ETS. The tax has been raised in several steps since it was first implemented. In total, the tax has increased from SEK 0.25/kg (1991) carbon dioxide to SEK 1.13/kg (2017). In addition to specific tax increases stipulated in government bills, a yearly indexation of the tax level is applied. The tax level is proportionate to the calculated amount of carbon dioxide emissions on the basis of the fuel’s fossil carbon content. This means that biofuels currently are not subject to carbon taxation. As regards motor fuels, the Government’s budget proposal for 2018 includes changes to carbon taxation of biofuels (see separate section on carbon and energy tax</w:t>
      </w:r>
      <w:r w:rsidR="00297099" w:rsidRPr="008E2A7B">
        <w:rPr>
          <w:lang w:val="en-GB"/>
        </w:rPr>
        <w:t>ation in the transport sector).</w:t>
      </w:r>
    </w:p>
    <w:p w14:paraId="7C9F5351" w14:textId="77777777" w:rsidR="00297099" w:rsidRPr="008E2A7B" w:rsidRDefault="00297099" w:rsidP="00DE2442">
      <w:pPr>
        <w:pStyle w:val="Brdtext"/>
        <w:contextualSpacing/>
        <w:rPr>
          <w:lang w:val="en-GB"/>
        </w:rPr>
      </w:pPr>
    </w:p>
    <w:p w14:paraId="7CD78BCD" w14:textId="77777777" w:rsidR="00297099" w:rsidRPr="008E2A7B" w:rsidRDefault="00DE2442" w:rsidP="00DE2442">
      <w:pPr>
        <w:pStyle w:val="Brdtext"/>
        <w:contextualSpacing/>
        <w:rPr>
          <w:lang w:val="en-GB"/>
        </w:rPr>
      </w:pPr>
      <w:r w:rsidRPr="008E2A7B">
        <w:rPr>
          <w:lang w:val="en-GB"/>
        </w:rPr>
        <w:t xml:space="preserve">Due to the risk for carbon leakage, some sectors have a reduced tax or are exempted from the tax. </w:t>
      </w:r>
    </w:p>
    <w:p w14:paraId="22455672" w14:textId="77777777" w:rsidR="00297099" w:rsidRPr="008E2A7B" w:rsidRDefault="00297099" w:rsidP="00DE2442">
      <w:pPr>
        <w:pStyle w:val="Brdtext"/>
        <w:contextualSpacing/>
        <w:rPr>
          <w:lang w:val="en-GB"/>
        </w:rPr>
      </w:pPr>
    </w:p>
    <w:p w14:paraId="741B331A" w14:textId="77777777" w:rsidR="00DE2442" w:rsidRPr="008E2A7B" w:rsidRDefault="00DE2442" w:rsidP="00DE2442">
      <w:pPr>
        <w:pStyle w:val="Brdtext"/>
        <w:contextualSpacing/>
        <w:rPr>
          <w:lang w:val="en-GB"/>
        </w:rPr>
      </w:pPr>
      <w:r w:rsidRPr="008E2A7B">
        <w:rPr>
          <w:u w:val="single"/>
          <w:lang w:val="en-GB"/>
        </w:rPr>
        <w:t>Energy tax</w:t>
      </w:r>
    </w:p>
    <w:p w14:paraId="5284618F" w14:textId="77777777" w:rsidR="00DE2442" w:rsidRPr="008E2A7B" w:rsidRDefault="00DE2442" w:rsidP="00DE2442">
      <w:pPr>
        <w:pStyle w:val="Brdtext"/>
        <w:rPr>
          <w:lang w:val="en-GB"/>
        </w:rPr>
      </w:pPr>
      <w:r w:rsidRPr="008E2A7B">
        <w:rPr>
          <w:lang w:val="en-GB"/>
        </w:rPr>
        <w:t>Taxes on energy have been used in Sweden for a long time.</w:t>
      </w:r>
      <w:r w:rsidRPr="008E2A7B">
        <w:rPr>
          <w:vertAlign w:val="superscript"/>
          <w:lang w:val="en-GB"/>
        </w:rPr>
        <w:footnoteReference w:id="10"/>
      </w:r>
      <w:r w:rsidRPr="008E2A7B">
        <w:rPr>
          <w:lang w:val="en-GB"/>
        </w:rPr>
        <w:t xml:space="preserve"> An energy tax on petrol and diesel was introduced in 1924 and 1937, respectively.  Fuel used for heating and electricity became subject to an energy tax in the 1950s. </w:t>
      </w:r>
    </w:p>
    <w:p w14:paraId="712C1142" w14:textId="1BA1D29E" w:rsidR="00DE2442" w:rsidRPr="008E2A7B" w:rsidRDefault="00DE2442" w:rsidP="00DE2442">
      <w:pPr>
        <w:pStyle w:val="Brdtext"/>
        <w:rPr>
          <w:lang w:val="en-GB"/>
        </w:rPr>
      </w:pPr>
      <w:r w:rsidRPr="008E2A7B">
        <w:rPr>
          <w:lang w:val="en-GB"/>
        </w:rPr>
        <w:lastRenderedPageBreak/>
        <w:t>The aim of the energy tax was initially fiscal. In more recent years, the aim has also been to steer energy use towards Sweden’s energy efficiency and renewability targets</w:t>
      </w:r>
      <w:r w:rsidRPr="008E2A7B">
        <w:rPr>
          <w:vertAlign w:val="superscript"/>
          <w:lang w:val="en-GB"/>
        </w:rPr>
        <w:footnoteReference w:id="11"/>
      </w:r>
      <w:r w:rsidRPr="008E2A7B">
        <w:rPr>
          <w:lang w:val="en-GB"/>
        </w:rPr>
        <w:t>. The energy tax on motor fuels also aims at internalising external costs from the traffic, such as road wear, noise, etc.</w:t>
      </w:r>
      <w:r w:rsidR="00F76B66">
        <w:rPr>
          <w:rStyle w:val="Fotnotsreferens"/>
          <w:lang w:val="en-GB"/>
        </w:rPr>
        <w:footnoteReference w:id="12"/>
      </w:r>
    </w:p>
    <w:p w14:paraId="6C3799E3" w14:textId="77777777" w:rsidR="00DE2442" w:rsidRPr="008E2A7B" w:rsidRDefault="00DE2442" w:rsidP="00DE2442">
      <w:pPr>
        <w:pStyle w:val="Brdtext"/>
        <w:rPr>
          <w:lang w:val="en-GB"/>
        </w:rPr>
      </w:pPr>
      <w:r w:rsidRPr="008E2A7B">
        <w:rPr>
          <w:lang w:val="en-GB"/>
        </w:rPr>
        <w:t>The energy tax on fuel varies depending on whether it is used as motor fuel or for heating purposes. The tax level on heating fuels also varies between households, industry and the energy conversion sector.</w:t>
      </w:r>
    </w:p>
    <w:p w14:paraId="2C177BC6" w14:textId="77777777" w:rsidR="00DE2442" w:rsidRPr="008E2A7B" w:rsidRDefault="00DE2442" w:rsidP="00DE2442">
      <w:pPr>
        <w:pStyle w:val="Brdtext"/>
        <w:contextualSpacing/>
        <w:rPr>
          <w:i/>
          <w:szCs w:val="24"/>
          <w:lang w:val="en-GB"/>
        </w:rPr>
      </w:pPr>
      <w:r w:rsidRPr="008E2A7B">
        <w:rPr>
          <w:i/>
          <w:szCs w:val="24"/>
          <w:lang w:val="en-GB"/>
        </w:rPr>
        <w:t>Carbon dioxide tax and energy tax in the transport sector</w:t>
      </w:r>
    </w:p>
    <w:p w14:paraId="1BF41A65" w14:textId="77777777" w:rsidR="00DE2442" w:rsidRPr="008E2A7B" w:rsidRDefault="00DE2442" w:rsidP="00DE2442">
      <w:pPr>
        <w:pStyle w:val="Brdtext"/>
        <w:contextualSpacing/>
        <w:rPr>
          <w:lang w:val="en-GB"/>
        </w:rPr>
      </w:pPr>
      <w:r w:rsidRPr="008E2A7B">
        <w:rPr>
          <w:lang w:val="en-GB"/>
        </w:rPr>
        <w:t>Petrol and diesel are covered by both an energy tax and a carbon dioxide tax. Energy and carbon dioxide taxes on fuels and electricity are adjusted to changes in the consumer price index (CPI), to take into account inflation. As of 2017, tax rates on petrol and diesel are also adjusted to take into account the development of the gross domestic product (GDP).</w:t>
      </w:r>
      <w:r w:rsidRPr="008E2A7B">
        <w:rPr>
          <w:vertAlign w:val="superscript"/>
          <w:lang w:val="en-GB"/>
        </w:rPr>
        <w:footnoteReference w:id="13"/>
      </w:r>
    </w:p>
    <w:p w14:paraId="1CE5D37A" w14:textId="77777777" w:rsidR="00B04AF6" w:rsidRPr="008E2A7B" w:rsidRDefault="00B04AF6" w:rsidP="00DE2442">
      <w:pPr>
        <w:pStyle w:val="Brdtext"/>
        <w:contextualSpacing/>
        <w:rPr>
          <w:lang w:val="en-GB"/>
        </w:rPr>
      </w:pPr>
    </w:p>
    <w:p w14:paraId="7EA568C2" w14:textId="3EF05FF6" w:rsidR="00DE2442" w:rsidRPr="008E2A7B" w:rsidRDefault="00DE2442" w:rsidP="00DE2442">
      <w:pPr>
        <w:pStyle w:val="Brdtext"/>
        <w:rPr>
          <w:color w:val="FF0000"/>
          <w:lang w:val="en-GB"/>
        </w:rPr>
      </w:pPr>
      <w:r w:rsidRPr="008E2A7B">
        <w:rPr>
          <w:lang w:val="en-GB"/>
        </w:rPr>
        <w:t xml:space="preserve">Sweden applies tax reductions for sustainable biofuels. The energy tax reduction varies between different kinds of biofuels and level of blending. </w:t>
      </w:r>
      <w:r w:rsidRPr="008E2A7B">
        <w:rPr>
          <w:color w:val="FF0000"/>
          <w:lang w:val="en-GB"/>
        </w:rPr>
        <w:t>Low-blended biofuels that are covered by the reduction obligation scheme are subject to carbon and energy tax rates that correspond to the rates of their fossil counterparts.</w:t>
      </w:r>
      <w:r w:rsidRPr="008E2A7B">
        <w:rPr>
          <w:rStyle w:val="Fotnotsreferens"/>
          <w:color w:val="FF0000"/>
          <w:lang w:val="en-GB"/>
        </w:rPr>
        <w:footnoteReference w:id="14"/>
      </w:r>
      <w:r w:rsidRPr="008E2A7B">
        <w:rPr>
          <w:color w:val="FF0000"/>
          <w:lang w:val="en-GB"/>
        </w:rPr>
        <w:t xml:space="preserve"> High-blended biofuels are not covered by the reduction obligation scheme and all high-blended sustainable biofuels are exempt from both carbon and energy tax.</w:t>
      </w:r>
      <w:r w:rsidR="00C95B18" w:rsidRPr="008E2A7B">
        <w:rPr>
          <w:color w:val="FF0000"/>
          <w:lang w:val="en-GB"/>
        </w:rPr>
        <w:t xml:space="preserve"> [Gäller endast om budgetproppen beslutas]</w:t>
      </w:r>
    </w:p>
    <w:p w14:paraId="14A7303C" w14:textId="77777777" w:rsidR="00DE2442" w:rsidRPr="008E2A7B" w:rsidRDefault="00DE2442" w:rsidP="00DE2442">
      <w:pPr>
        <w:pStyle w:val="Brdtext"/>
        <w:contextualSpacing/>
        <w:rPr>
          <w:i/>
          <w:lang w:val="en-GB"/>
        </w:rPr>
      </w:pPr>
      <w:r w:rsidRPr="008E2A7B">
        <w:rPr>
          <w:i/>
          <w:szCs w:val="24"/>
          <w:lang w:val="en-GB"/>
        </w:rPr>
        <w:t xml:space="preserve">Carbon dioxide tax and energy tax for </w:t>
      </w:r>
      <w:r w:rsidRPr="008E2A7B">
        <w:rPr>
          <w:i/>
          <w:lang w:val="en-GB"/>
        </w:rPr>
        <w:t>heat production</w:t>
      </w:r>
    </w:p>
    <w:p w14:paraId="6CF22B03" w14:textId="4B901752" w:rsidR="00DE2442" w:rsidRPr="008E2A7B" w:rsidRDefault="00DE2442" w:rsidP="00DE2442">
      <w:pPr>
        <w:pStyle w:val="Brdtext"/>
        <w:contextualSpacing/>
        <w:rPr>
          <w:lang w:val="en-GB"/>
        </w:rPr>
      </w:pPr>
      <w:r w:rsidRPr="008E2A7B">
        <w:rPr>
          <w:lang w:val="en-GB"/>
        </w:rPr>
        <w:t>Heat production is subject to the energy tax as well as the carbon dioxide tax. Biofuels are exempt from energy tax and the carbon dioxide tax, since it is based on the fossil carbon content. Fuels used for heat production in combined heat and power plants (CHPs) within the EU ETS have a reduced level of the carbon dioxide tax – 11% as of 2018 – and pay 30% of the energy tax. Other heating plants within the EU ETS are subject to 100% of the energy tax and, since 2018, 91% of the carbon dioxide tax. CHPs outside the EU ETS pay 30% of the energy tax and 80% of the carbon dioxide tax on fuels used to produce heat. No carbon dioxide tax is charged for fuels used for heat production supplied to industrial manufacturing processes if the industrial activity is part of the EU ETS.</w:t>
      </w:r>
    </w:p>
    <w:p w14:paraId="0934E832" w14:textId="77777777" w:rsidR="00B04AF6" w:rsidRPr="008E2A7B" w:rsidRDefault="00B04AF6" w:rsidP="00DE2442">
      <w:pPr>
        <w:pStyle w:val="Brdtext"/>
        <w:contextualSpacing/>
        <w:rPr>
          <w:lang w:val="en-GB"/>
        </w:rPr>
      </w:pPr>
    </w:p>
    <w:p w14:paraId="704030A2" w14:textId="77777777" w:rsidR="00B04AF6" w:rsidRPr="008E2A7B" w:rsidRDefault="00B04AF6" w:rsidP="00574687">
      <w:pPr>
        <w:pStyle w:val="Brdtext"/>
        <w:contextualSpacing/>
        <w:rPr>
          <w:i/>
          <w:szCs w:val="24"/>
          <w:lang w:val="en-GB"/>
        </w:rPr>
      </w:pPr>
    </w:p>
    <w:p w14:paraId="34850EBB" w14:textId="77777777" w:rsidR="00B04AF6" w:rsidRPr="008E2A7B" w:rsidRDefault="00B04AF6" w:rsidP="00574687">
      <w:pPr>
        <w:pStyle w:val="Brdtext"/>
        <w:contextualSpacing/>
        <w:rPr>
          <w:i/>
          <w:szCs w:val="24"/>
          <w:lang w:val="en-GB"/>
        </w:rPr>
      </w:pPr>
    </w:p>
    <w:p w14:paraId="43AFBEA6" w14:textId="77777777" w:rsidR="00B04AF6" w:rsidRPr="008E2A7B" w:rsidRDefault="00B04AF6" w:rsidP="00574687">
      <w:pPr>
        <w:pStyle w:val="Brdtext"/>
        <w:contextualSpacing/>
        <w:rPr>
          <w:i/>
          <w:szCs w:val="24"/>
          <w:lang w:val="en-GB"/>
        </w:rPr>
      </w:pPr>
    </w:p>
    <w:p w14:paraId="537D209F" w14:textId="77777777" w:rsidR="00DE2442" w:rsidRPr="008E2A7B" w:rsidRDefault="00DE2442" w:rsidP="00574687">
      <w:pPr>
        <w:pStyle w:val="Brdtext"/>
        <w:contextualSpacing/>
        <w:rPr>
          <w:i/>
          <w:szCs w:val="24"/>
          <w:lang w:val="en-GB"/>
        </w:rPr>
      </w:pPr>
      <w:r w:rsidRPr="008E2A7B">
        <w:rPr>
          <w:i/>
          <w:szCs w:val="24"/>
          <w:lang w:val="en-GB"/>
        </w:rPr>
        <w:t>Carbon dioxide tax and energy tax for electricity production</w:t>
      </w:r>
    </w:p>
    <w:p w14:paraId="0B4D7678" w14:textId="39348749" w:rsidR="00DE2442" w:rsidRPr="008E2A7B" w:rsidRDefault="00DE2442" w:rsidP="00574687">
      <w:pPr>
        <w:pStyle w:val="Brdtext"/>
        <w:contextualSpacing/>
        <w:rPr>
          <w:lang w:val="en-GB"/>
        </w:rPr>
      </w:pPr>
      <w:r w:rsidRPr="008E2A7B">
        <w:rPr>
          <w:lang w:val="en-GB"/>
        </w:rPr>
        <w:t>Fuel used for electricity production is exempted from both energy and carbon dioxide taxes, but the use of electricity is gen</w:t>
      </w:r>
      <w:r w:rsidR="00574687" w:rsidRPr="008E2A7B">
        <w:rPr>
          <w:lang w:val="en-GB"/>
        </w:rPr>
        <w:t>erally subject to an energy tax.</w:t>
      </w:r>
    </w:p>
    <w:p w14:paraId="2F36BF12" w14:textId="77777777" w:rsidR="00574687" w:rsidRPr="008E2A7B" w:rsidRDefault="00574687" w:rsidP="00574687">
      <w:pPr>
        <w:pStyle w:val="Brdtext"/>
        <w:contextualSpacing/>
        <w:rPr>
          <w:lang w:val="en-GB"/>
        </w:rPr>
      </w:pPr>
    </w:p>
    <w:p w14:paraId="317624A6" w14:textId="77777777" w:rsidR="00DE2442" w:rsidRPr="008E2A7B" w:rsidRDefault="00DE2442" w:rsidP="00574687">
      <w:pPr>
        <w:pStyle w:val="Brdtext"/>
        <w:contextualSpacing/>
        <w:rPr>
          <w:i/>
          <w:lang w:val="en-GB"/>
        </w:rPr>
      </w:pPr>
      <w:r w:rsidRPr="008E2A7B">
        <w:rPr>
          <w:i/>
          <w:szCs w:val="24"/>
          <w:lang w:val="en-GB"/>
        </w:rPr>
        <w:t xml:space="preserve">Carbon dioxide tax and energy tax in the </w:t>
      </w:r>
      <w:r w:rsidRPr="008E2A7B">
        <w:rPr>
          <w:i/>
          <w:lang w:val="en-GB"/>
        </w:rPr>
        <w:t>industrial sector</w:t>
      </w:r>
    </w:p>
    <w:p w14:paraId="00602926" w14:textId="77777777" w:rsidR="00DE2442" w:rsidRPr="008E2A7B" w:rsidRDefault="00DE2442" w:rsidP="00574687">
      <w:pPr>
        <w:pStyle w:val="Brdtext"/>
        <w:contextualSpacing/>
        <w:rPr>
          <w:lang w:val="en-GB"/>
        </w:rPr>
      </w:pPr>
      <w:r w:rsidRPr="008E2A7B">
        <w:rPr>
          <w:lang w:val="en-GB"/>
        </w:rPr>
        <w:t xml:space="preserve">The manufacturing industry not covered by the EU ETS pays 30% of the general energy tax on fuels used in industrial manufacturing processes. Previously, this part of the industry had significant reductions in the carbon dioxide tax, but in recent years the tax has been raised in steps. The tax reduction will be totally rescinded by 2018.  </w:t>
      </w:r>
    </w:p>
    <w:p w14:paraId="72D596E7" w14:textId="77777777" w:rsidR="00574687" w:rsidRPr="008E2A7B" w:rsidRDefault="00574687" w:rsidP="00574687">
      <w:pPr>
        <w:pStyle w:val="Brdtext"/>
        <w:contextualSpacing/>
        <w:rPr>
          <w:lang w:val="en-GB"/>
        </w:rPr>
      </w:pPr>
    </w:p>
    <w:p w14:paraId="67586F99" w14:textId="77777777" w:rsidR="00DE2442" w:rsidRPr="008E2A7B" w:rsidRDefault="00DE2442" w:rsidP="00574687">
      <w:pPr>
        <w:pStyle w:val="Brdtext"/>
        <w:contextualSpacing/>
        <w:rPr>
          <w:i/>
          <w:szCs w:val="24"/>
          <w:lang w:val="en-GB"/>
        </w:rPr>
      </w:pPr>
      <w:r w:rsidRPr="008E2A7B">
        <w:rPr>
          <w:i/>
          <w:szCs w:val="24"/>
          <w:lang w:val="en-GB"/>
        </w:rPr>
        <w:t xml:space="preserve">Carbon dioxide tax and energy tax in agricultural, forestry and aquacultural sectors </w:t>
      </w:r>
    </w:p>
    <w:p w14:paraId="1F3B8C71" w14:textId="77777777" w:rsidR="00DE2442" w:rsidRPr="008E2A7B" w:rsidRDefault="00DE2442" w:rsidP="00574687">
      <w:pPr>
        <w:pStyle w:val="Brdtext"/>
        <w:contextualSpacing/>
        <w:rPr>
          <w:lang w:val="en-GB"/>
        </w:rPr>
      </w:pPr>
      <w:r w:rsidRPr="008E2A7B">
        <w:rPr>
          <w:lang w:val="en-GB"/>
        </w:rPr>
        <w:t xml:space="preserve">The agriculture, forestry and aquaculture sectors pay 30% of the general energy tax rate. The sectors have also had reductions in the carbon dioxide tax, which have been reduced in steps and will be totally rescinded by 2018. </w:t>
      </w:r>
    </w:p>
    <w:p w14:paraId="3A2C36DE" w14:textId="77777777" w:rsidR="00574687" w:rsidRPr="008E2A7B" w:rsidRDefault="00574687" w:rsidP="00574687">
      <w:pPr>
        <w:pStyle w:val="Brdtext"/>
        <w:contextualSpacing/>
        <w:rPr>
          <w:lang w:val="en-GB"/>
        </w:rPr>
      </w:pPr>
    </w:p>
    <w:p w14:paraId="4C0397A8" w14:textId="345FB47D" w:rsidR="00DE2442" w:rsidRPr="008E2A7B" w:rsidRDefault="00DE2442" w:rsidP="00DE2442">
      <w:pPr>
        <w:pStyle w:val="Brdtext"/>
        <w:rPr>
          <w:lang w:val="en-GB"/>
        </w:rPr>
      </w:pPr>
      <w:r w:rsidRPr="008E2A7B">
        <w:rPr>
          <w:lang w:val="en-GB"/>
        </w:rPr>
        <w:t>A special reimbursement for carbon dioxide tax on diesel for machinery in agricultural, forestry and aquaculture activities was lowered in a stepwise manner from SEK 2.10 per litre (2011) to SEK 0.90 per litre in 2015. However, in 2016 the repayment was increased to SEK 1.70 per litre for the period until the end of 2018, w</w:t>
      </w:r>
      <w:r w:rsidR="00226BA8">
        <w:rPr>
          <w:lang w:val="en-GB"/>
        </w:rPr>
        <w:t>hen the repayment will be SEK 1.</w:t>
      </w:r>
      <w:r w:rsidRPr="008E2A7B">
        <w:rPr>
          <w:lang w:val="en-GB"/>
        </w:rPr>
        <w:t>43 per litre.</w:t>
      </w:r>
    </w:p>
    <w:p w14:paraId="7AB9CD45" w14:textId="1452CD3A" w:rsidR="00135D78" w:rsidRPr="008E2A7B" w:rsidRDefault="00135D78" w:rsidP="00DE2442">
      <w:pPr>
        <w:pStyle w:val="Brdtext"/>
        <w:rPr>
          <w:b/>
          <w:u w:val="single"/>
          <w:lang w:val="en-GB"/>
        </w:rPr>
      </w:pPr>
      <w:r w:rsidRPr="008E2A7B">
        <w:rPr>
          <w:b/>
          <w:u w:val="single"/>
          <w:lang w:val="en-GB"/>
        </w:rPr>
        <w:t xml:space="preserve">Cross sectoral </w:t>
      </w:r>
    </w:p>
    <w:p w14:paraId="40DDED7C" w14:textId="77777777" w:rsidR="00DE2442" w:rsidRPr="008E2A7B" w:rsidRDefault="00DE2442" w:rsidP="00DE2442">
      <w:pPr>
        <w:pStyle w:val="Brdtext"/>
        <w:contextualSpacing/>
        <w:rPr>
          <w:b/>
          <w:lang w:val="en-GB"/>
        </w:rPr>
      </w:pPr>
      <w:r w:rsidRPr="008E2A7B">
        <w:rPr>
          <w:b/>
          <w:lang w:val="en-GB"/>
        </w:rPr>
        <w:t>Local Climate Investment Programme (Climate Leap)</w:t>
      </w:r>
    </w:p>
    <w:p w14:paraId="1CEC85A4" w14:textId="450A083D" w:rsidR="00DE2442" w:rsidRPr="008E2A7B" w:rsidRDefault="00DE2442" w:rsidP="00DE2442">
      <w:pPr>
        <w:pStyle w:val="Brdtext"/>
        <w:contextualSpacing/>
        <w:rPr>
          <w:lang w:val="en-GB"/>
        </w:rPr>
      </w:pPr>
      <w:r w:rsidRPr="008E2A7B">
        <w:rPr>
          <w:lang w:val="en-GB"/>
        </w:rPr>
        <w:t>A programme for local and regional investments (Climate Leap) to cut greenhouse gas emissions was introduced in 2015. Investments in all sectors, except those included in the EU ETS, and all types of organizations are eligible to apply for grants.</w:t>
      </w:r>
      <w:r w:rsidRPr="008E2A7B">
        <w:rPr>
          <w:rStyle w:val="Fotnotsreferens"/>
          <w:lang w:val="en-GB"/>
        </w:rPr>
        <w:footnoteReference w:id="15"/>
      </w:r>
      <w:r w:rsidRPr="008E2A7B">
        <w:rPr>
          <w:lang w:val="en-GB"/>
        </w:rPr>
        <w:t xml:space="preserve"> Applicants compete based on the estimated greenhouse gas reduction of each investment. </w:t>
      </w:r>
    </w:p>
    <w:p w14:paraId="7C9721FD" w14:textId="77777777" w:rsidR="00B04AF6" w:rsidRPr="008E2A7B" w:rsidRDefault="00B04AF6" w:rsidP="00DE2442">
      <w:pPr>
        <w:pStyle w:val="Brdtext"/>
        <w:contextualSpacing/>
        <w:rPr>
          <w:lang w:val="en-GB"/>
        </w:rPr>
      </w:pPr>
    </w:p>
    <w:p w14:paraId="4010C626" w14:textId="76891BBC" w:rsidR="00DE2442" w:rsidRPr="008E2A7B" w:rsidRDefault="00DE2442" w:rsidP="00DE2442">
      <w:pPr>
        <w:pStyle w:val="Brdtext"/>
        <w:rPr>
          <w:lang w:val="en-GB"/>
        </w:rPr>
      </w:pPr>
      <w:r w:rsidRPr="008E2A7B">
        <w:rPr>
          <w:lang w:val="en-GB"/>
        </w:rPr>
        <w:t xml:space="preserve">For the 2018 the budget is SEK 1500 million and the indicative budget for 2019 and 2020 is SEK 2000 million and SEK 3000 </w:t>
      </w:r>
      <w:r w:rsidR="00574687" w:rsidRPr="008E2A7B">
        <w:rPr>
          <w:lang w:val="en-GB"/>
        </w:rPr>
        <w:t>million respectively.</w:t>
      </w:r>
    </w:p>
    <w:p w14:paraId="5E8E7898" w14:textId="77777777" w:rsidR="00DE2442" w:rsidRPr="008E2A7B" w:rsidRDefault="00DE2442" w:rsidP="00DE2442">
      <w:pPr>
        <w:pStyle w:val="Brdtext"/>
        <w:contextualSpacing/>
        <w:rPr>
          <w:b/>
          <w:lang w:val="en-GB"/>
        </w:rPr>
      </w:pPr>
      <w:r w:rsidRPr="008E2A7B">
        <w:rPr>
          <w:b/>
          <w:lang w:val="en-GB"/>
        </w:rPr>
        <w:t xml:space="preserve">The Environmental Code and planning legislation </w:t>
      </w:r>
    </w:p>
    <w:p w14:paraId="1AB5426D" w14:textId="4E071DA6" w:rsidR="00B04AF6" w:rsidRPr="008E2A7B" w:rsidRDefault="00DE2442" w:rsidP="00DE2442">
      <w:pPr>
        <w:pStyle w:val="Brdtext"/>
        <w:contextualSpacing/>
        <w:rPr>
          <w:lang w:val="en-GB"/>
        </w:rPr>
      </w:pPr>
      <w:r w:rsidRPr="008E2A7B">
        <w:rPr>
          <w:lang w:val="en-GB"/>
        </w:rPr>
        <w:t xml:space="preserve">General legislation in the area of the environment has been collected in the </w:t>
      </w:r>
      <w:r w:rsidRPr="008E2A7B">
        <w:rPr>
          <w:iCs/>
          <w:lang w:val="en-GB"/>
        </w:rPr>
        <w:t xml:space="preserve">Environmental Code </w:t>
      </w:r>
      <w:r w:rsidRPr="008E2A7B">
        <w:rPr>
          <w:lang w:val="en-GB"/>
        </w:rPr>
        <w:t xml:space="preserve">since January 1999. Among other aspects, the Environmental Code contains general rules for consideration to be </w:t>
      </w:r>
      <w:r w:rsidRPr="008E2A7B">
        <w:rPr>
          <w:lang w:val="en-GB"/>
        </w:rPr>
        <w:lastRenderedPageBreak/>
        <w:t>observed in all activities and measures that affect the environment. Significant environmentally hazardous activities require obtaining a permit. Greenhouse gas emissions form part of the permit assessment procedure and the Code also includes requirements to use the best available technology. However, effective 2005, issuing emissions limit values for carbon dioxide or limiting the use of fossil fuels for installations covered by the EU Emissions Trading</w:t>
      </w:r>
      <w:r w:rsidR="00B04AF6" w:rsidRPr="008E2A7B">
        <w:rPr>
          <w:lang w:val="en-GB"/>
        </w:rPr>
        <w:t xml:space="preserve"> Scheme is no longer permitted.</w:t>
      </w:r>
    </w:p>
    <w:p w14:paraId="7A5657FC" w14:textId="77777777" w:rsidR="00B04AF6" w:rsidRPr="008E2A7B" w:rsidRDefault="00B04AF6" w:rsidP="00DE2442">
      <w:pPr>
        <w:pStyle w:val="Brdtext"/>
        <w:contextualSpacing/>
        <w:rPr>
          <w:lang w:val="en-GB"/>
        </w:rPr>
      </w:pPr>
    </w:p>
    <w:p w14:paraId="4ED120FC" w14:textId="77777777" w:rsidR="00B04AF6" w:rsidRPr="008E2A7B" w:rsidRDefault="00DE2442" w:rsidP="00DE2442">
      <w:pPr>
        <w:pStyle w:val="Brdtext"/>
        <w:contextualSpacing/>
        <w:rPr>
          <w:lang w:val="en-GB"/>
        </w:rPr>
      </w:pPr>
      <w:r w:rsidRPr="008E2A7B">
        <w:rPr>
          <w:lang w:val="en-GB"/>
        </w:rPr>
        <w:t xml:space="preserve">Measures in public planning are principally governed by the </w:t>
      </w:r>
      <w:r w:rsidRPr="008E2A7B">
        <w:rPr>
          <w:iCs/>
          <w:lang w:val="en-GB"/>
        </w:rPr>
        <w:t>Planning and Building</w:t>
      </w:r>
      <w:r w:rsidRPr="008E2A7B">
        <w:rPr>
          <w:lang w:val="en-GB"/>
        </w:rPr>
        <w:t xml:space="preserve"> </w:t>
      </w:r>
      <w:r w:rsidRPr="008E2A7B">
        <w:rPr>
          <w:iCs/>
          <w:lang w:val="en-GB"/>
        </w:rPr>
        <w:t>Act</w:t>
      </w:r>
      <w:r w:rsidRPr="008E2A7B">
        <w:rPr>
          <w:i/>
          <w:iCs/>
          <w:lang w:val="en-GB"/>
        </w:rPr>
        <w:t xml:space="preserve"> </w:t>
      </w:r>
      <w:r w:rsidRPr="008E2A7B">
        <w:rPr>
          <w:lang w:val="en-GB"/>
        </w:rPr>
        <w:t xml:space="preserve">(PBL) (SFS 2010:900), but many measures, as for major infrastructure projects, are also covered by the Environmental Code. Since May 2011, the Planning and Building Act introduced new requirements on considering the environmental and climate aspects of planning.  </w:t>
      </w:r>
    </w:p>
    <w:p w14:paraId="6381CE88" w14:textId="77777777" w:rsidR="00B04AF6" w:rsidRPr="008E2A7B" w:rsidRDefault="00B04AF6" w:rsidP="00DE2442">
      <w:pPr>
        <w:pStyle w:val="Brdtext"/>
        <w:contextualSpacing/>
        <w:rPr>
          <w:lang w:val="en-GB"/>
        </w:rPr>
      </w:pPr>
    </w:p>
    <w:p w14:paraId="47EB3A3D" w14:textId="77777777" w:rsidR="00DE2442" w:rsidRPr="008E2A7B" w:rsidRDefault="00DE2442" w:rsidP="00DE2442">
      <w:pPr>
        <w:pStyle w:val="Brdtext"/>
        <w:contextualSpacing/>
        <w:rPr>
          <w:lang w:val="en-GB"/>
        </w:rPr>
      </w:pPr>
      <w:r w:rsidRPr="008E2A7B">
        <w:rPr>
          <w:b/>
          <w:lang w:val="en-GB"/>
        </w:rPr>
        <w:t>Climate change communication</w:t>
      </w:r>
    </w:p>
    <w:p w14:paraId="26261612" w14:textId="77777777" w:rsidR="00DE2442" w:rsidRPr="008E2A7B" w:rsidRDefault="00DE2442" w:rsidP="00DE2442">
      <w:pPr>
        <w:pStyle w:val="Brdtext"/>
        <w:contextualSpacing/>
        <w:rPr>
          <w:lang w:val="en-GB"/>
        </w:rPr>
      </w:pPr>
      <w:r w:rsidRPr="008E2A7B">
        <w:rPr>
          <w:lang w:val="en-GB"/>
        </w:rPr>
        <w:t xml:space="preserve">The overall objective of climate communication in Sweden is to provide useful knowledge and tools on how to mitigate climate change and adapt to climate change. Moreover, the communication activities are aimed to enhance other climate policy instruments and measures. </w:t>
      </w:r>
    </w:p>
    <w:p w14:paraId="0E2DF960" w14:textId="77777777" w:rsidR="00B04AF6" w:rsidRPr="008E2A7B" w:rsidRDefault="00B04AF6" w:rsidP="00DE2442">
      <w:pPr>
        <w:pStyle w:val="Brdtext"/>
        <w:contextualSpacing/>
        <w:rPr>
          <w:lang w:val="en-GB"/>
        </w:rPr>
      </w:pPr>
    </w:p>
    <w:p w14:paraId="37CE9E05" w14:textId="77777777" w:rsidR="00DE2442" w:rsidRPr="008E2A7B" w:rsidRDefault="00DE2442" w:rsidP="00DE2442">
      <w:pPr>
        <w:pStyle w:val="Brdtext"/>
        <w:rPr>
          <w:lang w:val="en-GB"/>
        </w:rPr>
      </w:pPr>
      <w:r w:rsidRPr="008E2A7B">
        <w:rPr>
          <w:lang w:val="en-GB"/>
        </w:rPr>
        <w:t xml:space="preserve">Communication on possible measures in different sectors is disseminated through several channels. The Swedish Environmental Protection Agency and the Swedish Meteorological and Hydrological Institute (SMHI) are responsible for gathering and communicating information on climate change, as mandated by the Government. </w:t>
      </w:r>
    </w:p>
    <w:p w14:paraId="7ECAD82E" w14:textId="6C4BEA39" w:rsidR="00DE2442" w:rsidRPr="008E2A7B" w:rsidRDefault="00DE2442" w:rsidP="00DE2442">
      <w:pPr>
        <w:pStyle w:val="Brdtext"/>
        <w:rPr>
          <w:lang w:val="en-GB"/>
        </w:rPr>
      </w:pPr>
      <w:r w:rsidRPr="008E2A7B">
        <w:rPr>
          <w:lang w:val="en-GB"/>
        </w:rPr>
        <w:t>The Swedish Government has adopted the objective to make Sweden one of the world’s first fossil-free welfare states. This ambition requires a mobilisation of the entire society, not least municipalities, cities and business. To that end the government has launched the Fossil-Free Sweden initiative which mobilises and supports key actors in their climate efforts by providing a platform for dialogue, cooperation and inspiration between themselves and the Government. It is furthermore an arena where difficulties and complications can be discussed and brought to the government´s attention.</w:t>
      </w:r>
      <w:r w:rsidR="00F76B66">
        <w:rPr>
          <w:rStyle w:val="Fotnotsreferens"/>
          <w:lang w:val="en-GB"/>
        </w:rPr>
        <w:footnoteReference w:id="16"/>
      </w:r>
      <w:r w:rsidRPr="008E2A7B">
        <w:rPr>
          <w:lang w:val="en-GB"/>
        </w:rPr>
        <w:t xml:space="preserve"> </w:t>
      </w:r>
    </w:p>
    <w:p w14:paraId="46D46767" w14:textId="77777777" w:rsidR="00DE2442" w:rsidRPr="008E2A7B" w:rsidRDefault="00DE2442" w:rsidP="00DE2442">
      <w:pPr>
        <w:pStyle w:val="Brdtext"/>
        <w:rPr>
          <w:lang w:val="en-GB"/>
        </w:rPr>
      </w:pPr>
      <w:r w:rsidRPr="008E2A7B">
        <w:rPr>
          <w:lang w:val="en-GB"/>
        </w:rPr>
        <w:t>Dialogue and cooperation with stakeholders also take place within other Government initiatives such as the Strategic innovation partnership programmes, Smart Industry – a strategy for new industrialisation for Sweden and the National Forest Programme.</w:t>
      </w:r>
    </w:p>
    <w:p w14:paraId="2EBB8396" w14:textId="77777777" w:rsidR="00DE2442" w:rsidRPr="008E2A7B" w:rsidRDefault="00DE2442" w:rsidP="00DE2442">
      <w:pPr>
        <w:pStyle w:val="Brdtext"/>
        <w:rPr>
          <w:lang w:val="en-GB"/>
        </w:rPr>
      </w:pPr>
      <w:r w:rsidRPr="008E2A7B">
        <w:rPr>
          <w:lang w:val="en-GB"/>
        </w:rPr>
        <w:t xml:space="preserve">Moreover, in agriculture and forestry, advice and training for landowners and managers play a major role in, for example, reducing climate gas </w:t>
      </w:r>
      <w:r w:rsidRPr="008E2A7B">
        <w:rPr>
          <w:lang w:val="en-GB"/>
        </w:rPr>
        <w:lastRenderedPageBreak/>
        <w:t>emissions from manure management and use, and improving energy efficiency. The Swedish Board of Agriculture maintains an informative website covering both global aspects of climate change and issues relating to biodiversity and the individual farmer. The Swedish Forest Agency has a website providing information on the climate and, in particular, guidance on climate adaptation to forest owners.</w:t>
      </w:r>
    </w:p>
    <w:p w14:paraId="6AB3F06D" w14:textId="77777777" w:rsidR="00DE2442" w:rsidRPr="008E2A7B" w:rsidRDefault="00DE2442" w:rsidP="00DE2442">
      <w:pPr>
        <w:pStyle w:val="Brdtext"/>
        <w:contextualSpacing/>
        <w:rPr>
          <w:b/>
          <w:lang w:val="en-GB"/>
        </w:rPr>
      </w:pPr>
      <w:r w:rsidRPr="008E2A7B">
        <w:rPr>
          <w:b/>
          <w:lang w:val="en-GB"/>
        </w:rPr>
        <w:t>Energy and climate advisory services</w:t>
      </w:r>
    </w:p>
    <w:p w14:paraId="141B64C2" w14:textId="77777777" w:rsidR="00DE2442" w:rsidRPr="008E2A7B" w:rsidRDefault="00DE2442" w:rsidP="00DE2442">
      <w:pPr>
        <w:pStyle w:val="Brdtext"/>
        <w:contextualSpacing/>
        <w:rPr>
          <w:lang w:val="en-GB"/>
        </w:rPr>
      </w:pPr>
      <w:r w:rsidRPr="008E2A7B">
        <w:rPr>
          <w:lang w:val="en-GB"/>
        </w:rPr>
        <w:t xml:space="preserve">The Swedish Energy Agency provides financial support to </w:t>
      </w:r>
      <w:r w:rsidRPr="008E2A7B">
        <w:rPr>
          <w:u w:val="single"/>
          <w:lang w:val="en-GB"/>
        </w:rPr>
        <w:t>municipal energy and climate advisory services</w:t>
      </w:r>
      <w:r w:rsidRPr="008E2A7B">
        <w:rPr>
          <w:lang w:val="en-GB"/>
        </w:rPr>
        <w:t>. The local climate and energy advisers, which are present in nearly all Swedish municipalities, aim to provide objective and locally adapted information and advice about energy-efficiency measures, energy use and climate-related issues in buildings and households.</w:t>
      </w:r>
    </w:p>
    <w:p w14:paraId="796DEC11" w14:textId="77777777" w:rsidR="00B04AF6" w:rsidRPr="008E2A7B" w:rsidRDefault="00B04AF6" w:rsidP="00DE2442">
      <w:pPr>
        <w:pStyle w:val="Brdtext"/>
        <w:contextualSpacing/>
        <w:rPr>
          <w:lang w:val="en-GB"/>
        </w:rPr>
      </w:pPr>
    </w:p>
    <w:p w14:paraId="79F5342D" w14:textId="77777777" w:rsidR="00DE2442" w:rsidRPr="008E2A7B" w:rsidRDefault="00DE2442" w:rsidP="00DE2442">
      <w:pPr>
        <w:pStyle w:val="Brdtext"/>
        <w:rPr>
          <w:lang w:val="en-GB"/>
        </w:rPr>
      </w:pPr>
      <w:r w:rsidRPr="008E2A7B">
        <w:rPr>
          <w:lang w:val="en-GB"/>
        </w:rPr>
        <w:t xml:space="preserve">The Swedish Energy Agency also provides financial support to 15 </w:t>
      </w:r>
      <w:r w:rsidRPr="008E2A7B">
        <w:rPr>
          <w:u w:val="single"/>
          <w:lang w:val="en-GB"/>
        </w:rPr>
        <w:t>regional energy offices</w:t>
      </w:r>
      <w:r w:rsidRPr="008E2A7B">
        <w:rPr>
          <w:lang w:val="en-GB"/>
        </w:rPr>
        <w:t>, which coordinate the energy and climate advisors. The energy offices initiate and participate in several projects on energy efficiency and renewable energy sources, funded by the EU, county administrative boards, regional federations and other organizations. The offices also cooperate regionally with business, county administrative boards, municipalities and others, for example with plans and strategies.</w:t>
      </w:r>
    </w:p>
    <w:p w14:paraId="4EDF8A0C" w14:textId="2355227C" w:rsidR="00DE2442" w:rsidRPr="008E2A7B" w:rsidRDefault="00DE2442" w:rsidP="00DE2442">
      <w:pPr>
        <w:pStyle w:val="Brdtext"/>
        <w:rPr>
          <w:lang w:val="en-GB"/>
        </w:rPr>
      </w:pPr>
      <w:r w:rsidRPr="008E2A7B">
        <w:rPr>
          <w:lang w:val="en-GB"/>
        </w:rPr>
        <w:t xml:space="preserve">Since 2016 municipalities are eligible to apply for the cost of one half-duty </w:t>
      </w:r>
      <w:r w:rsidRPr="008E2A7B">
        <w:rPr>
          <w:u w:val="single"/>
          <w:lang w:val="en-GB"/>
        </w:rPr>
        <w:t>climate and energy coach</w:t>
      </w:r>
      <w:r w:rsidRPr="008E2A7B">
        <w:rPr>
          <w:lang w:val="en-GB"/>
        </w:rPr>
        <w:t xml:space="preserve"> (SFS 2016:385). The coach provides targeted advisory services to small and medium-sized enterprises</w:t>
      </w:r>
      <w:r w:rsidRPr="008E2A7B">
        <w:rPr>
          <w:rStyle w:val="Fotnotsreferens"/>
          <w:lang w:val="en-GB"/>
        </w:rPr>
        <w:footnoteReference w:id="17"/>
      </w:r>
      <w:r w:rsidRPr="008E2A7B">
        <w:rPr>
          <w:lang w:val="en-GB"/>
        </w:rPr>
        <w:t xml:space="preserve">. One round of applications was completed during 2016 and the coaching activities will start in 2017. The support is available until 2019. The coaching activities aim to increase energy efficiency and reduce greenhouse gas emissions. By doing this, the enterprises will benefit from reduced costs, strengthened competitiveness and new opportunities for growth. </w:t>
      </w:r>
    </w:p>
    <w:p w14:paraId="0AAF0456" w14:textId="77777777" w:rsidR="00DE2442" w:rsidRPr="008E2A7B" w:rsidRDefault="00DE2442" w:rsidP="00DE2442">
      <w:pPr>
        <w:pStyle w:val="Brdtext"/>
        <w:contextualSpacing/>
        <w:rPr>
          <w:b/>
          <w:lang w:val="en-GB"/>
        </w:rPr>
      </w:pPr>
      <w:r w:rsidRPr="008E2A7B">
        <w:rPr>
          <w:b/>
          <w:lang w:val="en-GB"/>
        </w:rPr>
        <w:t>Regional Climate and Energy Strategies</w:t>
      </w:r>
    </w:p>
    <w:p w14:paraId="77461E32" w14:textId="77777777" w:rsidR="00DE2442" w:rsidRPr="008E2A7B" w:rsidRDefault="00DE2442" w:rsidP="00DE2442">
      <w:pPr>
        <w:pStyle w:val="Brdtext"/>
        <w:contextualSpacing/>
        <w:rPr>
          <w:lang w:val="en-GB"/>
        </w:rPr>
      </w:pPr>
      <w:r w:rsidRPr="008E2A7B">
        <w:rPr>
          <w:lang w:val="en-GB"/>
        </w:rPr>
        <w:t>County Councils are to coordinate regional climate and energy initiatives and support regional actors, for example by information collection and dissemination. Strategies are designed in collaboration with other regional and local actors to contribute to effective measures and synergies. In addition, they take action in areas such as environmental assessment and surveillance, local and regional spatial planning, regional development and growth policy and infrastructure planning.</w:t>
      </w:r>
    </w:p>
    <w:p w14:paraId="0122431A" w14:textId="77777777" w:rsidR="00B04AF6" w:rsidRPr="008E2A7B" w:rsidRDefault="00B04AF6" w:rsidP="00DE2442">
      <w:pPr>
        <w:pStyle w:val="Brdtext"/>
        <w:contextualSpacing/>
        <w:rPr>
          <w:lang w:val="en-GB"/>
        </w:rPr>
      </w:pPr>
    </w:p>
    <w:p w14:paraId="69E6B436" w14:textId="77777777" w:rsidR="00EC784E" w:rsidRDefault="00EC784E" w:rsidP="00AF3772">
      <w:pPr>
        <w:pStyle w:val="Brdtext"/>
        <w:contextualSpacing/>
        <w:rPr>
          <w:b/>
          <w:iCs/>
          <w:lang w:val="en-GB"/>
        </w:rPr>
      </w:pPr>
    </w:p>
    <w:p w14:paraId="420DA18D" w14:textId="77777777" w:rsidR="00AF3772" w:rsidRPr="008E2A7B" w:rsidRDefault="00AF3772" w:rsidP="00AF3772">
      <w:pPr>
        <w:pStyle w:val="Brdtext"/>
        <w:contextualSpacing/>
        <w:rPr>
          <w:b/>
          <w:iCs/>
          <w:lang w:val="en-GB"/>
        </w:rPr>
      </w:pPr>
      <w:r w:rsidRPr="008E2A7B">
        <w:rPr>
          <w:b/>
          <w:iCs/>
          <w:lang w:val="en-GB"/>
        </w:rPr>
        <w:lastRenderedPageBreak/>
        <w:t>Support for market introduction, technology procurement and networks</w:t>
      </w:r>
    </w:p>
    <w:p w14:paraId="0A466EAF" w14:textId="78292411" w:rsidR="007366A0" w:rsidRPr="008E2A7B" w:rsidRDefault="00AF3772" w:rsidP="00DE2442">
      <w:pPr>
        <w:pStyle w:val="Brdtext"/>
        <w:contextualSpacing/>
        <w:rPr>
          <w:lang w:val="en-GB"/>
        </w:rPr>
      </w:pPr>
      <w:bookmarkStart w:id="26" w:name="_Hlk498438215"/>
      <w:r w:rsidRPr="008E2A7B">
        <w:rPr>
          <w:lang w:val="en-GB"/>
        </w:rPr>
        <w:t xml:space="preserve">The Swedish Energy Agency grants support for market introduction to energy related projects in the form of a grant with limited royalty, that is a subsidy that is refunded at commercial success. </w:t>
      </w:r>
      <w:bookmarkEnd w:id="26"/>
      <w:r w:rsidRPr="008E2A7B">
        <w:rPr>
          <w:lang w:val="en-GB"/>
        </w:rPr>
        <w:t>Technology procurement is an instrument designed to initiate a market transition and disseminate new, more efficient technology, such as new products, systems and processes. Network-based procurement of technology is an approach that encompasses the entire decision-making process, from feasibility study and purchaser group, to requirements specification and dissemination and further development of more energy-efficient technology. It is being used in areas like heating and control, ventilation and lighting. The Swedish Energy Agency coordinates procurement networks for housing (BeBo), commercial and institutional premises (BeLok), small houses (BeSmå), public sector bodies that rent premises (HyLok) and food distribution (BeLivs).</w:t>
      </w:r>
    </w:p>
    <w:p w14:paraId="285C03DB" w14:textId="65BBFA2E" w:rsidR="00135D78" w:rsidRPr="008E2A7B" w:rsidRDefault="00135D78" w:rsidP="00DE2442">
      <w:pPr>
        <w:pStyle w:val="Brdtext"/>
        <w:contextualSpacing/>
        <w:rPr>
          <w:lang w:val="en-GB"/>
        </w:rPr>
      </w:pPr>
    </w:p>
    <w:p w14:paraId="77799784" w14:textId="16FD07F7" w:rsidR="00135D78" w:rsidRPr="008E2A7B" w:rsidRDefault="00135D78" w:rsidP="00DE2442">
      <w:pPr>
        <w:pStyle w:val="Brdtext"/>
        <w:contextualSpacing/>
        <w:rPr>
          <w:b/>
          <w:u w:val="single"/>
          <w:lang w:val="en-GB"/>
        </w:rPr>
      </w:pPr>
      <w:r w:rsidRPr="008E2A7B">
        <w:rPr>
          <w:b/>
          <w:u w:val="single"/>
          <w:lang w:val="en-GB"/>
        </w:rPr>
        <w:t>Energy supply</w:t>
      </w:r>
    </w:p>
    <w:p w14:paraId="0F31C590" w14:textId="003053D3" w:rsidR="00135D78" w:rsidRPr="008E2A7B" w:rsidRDefault="00D90587" w:rsidP="00DE2442">
      <w:pPr>
        <w:pStyle w:val="Brdtext"/>
        <w:contextualSpacing/>
        <w:rPr>
          <w:lang w:val="en-GB"/>
        </w:rPr>
      </w:pPr>
      <w:r w:rsidRPr="008E2A7B">
        <w:rPr>
          <w:lang w:val="en-GB"/>
        </w:rPr>
        <w:t>P</w:t>
      </w:r>
      <w:r w:rsidR="00135D78" w:rsidRPr="008E2A7B">
        <w:rPr>
          <w:lang w:val="en-GB"/>
        </w:rPr>
        <w:t xml:space="preserve">olicies and measures </w:t>
      </w:r>
      <w:r w:rsidRPr="008E2A7B">
        <w:rPr>
          <w:lang w:val="en-GB"/>
        </w:rPr>
        <w:t xml:space="preserve">for this sector </w:t>
      </w:r>
      <w:r w:rsidR="00135D78" w:rsidRPr="008E2A7B">
        <w:rPr>
          <w:lang w:val="en-GB"/>
        </w:rPr>
        <w:t>are described</w:t>
      </w:r>
      <w:r w:rsidRPr="008E2A7B">
        <w:rPr>
          <w:lang w:val="en-GB"/>
        </w:rPr>
        <w:t xml:space="preserve"> in 3.1.2.</w:t>
      </w:r>
    </w:p>
    <w:p w14:paraId="590C6366" w14:textId="77777777" w:rsidR="00D90587" w:rsidRPr="008E2A7B" w:rsidRDefault="00D90587" w:rsidP="00DE2442">
      <w:pPr>
        <w:pStyle w:val="Brdtext"/>
        <w:contextualSpacing/>
        <w:rPr>
          <w:lang w:val="en-GB"/>
        </w:rPr>
      </w:pPr>
    </w:p>
    <w:p w14:paraId="075CD3BE" w14:textId="4FCE6EA2" w:rsidR="00135D78" w:rsidRPr="008E2A7B" w:rsidRDefault="00135D78" w:rsidP="00DE2442">
      <w:pPr>
        <w:pStyle w:val="Brdtext"/>
        <w:contextualSpacing/>
        <w:rPr>
          <w:b/>
          <w:u w:val="single"/>
          <w:lang w:val="en-GB"/>
        </w:rPr>
      </w:pPr>
      <w:r w:rsidRPr="008E2A7B">
        <w:rPr>
          <w:b/>
          <w:u w:val="single"/>
          <w:lang w:val="en-GB"/>
        </w:rPr>
        <w:t>Residential sector</w:t>
      </w:r>
    </w:p>
    <w:p w14:paraId="708838CE" w14:textId="3F77779D" w:rsidR="00D90587" w:rsidRPr="008E2A7B" w:rsidRDefault="00D90587" w:rsidP="00D90587">
      <w:pPr>
        <w:pStyle w:val="Brdtext"/>
        <w:contextualSpacing/>
        <w:rPr>
          <w:lang w:val="en-GB"/>
        </w:rPr>
      </w:pPr>
      <w:r w:rsidRPr="008E2A7B">
        <w:rPr>
          <w:lang w:val="en-GB"/>
        </w:rPr>
        <w:t xml:space="preserve">Policies and measures for this sector are described in 3.2. </w:t>
      </w:r>
    </w:p>
    <w:p w14:paraId="3D771664" w14:textId="36AF3BF1" w:rsidR="00135D78" w:rsidRPr="008E2A7B" w:rsidRDefault="00135D78" w:rsidP="00DE2442">
      <w:pPr>
        <w:pStyle w:val="Brdtext"/>
        <w:contextualSpacing/>
        <w:rPr>
          <w:b/>
          <w:u w:val="single"/>
          <w:lang w:val="en-GB"/>
        </w:rPr>
      </w:pPr>
    </w:p>
    <w:p w14:paraId="7B9B5C45" w14:textId="26EC11AF" w:rsidR="00135D78" w:rsidRPr="008E2A7B" w:rsidRDefault="00135D78" w:rsidP="00DE2442">
      <w:pPr>
        <w:pStyle w:val="Brdtext"/>
        <w:contextualSpacing/>
        <w:rPr>
          <w:b/>
          <w:u w:val="single"/>
          <w:lang w:val="en-GB"/>
        </w:rPr>
      </w:pPr>
      <w:r w:rsidRPr="008E2A7B">
        <w:rPr>
          <w:b/>
          <w:u w:val="single"/>
          <w:lang w:val="en-GB"/>
        </w:rPr>
        <w:t>Industrial sector</w:t>
      </w:r>
    </w:p>
    <w:p w14:paraId="1AF234C4" w14:textId="018B3940" w:rsidR="00D90587" w:rsidRPr="008E2A7B" w:rsidRDefault="00D90587" w:rsidP="00D90587">
      <w:pPr>
        <w:pStyle w:val="Brdtext"/>
        <w:contextualSpacing/>
        <w:rPr>
          <w:lang w:val="en-GB"/>
        </w:rPr>
      </w:pPr>
      <w:r w:rsidRPr="008E2A7B">
        <w:rPr>
          <w:lang w:val="en-GB"/>
        </w:rPr>
        <w:t>Policies and measures for this sector are described in 3.1.3 and 3.2.</w:t>
      </w:r>
    </w:p>
    <w:p w14:paraId="5D59A985" w14:textId="77777777" w:rsidR="00722FEC" w:rsidRPr="008E2A7B" w:rsidRDefault="00722FEC" w:rsidP="00DE2442">
      <w:pPr>
        <w:pStyle w:val="Brdtext"/>
        <w:contextualSpacing/>
        <w:rPr>
          <w:b/>
          <w:u w:val="single"/>
          <w:lang w:val="en-GB"/>
        </w:rPr>
      </w:pPr>
    </w:p>
    <w:p w14:paraId="2030126D" w14:textId="77777777" w:rsidR="00DE2442" w:rsidRPr="008E2A7B" w:rsidRDefault="00DE2442" w:rsidP="00DE2442">
      <w:pPr>
        <w:pStyle w:val="Brdtext"/>
        <w:rPr>
          <w:b/>
          <w:u w:val="single"/>
          <w:lang w:val="en-GB"/>
        </w:rPr>
      </w:pPr>
      <w:r w:rsidRPr="008E2A7B">
        <w:rPr>
          <w:b/>
          <w:u w:val="single"/>
          <w:lang w:val="en-GB"/>
        </w:rPr>
        <w:t>Transport sector</w:t>
      </w:r>
    </w:p>
    <w:p w14:paraId="6F3FA8CD" w14:textId="77777777" w:rsidR="00DE2442" w:rsidRPr="008E2A7B" w:rsidRDefault="00DE2442" w:rsidP="00DE2442">
      <w:pPr>
        <w:pStyle w:val="Brdtext"/>
        <w:contextualSpacing/>
        <w:rPr>
          <w:b/>
          <w:color w:val="FF0000"/>
          <w:lang w:val="en-GB"/>
        </w:rPr>
      </w:pPr>
      <w:r w:rsidRPr="008E2A7B">
        <w:rPr>
          <w:b/>
          <w:color w:val="FF0000"/>
          <w:lang w:val="en-GB"/>
        </w:rPr>
        <w:t>Tax on air travel</w:t>
      </w:r>
    </w:p>
    <w:p w14:paraId="783BAC11" w14:textId="77777777" w:rsidR="00E44B68" w:rsidRPr="008E2A7B" w:rsidRDefault="00DE2442" w:rsidP="00DE2442">
      <w:pPr>
        <w:pStyle w:val="Brdtext"/>
        <w:contextualSpacing/>
        <w:rPr>
          <w:color w:val="FF0000"/>
          <w:lang w:val="en-GB"/>
        </w:rPr>
      </w:pPr>
      <w:r w:rsidRPr="008E2A7B">
        <w:rPr>
          <w:color w:val="FF0000"/>
          <w:lang w:val="en-GB"/>
        </w:rPr>
        <w:t xml:space="preserve">With the aim to reduce climate impact from aviation, a tax on air travel will be introduced with effect from 1 April 2018. The proposed tax has been designed as a tax on commercial flights and will be paid for passengers travelling from a Swedish airport. The airline that carries out the flight shall be liable to tax. Various levels of tax (SEK 60, 250 and 400) will be levied based on the final destination. The Swedish Tax Agency will be </w:t>
      </w:r>
      <w:r w:rsidR="00E44B68" w:rsidRPr="008E2A7B">
        <w:rPr>
          <w:color w:val="FF0000"/>
          <w:lang w:val="en-GB"/>
        </w:rPr>
        <w:t>the competent tax authority.</w:t>
      </w:r>
    </w:p>
    <w:p w14:paraId="6B715594" w14:textId="77777777" w:rsidR="00E44B68" w:rsidRPr="008E2A7B" w:rsidRDefault="00E44B68" w:rsidP="00DE2442">
      <w:pPr>
        <w:pStyle w:val="Brdtext"/>
        <w:contextualSpacing/>
        <w:rPr>
          <w:color w:val="FF0000"/>
          <w:lang w:val="en-GB"/>
        </w:rPr>
      </w:pPr>
    </w:p>
    <w:p w14:paraId="24450216" w14:textId="77777777" w:rsidR="00DE2442" w:rsidRPr="008E2A7B" w:rsidRDefault="00DE2442" w:rsidP="00DE2442">
      <w:pPr>
        <w:pStyle w:val="Brdtext"/>
        <w:contextualSpacing/>
        <w:rPr>
          <w:color w:val="FF0000"/>
          <w:lang w:val="en-GB"/>
        </w:rPr>
      </w:pPr>
      <w:r w:rsidRPr="008E2A7B">
        <w:rPr>
          <w:b/>
          <w:color w:val="FF0000"/>
          <w:lang w:val="en-GB"/>
        </w:rPr>
        <w:t>Emission reduction obligation (</w:t>
      </w:r>
      <w:r w:rsidRPr="008E2A7B">
        <w:rPr>
          <w:b/>
          <w:i/>
          <w:color w:val="FF0000"/>
          <w:lang w:val="en-GB"/>
        </w:rPr>
        <w:t>Fuel Change)</w:t>
      </w:r>
    </w:p>
    <w:p w14:paraId="485BB571" w14:textId="645C0A8D" w:rsidR="00DE2442" w:rsidRPr="008E2A7B" w:rsidRDefault="00DE2442" w:rsidP="00DE2442">
      <w:pPr>
        <w:pStyle w:val="Brdtext"/>
        <w:contextualSpacing/>
        <w:rPr>
          <w:color w:val="FF0000"/>
          <w:lang w:val="en-GB"/>
        </w:rPr>
      </w:pPr>
      <w:r w:rsidRPr="008E2A7B">
        <w:rPr>
          <w:color w:val="FF0000"/>
          <w:lang w:val="en-GB"/>
        </w:rPr>
        <w:t xml:space="preserve">An emission reduction obligation, also called the Fuel Change, will be introduced 1 July 2018. The emission reduction obligation puts an obligation on petrol and diesel suppliers to reduce carbon dioxide emissions from petrol and diesel, through increased biofuel blending. The Fuel Change makes an important contribution to the phasing out of fossil fuels in transports. The indicative target to 2030 is to reduce </w:t>
      </w:r>
      <w:r w:rsidR="0029707B">
        <w:rPr>
          <w:color w:val="FF0000"/>
          <w:lang w:val="en-GB"/>
        </w:rPr>
        <w:t>emissions by at least 40</w:t>
      </w:r>
      <w:r w:rsidR="00BB1579">
        <w:rPr>
          <w:color w:val="FF0000"/>
          <w:lang w:val="en-GB"/>
        </w:rPr>
        <w:t>%</w:t>
      </w:r>
      <w:r w:rsidRPr="008E2A7B">
        <w:rPr>
          <w:color w:val="FF0000"/>
          <w:lang w:val="en-GB"/>
        </w:rPr>
        <w:t>, which equals a share o</w:t>
      </w:r>
      <w:r w:rsidR="00BB1579">
        <w:rPr>
          <w:color w:val="FF0000"/>
          <w:lang w:val="en-GB"/>
        </w:rPr>
        <w:t>f biofuels of about 50%</w:t>
      </w:r>
      <w:r w:rsidR="00574687" w:rsidRPr="008E2A7B">
        <w:rPr>
          <w:color w:val="FF0000"/>
          <w:lang w:val="en-GB"/>
        </w:rPr>
        <w:t>.</w:t>
      </w:r>
    </w:p>
    <w:p w14:paraId="3F3D7244" w14:textId="77777777" w:rsidR="00E44B68" w:rsidRPr="008E2A7B" w:rsidRDefault="00E44B68" w:rsidP="00DE2442">
      <w:pPr>
        <w:pStyle w:val="Brdtext"/>
        <w:contextualSpacing/>
        <w:rPr>
          <w:color w:val="FF0000"/>
          <w:lang w:val="en-GB"/>
        </w:rPr>
      </w:pPr>
    </w:p>
    <w:p w14:paraId="3EF25F86" w14:textId="77777777" w:rsidR="00EC784E" w:rsidRDefault="00EC784E" w:rsidP="00DE2442">
      <w:pPr>
        <w:pStyle w:val="Brdtext"/>
        <w:contextualSpacing/>
        <w:rPr>
          <w:b/>
          <w:color w:val="000000"/>
          <w:lang w:val="en-GB"/>
        </w:rPr>
      </w:pPr>
    </w:p>
    <w:p w14:paraId="014C864C" w14:textId="77777777" w:rsidR="00E44B68" w:rsidRPr="008E2A7B" w:rsidRDefault="00DE2442" w:rsidP="00DE2442">
      <w:pPr>
        <w:pStyle w:val="Brdtext"/>
        <w:contextualSpacing/>
        <w:rPr>
          <w:b/>
          <w:color w:val="000000"/>
          <w:lang w:val="en-GB"/>
        </w:rPr>
      </w:pPr>
      <w:r w:rsidRPr="008E2A7B">
        <w:rPr>
          <w:b/>
          <w:color w:val="000000"/>
          <w:lang w:val="en-GB"/>
        </w:rPr>
        <w:lastRenderedPageBreak/>
        <w:t>Requirements for renewable fuels at filling stations</w:t>
      </w:r>
    </w:p>
    <w:p w14:paraId="5E7194AC" w14:textId="6546F607" w:rsidR="001370C1" w:rsidRPr="00AE0EFA" w:rsidRDefault="00DE2442" w:rsidP="00DE2442">
      <w:pPr>
        <w:pStyle w:val="Brdtext"/>
        <w:contextualSpacing/>
        <w:rPr>
          <w:lang w:val="en-GB"/>
        </w:rPr>
      </w:pPr>
      <w:r w:rsidRPr="008E2A7B">
        <w:rPr>
          <w:lang w:val="en-GB"/>
        </w:rPr>
        <w:t>The availability of renewable fuels has been subject to legislation requiring that filling stations with annual sales of petrol and diesel above 1,500 m</w:t>
      </w:r>
      <w:r w:rsidRPr="008E2A7B">
        <w:rPr>
          <w:vertAlign w:val="superscript"/>
          <w:lang w:val="en-GB"/>
        </w:rPr>
        <w:t>3</w:t>
      </w:r>
      <w:r w:rsidRPr="008E2A7B">
        <w:rPr>
          <w:lang w:val="en-GB"/>
        </w:rPr>
        <w:t xml:space="preserve"> must supply at least one kind of renewable fuel. </w:t>
      </w:r>
    </w:p>
    <w:p w14:paraId="47A7DC5F" w14:textId="77777777" w:rsidR="001370C1" w:rsidRDefault="001370C1" w:rsidP="00DE2442">
      <w:pPr>
        <w:pStyle w:val="Brdtext"/>
        <w:contextualSpacing/>
        <w:rPr>
          <w:b/>
          <w:color w:val="000000"/>
          <w:lang w:val="en-GB"/>
        </w:rPr>
      </w:pPr>
    </w:p>
    <w:p w14:paraId="3B6CD609" w14:textId="77777777" w:rsidR="00DE2442" w:rsidRPr="008E2A7B" w:rsidRDefault="00DE2442" w:rsidP="00DE2442">
      <w:pPr>
        <w:pStyle w:val="Brdtext"/>
        <w:contextualSpacing/>
        <w:rPr>
          <w:b/>
          <w:color w:val="000000"/>
          <w:lang w:val="en-GB"/>
        </w:rPr>
      </w:pPr>
      <w:r w:rsidRPr="008E2A7B">
        <w:rPr>
          <w:b/>
          <w:color w:val="000000"/>
          <w:lang w:val="en-GB"/>
        </w:rPr>
        <w:t xml:space="preserve">Differentiated vehicle tax </w:t>
      </w:r>
    </w:p>
    <w:p w14:paraId="595BDFA6" w14:textId="77777777" w:rsidR="00DE2442" w:rsidRPr="008E2A7B" w:rsidRDefault="00DE2442" w:rsidP="00DE2442">
      <w:pPr>
        <w:pStyle w:val="Brdtext"/>
        <w:contextualSpacing/>
        <w:rPr>
          <w:lang w:val="en-GB"/>
        </w:rPr>
      </w:pPr>
      <w:r w:rsidRPr="008E2A7B">
        <w:rPr>
          <w:lang w:val="en-GB"/>
        </w:rPr>
        <w:t>Existing vehicles pay an annual vehicle tax that is differentiated with respect to the vehicle’s carbon dioxide emissions per kilometre. The CO</w:t>
      </w:r>
      <w:r w:rsidRPr="008E2A7B">
        <w:rPr>
          <w:vertAlign w:val="subscript"/>
          <w:lang w:val="en-GB"/>
        </w:rPr>
        <w:t>2</w:t>
      </w:r>
      <w:r w:rsidRPr="008E2A7B">
        <w:rPr>
          <w:lang w:val="en-GB"/>
        </w:rPr>
        <w:t>-related vehicle tax is SEK 22 per g CO</w:t>
      </w:r>
      <w:r w:rsidRPr="008E2A7B">
        <w:rPr>
          <w:vertAlign w:val="subscript"/>
          <w:lang w:val="en-GB"/>
        </w:rPr>
        <w:t>2</w:t>
      </w:r>
      <w:r w:rsidRPr="008E2A7B">
        <w:rPr>
          <w:lang w:val="en-GB"/>
        </w:rPr>
        <w:t>/km beyond 111 g CO</w:t>
      </w:r>
      <w:r w:rsidRPr="008E2A7B">
        <w:rPr>
          <w:vertAlign w:val="subscript"/>
          <w:lang w:val="en-GB"/>
        </w:rPr>
        <w:t>2</w:t>
      </w:r>
      <w:r w:rsidRPr="008E2A7B">
        <w:rPr>
          <w:lang w:val="en-GB"/>
        </w:rPr>
        <w:t>/km in mixed driving. This CO</w:t>
      </w:r>
      <w:r w:rsidRPr="008E2A7B">
        <w:rPr>
          <w:vertAlign w:val="subscript"/>
          <w:lang w:val="en-GB"/>
        </w:rPr>
        <w:t>2</w:t>
      </w:r>
      <w:r w:rsidRPr="008E2A7B">
        <w:rPr>
          <w:lang w:val="en-GB"/>
        </w:rPr>
        <w:t xml:space="preserve"> component is multiplied by a factor of 2.37 for diesel cars, since diesel fuel has a lower energy tax than petrol. Cars adapted for alternative fuels such as ethanol and gas, except LPG, are taxed at a lower rate of SEK 11 per g CO</w:t>
      </w:r>
      <w:r w:rsidRPr="008E2A7B">
        <w:rPr>
          <w:vertAlign w:val="subscript"/>
          <w:lang w:val="en-GB"/>
        </w:rPr>
        <w:t>2</w:t>
      </w:r>
      <w:r w:rsidRPr="008E2A7B">
        <w:rPr>
          <w:lang w:val="en-GB"/>
        </w:rPr>
        <w:t>/km beyond the first 111 g CO</w:t>
      </w:r>
      <w:r w:rsidRPr="008E2A7B">
        <w:rPr>
          <w:vertAlign w:val="subscript"/>
          <w:lang w:val="en-GB"/>
        </w:rPr>
        <w:t>2</w:t>
      </w:r>
      <w:r w:rsidRPr="008E2A7B">
        <w:rPr>
          <w:lang w:val="en-GB"/>
        </w:rPr>
        <w:t>/km. Light trucks, light buses and campers were also brought into the system of CO</w:t>
      </w:r>
      <w:r w:rsidRPr="008E2A7B">
        <w:rPr>
          <w:vertAlign w:val="subscript"/>
          <w:lang w:val="en-GB"/>
        </w:rPr>
        <w:t>2</w:t>
      </w:r>
      <w:r w:rsidRPr="008E2A7B">
        <w:rPr>
          <w:lang w:val="en-GB"/>
        </w:rPr>
        <w:t xml:space="preserve">-differentiated vehicle taxation as of 2011. The taxation of older cars and heavy trucks is mainly based on weight. The main purpose of the differentiation is to make car buyers chose cars with a low climate impact. </w:t>
      </w:r>
    </w:p>
    <w:p w14:paraId="566D6175" w14:textId="77777777" w:rsidR="00E44B68" w:rsidRPr="008E2A7B" w:rsidRDefault="00E44B68" w:rsidP="00DE2442">
      <w:pPr>
        <w:pStyle w:val="Brdtext"/>
        <w:contextualSpacing/>
        <w:rPr>
          <w:lang w:val="en-GB"/>
        </w:rPr>
      </w:pPr>
    </w:p>
    <w:p w14:paraId="349FCEFA" w14:textId="77777777" w:rsidR="00DE2442" w:rsidRPr="008E2A7B" w:rsidRDefault="00DE2442" w:rsidP="00DE2442">
      <w:pPr>
        <w:pStyle w:val="Brdtext"/>
        <w:contextualSpacing/>
        <w:rPr>
          <w:b/>
          <w:color w:val="000000"/>
          <w:lang w:val="en-GB"/>
        </w:rPr>
      </w:pPr>
      <w:r w:rsidRPr="008E2A7B">
        <w:rPr>
          <w:b/>
          <w:color w:val="000000"/>
          <w:lang w:val="en-GB"/>
        </w:rPr>
        <w:t xml:space="preserve">Lower benefit value on cars with advanced environmental technology </w:t>
      </w:r>
    </w:p>
    <w:p w14:paraId="00F12486" w14:textId="451BEDBA" w:rsidR="00DE2442" w:rsidRPr="008E2A7B" w:rsidRDefault="00DE2442" w:rsidP="00DE2442">
      <w:pPr>
        <w:pStyle w:val="Brdtext"/>
        <w:contextualSpacing/>
        <w:rPr>
          <w:lang w:val="en-GB"/>
        </w:rPr>
      </w:pPr>
      <w:r w:rsidRPr="008E2A7B">
        <w:rPr>
          <w:lang w:val="en-GB"/>
        </w:rPr>
        <w:t>Company-registered cars represent about 50% of new car registrations in Sweden. Approximately 50% of these cars are cars that are registered in the name of a company and made available to employees for privat</w:t>
      </w:r>
      <w:r w:rsidR="00574687" w:rsidRPr="008E2A7B">
        <w:rPr>
          <w:lang w:val="en-GB"/>
        </w:rPr>
        <w:t>e use.</w:t>
      </w:r>
    </w:p>
    <w:p w14:paraId="66FA686A" w14:textId="77777777" w:rsidR="00E44B68" w:rsidRPr="008E2A7B" w:rsidRDefault="00E44B68" w:rsidP="00DE2442">
      <w:pPr>
        <w:pStyle w:val="Brdtext"/>
        <w:contextualSpacing/>
        <w:rPr>
          <w:lang w:val="en-GB"/>
        </w:rPr>
      </w:pPr>
    </w:p>
    <w:p w14:paraId="3E12DDBB" w14:textId="77777777" w:rsidR="00DE2442" w:rsidRPr="008E2A7B" w:rsidRDefault="00DE2442" w:rsidP="00DE2442">
      <w:pPr>
        <w:pStyle w:val="Brdtext"/>
        <w:rPr>
          <w:lang w:val="en-GB"/>
        </w:rPr>
      </w:pPr>
      <w:r w:rsidRPr="008E2A7B">
        <w:rPr>
          <w:lang w:val="en-GB"/>
        </w:rPr>
        <w:t>The benefits of private use of a company car are subject to personal income taxes. The value of the benefit corresponds on average to the market value of the cost of owning the car.</w:t>
      </w:r>
    </w:p>
    <w:p w14:paraId="74D127DC" w14:textId="77777777" w:rsidR="00DE2442" w:rsidRPr="008E2A7B" w:rsidRDefault="00DE2442" w:rsidP="00DE2442">
      <w:pPr>
        <w:pStyle w:val="Brdtext"/>
        <w:rPr>
          <w:lang w:val="en-GB"/>
        </w:rPr>
      </w:pPr>
      <w:r w:rsidRPr="008E2A7B">
        <w:rPr>
          <w:lang w:val="en-GB"/>
        </w:rPr>
        <w:t xml:space="preserve">Fuel provided by the employer is taxed separately. The value of the benefit corresponds to 1.2 times the market value of the cost of fuel. </w:t>
      </w:r>
    </w:p>
    <w:p w14:paraId="16F308AD" w14:textId="77777777" w:rsidR="00DE2442" w:rsidRPr="008E2A7B" w:rsidRDefault="00DE2442" w:rsidP="00DE2442">
      <w:pPr>
        <w:pStyle w:val="Brdtext"/>
        <w:rPr>
          <w:lang w:val="en-GB"/>
        </w:rPr>
      </w:pPr>
      <w:r w:rsidRPr="008E2A7B">
        <w:rPr>
          <w:lang w:val="en-GB"/>
        </w:rPr>
        <w:t>To increase the incentive to purchase company cars that use environmental technologies, green cars receive relatively favourable tax treatment through the reduction of their benefit value. Typically, the benefit value is reduced to the (lower) level of a similar model without the environmental technology of the green car. This reduction is permanent.</w:t>
      </w:r>
    </w:p>
    <w:p w14:paraId="486907B6" w14:textId="537DC3A1" w:rsidR="00DE2442" w:rsidRPr="008E2A7B" w:rsidRDefault="00DE2442" w:rsidP="00DE2442">
      <w:pPr>
        <w:pStyle w:val="Brdtext"/>
        <w:rPr>
          <w:lang w:val="en-GB"/>
        </w:rPr>
      </w:pPr>
      <w:r w:rsidRPr="008E2A7B">
        <w:rPr>
          <w:lang w:val="en-GB"/>
        </w:rPr>
        <w:t>In addition to this reduction, the benefit value of electric cars, plug-in hybrids and cars powered by natural gas (other than liquefied petroleum gas) are provided an extra reduction of 40%, up to a maximum of SEK 10,000 applied until the end of 2020.</w:t>
      </w:r>
    </w:p>
    <w:p w14:paraId="0059AEDB" w14:textId="77777777" w:rsidR="00DE2442" w:rsidRPr="008E2A7B" w:rsidRDefault="00DE2442" w:rsidP="00DE2442">
      <w:pPr>
        <w:pStyle w:val="Brdtext"/>
        <w:contextualSpacing/>
        <w:rPr>
          <w:b/>
          <w:lang w:val="en-GB"/>
        </w:rPr>
      </w:pPr>
      <w:r w:rsidRPr="008E2A7B">
        <w:rPr>
          <w:b/>
          <w:lang w:val="en-GB"/>
        </w:rPr>
        <w:t xml:space="preserve">Electrical bus premium            </w:t>
      </w:r>
    </w:p>
    <w:p w14:paraId="06C582FA" w14:textId="1E90E193" w:rsidR="00DE2442" w:rsidRPr="008E2A7B" w:rsidRDefault="00DE2442" w:rsidP="00DE2442">
      <w:pPr>
        <w:pStyle w:val="Brdtext"/>
        <w:contextualSpacing/>
        <w:rPr>
          <w:lang w:val="en-GB"/>
        </w:rPr>
      </w:pPr>
      <w:r w:rsidRPr="008E2A7B">
        <w:rPr>
          <w:lang w:val="en-GB"/>
        </w:rPr>
        <w:t xml:space="preserve">Regional public transport agencies are eligible to apply for an electrical bus premium (SFS 2016:836). The premium applies for electrical busses for public transportation use. The size of the premium depends on the </w:t>
      </w:r>
      <w:r w:rsidRPr="008E2A7B">
        <w:rPr>
          <w:lang w:val="en-GB"/>
        </w:rPr>
        <w:lastRenderedPageBreak/>
        <w:t>number of passengers and whether the bus runs on electricity only or is a hybrid. In total, SEK 350 million has</w:t>
      </w:r>
      <w:r w:rsidR="00574687" w:rsidRPr="008E2A7B">
        <w:rPr>
          <w:lang w:val="en-GB"/>
        </w:rPr>
        <w:t xml:space="preserve"> been allocated for 2016–2019. </w:t>
      </w:r>
    </w:p>
    <w:p w14:paraId="7D28F6BE" w14:textId="0CB18FD8" w:rsidR="001370C1" w:rsidRDefault="001370C1" w:rsidP="00DE2442">
      <w:pPr>
        <w:pStyle w:val="Brdtext"/>
        <w:contextualSpacing/>
        <w:rPr>
          <w:b/>
          <w:bCs/>
          <w:color w:val="FF0000"/>
          <w:lang w:val="en-GB"/>
        </w:rPr>
      </w:pPr>
    </w:p>
    <w:p w14:paraId="74EC534E" w14:textId="77777777" w:rsidR="00DE2442" w:rsidRPr="008E2A7B" w:rsidRDefault="00DE2442" w:rsidP="00DE2442">
      <w:pPr>
        <w:pStyle w:val="Brdtext"/>
        <w:contextualSpacing/>
        <w:rPr>
          <w:b/>
          <w:bCs/>
          <w:color w:val="FF0000"/>
          <w:vertAlign w:val="superscript"/>
          <w:lang w:val="en-GB"/>
        </w:rPr>
      </w:pPr>
      <w:r w:rsidRPr="008E2A7B">
        <w:rPr>
          <w:b/>
          <w:bCs/>
          <w:color w:val="FF0000"/>
          <w:lang w:val="en-GB"/>
        </w:rPr>
        <w:t>Bonus</w:t>
      </w:r>
      <w:r w:rsidRPr="008E2A7B">
        <w:rPr>
          <w:b/>
          <w:bCs/>
          <w:color w:val="FF0000"/>
          <w:lang w:val="en-GB"/>
        </w:rPr>
        <w:noBreakHyphen/>
        <w:t>malus-system for new light vehicles</w:t>
      </w:r>
    </w:p>
    <w:p w14:paraId="4D3D5ABC" w14:textId="3FDD02B9" w:rsidR="00DE2442" w:rsidRPr="008E2A7B" w:rsidRDefault="00DE2442" w:rsidP="00DE2442">
      <w:pPr>
        <w:pStyle w:val="Brdtext"/>
        <w:contextualSpacing/>
        <w:rPr>
          <w:color w:val="FF0000"/>
          <w:lang w:val="en-GB"/>
        </w:rPr>
      </w:pPr>
      <w:r w:rsidRPr="008E2A7B">
        <w:rPr>
          <w:color w:val="FF0000"/>
          <w:lang w:val="en-GB"/>
        </w:rPr>
        <w:t>On 1 July 2018, a bonus-malus-system for new light vehicles will be introduced. Vehicles with low emissions of carbon dioxide will qualify for a bonus at purchase, while vehicles with high emissions of carbon dioxide will be taxed at a higher rate for the first three years. The system will replace the current tax exemption for environmentally friendly vehicl</w:t>
      </w:r>
      <w:r w:rsidR="00574687" w:rsidRPr="008E2A7B">
        <w:rPr>
          <w:color w:val="FF0000"/>
          <w:lang w:val="en-GB"/>
        </w:rPr>
        <w:t xml:space="preserve">es and super-green car rebate. </w:t>
      </w:r>
    </w:p>
    <w:p w14:paraId="72C8A912" w14:textId="77777777" w:rsidR="00E44B68" w:rsidRPr="008E2A7B" w:rsidRDefault="00E44B68" w:rsidP="00DE2442">
      <w:pPr>
        <w:pStyle w:val="Brdtext"/>
        <w:contextualSpacing/>
        <w:rPr>
          <w:color w:val="FF0000"/>
          <w:lang w:val="en-GB"/>
        </w:rPr>
      </w:pPr>
    </w:p>
    <w:p w14:paraId="45CECB18" w14:textId="5C2CD43A" w:rsidR="00DE2442" w:rsidRPr="008E2A7B" w:rsidRDefault="00DE2442" w:rsidP="00DE2442">
      <w:pPr>
        <w:pStyle w:val="Brdtext"/>
        <w:rPr>
          <w:color w:val="FF0000"/>
          <w:lang w:val="en-GB"/>
        </w:rPr>
      </w:pPr>
      <w:r w:rsidRPr="008E2A7B">
        <w:rPr>
          <w:b/>
          <w:color w:val="FF0000"/>
          <w:lang w:val="en-GB"/>
        </w:rPr>
        <w:t>Electric vehicle premium</w:t>
      </w:r>
      <w:r w:rsidRPr="008E2A7B">
        <w:rPr>
          <w:b/>
          <w:color w:val="FF0000"/>
          <w:lang w:val="en-GB"/>
        </w:rPr>
        <w:br/>
      </w:r>
      <w:r w:rsidRPr="008E2A7B">
        <w:rPr>
          <w:color w:val="FF0000"/>
          <w:lang w:val="en-GB"/>
        </w:rPr>
        <w:t xml:space="preserve">An </w:t>
      </w:r>
      <w:bookmarkStart w:id="27" w:name="_Hlk499209835"/>
      <w:r w:rsidRPr="00FF2209">
        <w:rPr>
          <w:b/>
          <w:color w:val="FF0000"/>
          <w:lang w:val="en-GB"/>
        </w:rPr>
        <w:t>‘</w:t>
      </w:r>
      <w:bookmarkEnd w:id="27"/>
      <w:r w:rsidRPr="008E2A7B">
        <w:rPr>
          <w:color w:val="FF0000"/>
          <w:lang w:val="en-GB"/>
        </w:rPr>
        <w:t xml:space="preserve">electric vehicle </w:t>
      </w:r>
      <w:r w:rsidRPr="00FF2209">
        <w:rPr>
          <w:color w:val="FF0000"/>
          <w:lang w:val="en-GB"/>
        </w:rPr>
        <w:t>premium</w:t>
      </w:r>
      <w:r w:rsidR="00FF2209" w:rsidRPr="00FF2209">
        <w:rPr>
          <w:color w:val="FF0000"/>
          <w:lang w:val="en-GB"/>
        </w:rPr>
        <w:t>’</w:t>
      </w:r>
      <w:r w:rsidRPr="008E2A7B">
        <w:rPr>
          <w:color w:val="FF0000"/>
          <w:lang w:val="en-GB"/>
        </w:rPr>
        <w:t xml:space="preserve"> is introduced in 2018 to improve the possibilities of commuting and transportation with electric bicycles or electric scooters. The Government is allocating SEK 350 million per year 2018-2020 for a prem</w:t>
      </w:r>
      <w:r w:rsidR="00BB1579">
        <w:rPr>
          <w:color w:val="FF0000"/>
          <w:lang w:val="en-GB"/>
        </w:rPr>
        <w:t>ium that covers up to 25%</w:t>
      </w:r>
      <w:r w:rsidRPr="008E2A7B">
        <w:rPr>
          <w:color w:val="FF0000"/>
          <w:lang w:val="en-GB"/>
        </w:rPr>
        <w:t xml:space="preserve"> of the purchase price. The electric vehicle premium makes it possible to commute longer distances by bike and aims at making large groups less car dependent.</w:t>
      </w:r>
    </w:p>
    <w:p w14:paraId="295227AB" w14:textId="77777777" w:rsidR="00DE2442" w:rsidRPr="008E2A7B" w:rsidRDefault="00DE2442" w:rsidP="00DE2442">
      <w:pPr>
        <w:pStyle w:val="Brdtext"/>
        <w:contextualSpacing/>
        <w:rPr>
          <w:b/>
          <w:color w:val="FF0000"/>
          <w:lang w:val="en-GB"/>
        </w:rPr>
      </w:pPr>
      <w:r w:rsidRPr="008E2A7B">
        <w:rPr>
          <w:b/>
          <w:color w:val="FF0000"/>
          <w:lang w:val="en-GB"/>
        </w:rPr>
        <w:t>Charge at home-grant</w:t>
      </w:r>
    </w:p>
    <w:p w14:paraId="5E566F95" w14:textId="11C5D3BF" w:rsidR="00DE2442" w:rsidRPr="008E2A7B" w:rsidRDefault="00DE2442" w:rsidP="00DE2442">
      <w:pPr>
        <w:pStyle w:val="Brdtext"/>
        <w:contextualSpacing/>
        <w:rPr>
          <w:color w:val="FF0000"/>
          <w:lang w:val="en-GB"/>
        </w:rPr>
      </w:pPr>
      <w:r w:rsidRPr="008E2A7B">
        <w:rPr>
          <w:color w:val="FF0000"/>
          <w:lang w:val="en-GB"/>
        </w:rPr>
        <w:t>The government allocates SEK 90 million annually between 2018–2020 to support households that invest in installations of charging points for electric vehicles. Private individuals recei</w:t>
      </w:r>
      <w:r w:rsidR="00BB1579">
        <w:rPr>
          <w:color w:val="FF0000"/>
          <w:lang w:val="en-GB"/>
        </w:rPr>
        <w:t>ve a rebate equalling 50%</w:t>
      </w:r>
      <w:r w:rsidRPr="008E2A7B">
        <w:rPr>
          <w:color w:val="FF0000"/>
          <w:lang w:val="en-GB"/>
        </w:rPr>
        <w:t xml:space="preserve"> of costs for buying and/or installing charging stations for electric vehicles in their homes. The maximum rebate is SEK 10 000. The aim of the rebate is to make it easier and cheaper for households to switch to more susta</w:t>
      </w:r>
      <w:r w:rsidR="00574687" w:rsidRPr="008E2A7B">
        <w:rPr>
          <w:color w:val="FF0000"/>
          <w:lang w:val="en-GB"/>
        </w:rPr>
        <w:t>inable modes of transportation.</w:t>
      </w:r>
    </w:p>
    <w:p w14:paraId="74E1AEEB" w14:textId="77777777" w:rsidR="00E44B68" w:rsidRPr="008E2A7B" w:rsidRDefault="00E44B68" w:rsidP="00DE2442">
      <w:pPr>
        <w:pStyle w:val="Brdtext"/>
        <w:contextualSpacing/>
        <w:rPr>
          <w:color w:val="FF0000"/>
          <w:lang w:val="en-GB"/>
        </w:rPr>
      </w:pPr>
    </w:p>
    <w:p w14:paraId="350390A1" w14:textId="77777777" w:rsidR="00DE2442" w:rsidRPr="008E2A7B" w:rsidRDefault="00DE2442" w:rsidP="00DE2442">
      <w:pPr>
        <w:pStyle w:val="Brdtext"/>
        <w:rPr>
          <w:color w:val="FF0000"/>
          <w:lang w:val="en-GB"/>
        </w:rPr>
      </w:pPr>
      <w:r w:rsidRPr="008E2A7B">
        <w:rPr>
          <w:b/>
          <w:color w:val="FF0000"/>
          <w:lang w:val="en-GB"/>
        </w:rPr>
        <w:t>Fossil-free transport solutions</w:t>
      </w:r>
      <w:r w:rsidRPr="008E2A7B">
        <w:rPr>
          <w:b/>
          <w:color w:val="FF0000"/>
          <w:lang w:val="en-GB"/>
        </w:rPr>
        <w:br/>
      </w:r>
      <w:r w:rsidRPr="008E2A7B">
        <w:rPr>
          <w:color w:val="FF0000"/>
          <w:lang w:val="en-GB"/>
        </w:rPr>
        <w:t>The government allocates SEK 1 billion 2018–2023 to a commitment to the development of fossil-free transport solutions. The investment will support the switch to an electrified transport sector and develop sustainable solutions for electric cars and other electric vehicles including batteries. The investment also refers to developments in biogas.</w:t>
      </w:r>
    </w:p>
    <w:p w14:paraId="64D040BC" w14:textId="7C79791B" w:rsidR="00DE2442" w:rsidRPr="008E2A7B" w:rsidRDefault="00722FEC" w:rsidP="00DE2442">
      <w:pPr>
        <w:pStyle w:val="Brdtext"/>
        <w:rPr>
          <w:lang w:val="en-GB"/>
        </w:rPr>
      </w:pPr>
      <w:r w:rsidRPr="008E2A7B">
        <w:rPr>
          <w:b/>
          <w:lang w:val="en-GB"/>
        </w:rPr>
        <w:t>Coordination of the transition to a fossil-free transport sector</w:t>
      </w:r>
      <w:r w:rsidRPr="008E2A7B">
        <w:rPr>
          <w:b/>
          <w:lang w:val="en-GB"/>
        </w:rPr>
        <w:br/>
      </w:r>
      <w:r w:rsidRPr="008E2A7B">
        <w:rPr>
          <w:lang w:val="en-GB"/>
        </w:rPr>
        <w:t xml:space="preserve">The Swedish Energy Agency received the task of coordinating and preparing a strategic plan for the transition to a fossil-free transport sector together with five other authorities (the Swedish </w:t>
      </w:r>
      <w:r w:rsidRPr="008E2A7B">
        <w:rPr>
          <w:bCs/>
          <w:lang w:val="en-GB"/>
        </w:rPr>
        <w:t>National Board of Housing, Building and Planning</w:t>
      </w:r>
      <w:r w:rsidRPr="008E2A7B">
        <w:rPr>
          <w:lang w:val="en-GB"/>
        </w:rPr>
        <w:t>, the Swedish Environmental Protection Agency, Transport Analysis, the Swedish Transport Administration and the Swedish Transport Agency) in 2016. The Swedish Energy Agency has received SEK 3 million per year between 2016 and 2019 for this task. The strategic plan was delivered in April 2017 and now the work proceeds to implement the plan.</w:t>
      </w:r>
    </w:p>
    <w:p w14:paraId="5D834FF9" w14:textId="77777777" w:rsidR="00EC784E" w:rsidRDefault="00EC784E" w:rsidP="00DE2442">
      <w:pPr>
        <w:pStyle w:val="Brdtext"/>
        <w:contextualSpacing/>
        <w:rPr>
          <w:b/>
          <w:iCs/>
          <w:lang w:val="en-GB"/>
        </w:rPr>
      </w:pPr>
    </w:p>
    <w:p w14:paraId="24505ABE" w14:textId="77777777" w:rsidR="00DE2442" w:rsidRPr="008E2A7B" w:rsidRDefault="00DE2442" w:rsidP="00DE2442">
      <w:pPr>
        <w:pStyle w:val="Brdtext"/>
        <w:contextualSpacing/>
        <w:rPr>
          <w:b/>
          <w:iCs/>
          <w:lang w:val="en-GB"/>
        </w:rPr>
      </w:pPr>
      <w:r w:rsidRPr="008E2A7B">
        <w:rPr>
          <w:b/>
          <w:iCs/>
          <w:lang w:val="en-GB"/>
        </w:rPr>
        <w:lastRenderedPageBreak/>
        <w:t>Urban environment agreements</w:t>
      </w:r>
    </w:p>
    <w:p w14:paraId="39B5FAD3" w14:textId="77777777" w:rsidR="00633881" w:rsidRPr="008E2A7B" w:rsidRDefault="00DE2442" w:rsidP="00633881">
      <w:pPr>
        <w:pStyle w:val="Brdtext"/>
        <w:contextualSpacing/>
        <w:rPr>
          <w:lang w:val="en-GB"/>
        </w:rPr>
      </w:pPr>
      <w:r w:rsidRPr="008E2A7B">
        <w:rPr>
          <w:lang w:val="en-GB"/>
        </w:rPr>
        <w:t>Urban environment agreements are a scheme for investments in public transport and cycling infrastructure at the regional and local level in Sweden. The scheme commenced in 2015 and will continue until 2018. Municipalities are eligible to apply for grants to cover part of the investment costs for public transport infrastructure. The investment should be coupled with other actions aiming at increasing the long-term sustainability of urban areas and the transport system. These actions can include increased accessibility through public transport, urban planning for increased cycling and walking, lower vehicle speeds, parking policies and pricing. The scheme is administered by the Swedish Transport Administration with a tot</w:t>
      </w:r>
      <w:r w:rsidR="00633881" w:rsidRPr="008E2A7B">
        <w:rPr>
          <w:lang w:val="en-GB"/>
        </w:rPr>
        <w:t xml:space="preserve">al budget of SEK 2.75 billion. </w:t>
      </w:r>
    </w:p>
    <w:p w14:paraId="1564354A" w14:textId="77777777" w:rsidR="00633881" w:rsidRPr="008E2A7B" w:rsidRDefault="00633881" w:rsidP="00633881">
      <w:pPr>
        <w:pStyle w:val="Brdtext"/>
        <w:contextualSpacing/>
        <w:rPr>
          <w:lang w:val="en-GB"/>
        </w:rPr>
      </w:pPr>
    </w:p>
    <w:p w14:paraId="25F80C2B" w14:textId="77777777" w:rsidR="00DE2442" w:rsidRPr="008E2A7B" w:rsidRDefault="00DE2442" w:rsidP="00633881">
      <w:pPr>
        <w:pStyle w:val="Brdtext"/>
        <w:contextualSpacing/>
        <w:rPr>
          <w:lang w:val="en-GB"/>
        </w:rPr>
      </w:pPr>
      <w:r w:rsidRPr="008E2A7B">
        <w:rPr>
          <w:b/>
          <w:color w:val="000000"/>
          <w:lang w:val="en-GB"/>
        </w:rPr>
        <w:t xml:space="preserve">Consideration of climate in long-term infrastructure planning </w:t>
      </w:r>
    </w:p>
    <w:p w14:paraId="37F79388" w14:textId="77777777" w:rsidR="00DE2442" w:rsidRPr="008E2A7B" w:rsidRDefault="00DE2442" w:rsidP="00633881">
      <w:pPr>
        <w:pStyle w:val="Brdtext"/>
        <w:contextualSpacing/>
        <w:rPr>
          <w:color w:val="000000"/>
          <w:lang w:val="en-GB"/>
        </w:rPr>
      </w:pPr>
      <w:r w:rsidRPr="008E2A7B">
        <w:rPr>
          <w:color w:val="000000"/>
          <w:lang w:val="en-GB"/>
        </w:rPr>
        <w:t>In 2016, the Swedish Parliament decided on a new national infrastructure plan for 2018–2029, to be implemented by The Swedish Transport Administration with other actors.  The Swedish Transport Administration is responsible for long-term planning of all modes of transport. Planning is undertaken in dialogue with local and regional planning bodies. Under the Planning and Building Act (SFS 2010:900), too, there is a clear requirement to take environmental and climate issues into account in planning.</w:t>
      </w:r>
    </w:p>
    <w:p w14:paraId="110B1EFB" w14:textId="77777777" w:rsidR="00633881" w:rsidRPr="008E2A7B" w:rsidRDefault="00633881" w:rsidP="00633881">
      <w:pPr>
        <w:pStyle w:val="Brdtext"/>
        <w:contextualSpacing/>
        <w:rPr>
          <w:color w:val="000000"/>
          <w:lang w:val="en-GB"/>
        </w:rPr>
      </w:pPr>
    </w:p>
    <w:p w14:paraId="2FE38DF1" w14:textId="77777777" w:rsidR="00DE2442" w:rsidRPr="008E2A7B" w:rsidRDefault="00DE2442" w:rsidP="00633881">
      <w:pPr>
        <w:pStyle w:val="Brdtext"/>
        <w:contextualSpacing/>
        <w:rPr>
          <w:b/>
          <w:bCs/>
          <w:color w:val="FF0000"/>
          <w:lang w:val="en-GB"/>
        </w:rPr>
      </w:pPr>
      <w:r w:rsidRPr="008E2A7B">
        <w:rPr>
          <w:b/>
          <w:bCs/>
          <w:color w:val="FF0000"/>
          <w:lang w:val="en-GB"/>
        </w:rPr>
        <w:t>Eco-bonus system for heavy transports</w:t>
      </w:r>
    </w:p>
    <w:p w14:paraId="7FD099AE" w14:textId="1B81D086" w:rsidR="00DE2442" w:rsidRPr="008E2A7B" w:rsidRDefault="00DE2442" w:rsidP="00633881">
      <w:pPr>
        <w:pStyle w:val="Brdtext"/>
        <w:contextualSpacing/>
        <w:rPr>
          <w:color w:val="FF0000"/>
          <w:lang w:val="en-GB"/>
        </w:rPr>
      </w:pPr>
      <w:r w:rsidRPr="008E2A7B">
        <w:rPr>
          <w:color w:val="FF0000"/>
          <w:lang w:val="en-GB"/>
        </w:rPr>
        <w:t>In order to stimulate the transfer of freight transport by road to shipping a temporary Eco-bonus system has been introduced. The aim of the system is to reduce greenhouse gas emissions from heavy transports. The Government is allocating SEK 150 million for Eco-bo</w:t>
      </w:r>
      <w:r w:rsidR="00574687" w:rsidRPr="008E2A7B">
        <w:rPr>
          <w:color w:val="FF0000"/>
          <w:lang w:val="en-GB"/>
        </w:rPr>
        <w:t xml:space="preserve">nus over the period 2018-2020. </w:t>
      </w:r>
    </w:p>
    <w:p w14:paraId="6DDD539F" w14:textId="77777777" w:rsidR="00633881" w:rsidRPr="008E2A7B" w:rsidRDefault="00633881" w:rsidP="00633881">
      <w:pPr>
        <w:pStyle w:val="Brdtext"/>
        <w:contextualSpacing/>
        <w:rPr>
          <w:color w:val="FF0000"/>
          <w:lang w:val="en-GB"/>
        </w:rPr>
      </w:pPr>
    </w:p>
    <w:p w14:paraId="4795DF90" w14:textId="392F2ADA" w:rsidR="00DE2442" w:rsidRPr="008E2A7B" w:rsidRDefault="00574687" w:rsidP="00DE2442">
      <w:pPr>
        <w:pStyle w:val="Brdtext"/>
        <w:rPr>
          <w:b/>
          <w:u w:val="single"/>
          <w:lang w:val="en-GB"/>
        </w:rPr>
      </w:pPr>
      <w:r w:rsidRPr="008E2A7B">
        <w:rPr>
          <w:b/>
          <w:u w:val="single"/>
          <w:lang w:val="en-GB"/>
        </w:rPr>
        <w:t>Waste sector</w:t>
      </w:r>
    </w:p>
    <w:p w14:paraId="623E6665" w14:textId="77777777" w:rsidR="00DE2442" w:rsidRPr="008E2A7B" w:rsidRDefault="00DE2442" w:rsidP="00633881">
      <w:pPr>
        <w:pStyle w:val="Brdtext"/>
        <w:contextualSpacing/>
        <w:rPr>
          <w:b/>
          <w:lang w:val="en-GB"/>
        </w:rPr>
      </w:pPr>
      <w:r w:rsidRPr="008E2A7B">
        <w:rPr>
          <w:b/>
          <w:lang w:val="en-GB"/>
        </w:rPr>
        <w:t>Landfill tax</w:t>
      </w:r>
    </w:p>
    <w:p w14:paraId="6B50DDE5" w14:textId="240FEEA3" w:rsidR="00DE2442" w:rsidRPr="008E2A7B" w:rsidRDefault="00DE2442" w:rsidP="00633881">
      <w:pPr>
        <w:pStyle w:val="Brdtext"/>
        <w:contextualSpacing/>
        <w:rPr>
          <w:rFonts w:ascii="Arial" w:hAnsi="Arial" w:cs="Arial"/>
          <w:lang w:val="en-GB"/>
        </w:rPr>
      </w:pPr>
      <w:r w:rsidRPr="008E2A7B">
        <w:rPr>
          <w:lang w:val="en-GB"/>
        </w:rPr>
        <w:t>In 2000 a tax of SEK 250 per tonne landfilled waste was imposed on waste disposal to landfill (SFS 1999:673). The landfill tax has been increased gradually, and is since January 2015 SEK 500 per tonne landfilled waste.</w:t>
      </w:r>
      <w:r w:rsidR="00574687" w:rsidRPr="008E2A7B">
        <w:rPr>
          <w:rFonts w:ascii="Arial" w:hAnsi="Arial" w:cs="Arial"/>
          <w:lang w:val="en-GB"/>
        </w:rPr>
        <w:t xml:space="preserve"> </w:t>
      </w:r>
    </w:p>
    <w:p w14:paraId="1DE72A9E" w14:textId="77777777" w:rsidR="00633881" w:rsidRPr="008E2A7B" w:rsidRDefault="00633881" w:rsidP="00633881">
      <w:pPr>
        <w:pStyle w:val="Brdtext"/>
        <w:contextualSpacing/>
        <w:rPr>
          <w:rFonts w:ascii="Arial" w:hAnsi="Arial" w:cs="Arial"/>
          <w:lang w:val="en-GB"/>
        </w:rPr>
      </w:pPr>
    </w:p>
    <w:p w14:paraId="185D815F" w14:textId="77777777" w:rsidR="00DE2442" w:rsidRPr="008E2A7B" w:rsidRDefault="00DE2442" w:rsidP="00633881">
      <w:pPr>
        <w:pStyle w:val="Brdtext"/>
        <w:contextualSpacing/>
        <w:rPr>
          <w:b/>
          <w:lang w:val="en-GB"/>
        </w:rPr>
      </w:pPr>
      <w:r w:rsidRPr="008E2A7B">
        <w:rPr>
          <w:b/>
          <w:lang w:val="en-GB"/>
        </w:rPr>
        <w:t xml:space="preserve">Ban on landfilling combustible and organic materials and methane collection </w:t>
      </w:r>
    </w:p>
    <w:p w14:paraId="20B704AE" w14:textId="65640D63" w:rsidR="00DE2442" w:rsidRPr="008E2A7B" w:rsidRDefault="00DE2442" w:rsidP="00633881">
      <w:pPr>
        <w:pStyle w:val="Brdtext"/>
        <w:contextualSpacing/>
        <w:rPr>
          <w:lang w:val="en-GB"/>
        </w:rPr>
      </w:pPr>
      <w:r w:rsidRPr="008E2A7B">
        <w:rPr>
          <w:lang w:val="en-GB"/>
        </w:rPr>
        <w:t xml:space="preserve">Under the Swedish Ordinance on the Landfill of Waste (SFS 2001:512), a ban on landfilling combustible materials was introduced in 2002 and a similar ban was imposed for organic material in 2005. The ordinance also regulates the collection and disposal of methane gas from landfills. </w:t>
      </w:r>
    </w:p>
    <w:p w14:paraId="2F0AA064" w14:textId="77777777" w:rsidR="00633881" w:rsidRPr="008E2A7B" w:rsidRDefault="00633881" w:rsidP="00633881">
      <w:pPr>
        <w:pStyle w:val="Brdtext"/>
        <w:contextualSpacing/>
        <w:rPr>
          <w:lang w:val="en-GB"/>
        </w:rPr>
      </w:pPr>
    </w:p>
    <w:p w14:paraId="3C5A2AEB" w14:textId="77777777" w:rsidR="00EC784E" w:rsidRDefault="00EC784E" w:rsidP="00633881">
      <w:pPr>
        <w:pStyle w:val="Brdtext"/>
        <w:contextualSpacing/>
        <w:rPr>
          <w:b/>
          <w:lang w:val="en-GB"/>
        </w:rPr>
      </w:pPr>
    </w:p>
    <w:p w14:paraId="36464BAF" w14:textId="77777777" w:rsidR="00EC784E" w:rsidRDefault="00EC784E" w:rsidP="00633881">
      <w:pPr>
        <w:pStyle w:val="Brdtext"/>
        <w:contextualSpacing/>
        <w:rPr>
          <w:b/>
          <w:lang w:val="en-GB"/>
        </w:rPr>
      </w:pPr>
    </w:p>
    <w:p w14:paraId="0035BB6F" w14:textId="77777777" w:rsidR="00DE2442" w:rsidRPr="008E2A7B" w:rsidRDefault="00DE2442" w:rsidP="00633881">
      <w:pPr>
        <w:pStyle w:val="Brdtext"/>
        <w:contextualSpacing/>
        <w:rPr>
          <w:b/>
          <w:lang w:val="en-GB"/>
        </w:rPr>
      </w:pPr>
      <w:r w:rsidRPr="008E2A7B">
        <w:rPr>
          <w:b/>
          <w:lang w:val="en-GB"/>
        </w:rPr>
        <w:lastRenderedPageBreak/>
        <w:t>Extended producer responsibility</w:t>
      </w:r>
    </w:p>
    <w:p w14:paraId="28643D89" w14:textId="77777777" w:rsidR="00633881" w:rsidRPr="008E2A7B" w:rsidRDefault="00DE2442" w:rsidP="00DE2442">
      <w:pPr>
        <w:pStyle w:val="Brdtext"/>
        <w:contextualSpacing/>
        <w:rPr>
          <w:lang w:val="en-GB"/>
        </w:rPr>
      </w:pPr>
      <w:r w:rsidRPr="008E2A7B">
        <w:rPr>
          <w:lang w:val="en-GB"/>
        </w:rPr>
        <w:t>A set of ordinances mandates extended producer responsibility for producers of eight product groups. Producer responsibility promotes sorting, collection and recycling of certain waste flows</w:t>
      </w:r>
      <w:r w:rsidRPr="008E2A7B">
        <w:rPr>
          <w:rStyle w:val="Fotnotsreferens"/>
          <w:lang w:val="en-GB"/>
        </w:rPr>
        <w:footnoteReference w:id="18"/>
      </w:r>
      <w:r w:rsidRPr="008E2A7B">
        <w:rPr>
          <w:lang w:val="en-GB"/>
        </w:rPr>
        <w:t>. Producer responsibility aims to incentivise producers to develop more resource-efficient products that are easier to recycle and do not contain environmentally hazardous substances. It also aims to reduce the amount of waste. The legislation on extended producer responsibility contains national targets for recycling, and has resulted in increased separated collection of waste fractions and increased recycling (apart from pharmaceuticals and radioactive products, where t</w:t>
      </w:r>
      <w:r w:rsidR="00633881" w:rsidRPr="008E2A7B">
        <w:rPr>
          <w:lang w:val="en-GB"/>
        </w:rPr>
        <w:t xml:space="preserve">here are no specific targets). </w:t>
      </w:r>
    </w:p>
    <w:p w14:paraId="28996AB1" w14:textId="77777777" w:rsidR="00633881" w:rsidRPr="008E2A7B" w:rsidRDefault="00633881" w:rsidP="00DE2442">
      <w:pPr>
        <w:pStyle w:val="Brdtext"/>
        <w:contextualSpacing/>
        <w:rPr>
          <w:lang w:val="en-GB"/>
        </w:rPr>
      </w:pPr>
    </w:p>
    <w:p w14:paraId="209ED9D3" w14:textId="77777777" w:rsidR="00DE2442" w:rsidRPr="008E2A7B" w:rsidRDefault="00DE2442" w:rsidP="00DE2442">
      <w:pPr>
        <w:pStyle w:val="Brdtext"/>
        <w:contextualSpacing/>
        <w:rPr>
          <w:lang w:val="en-GB"/>
        </w:rPr>
      </w:pPr>
      <w:r w:rsidRPr="008E2A7B">
        <w:rPr>
          <w:b/>
          <w:lang w:val="en-GB"/>
        </w:rPr>
        <w:t>The municipal waste planning requirement</w:t>
      </w:r>
    </w:p>
    <w:p w14:paraId="5BDCC546" w14:textId="77FF2E91" w:rsidR="00DE2442" w:rsidRPr="008E2A7B" w:rsidRDefault="00DE2442" w:rsidP="00DE2442">
      <w:pPr>
        <w:pStyle w:val="Brdtext"/>
        <w:rPr>
          <w:lang w:val="en-GB"/>
        </w:rPr>
      </w:pPr>
      <w:r w:rsidRPr="008E2A7B">
        <w:rPr>
          <w:lang w:val="en-GB"/>
        </w:rPr>
        <w:t>Since 1991, there has been a requirement that all the municipalities in Sweden must have their own municipal waste plan. A Swedish EPA regulation (NFS 2006:6) sets out the minimum requirements of what each municipality must include in its waste plan, such as a description of the current situation, recycling plants and landfills, environmental assessment, measures and monitoring. Both the national waste plan</w:t>
      </w:r>
      <w:r w:rsidR="00046BB7">
        <w:rPr>
          <w:rStyle w:val="Fotnotsreferens"/>
          <w:lang w:val="en-GB"/>
        </w:rPr>
        <w:footnoteReference w:id="19"/>
      </w:r>
      <w:r w:rsidRPr="008E2A7B">
        <w:rPr>
          <w:lang w:val="en-GB"/>
        </w:rPr>
        <w:t xml:space="preserve"> and the national prevention programme</w:t>
      </w:r>
      <w:r w:rsidR="00046BB7">
        <w:rPr>
          <w:rStyle w:val="Fotnotsreferens"/>
          <w:lang w:val="en-GB"/>
        </w:rPr>
        <w:footnoteReference w:id="20"/>
      </w:r>
      <w:r w:rsidRPr="008E2A7B">
        <w:rPr>
          <w:lang w:val="en-GB"/>
        </w:rPr>
        <w:t xml:space="preserve"> act as guidance for the municipalities in developing their local plans and d</w:t>
      </w:r>
      <w:r w:rsidR="00574687" w:rsidRPr="008E2A7B">
        <w:rPr>
          <w:lang w:val="en-GB"/>
        </w:rPr>
        <w:t>eciding on prioritised actions.</w:t>
      </w:r>
    </w:p>
    <w:p w14:paraId="280E6EB5" w14:textId="52D79BB6" w:rsidR="00DE2442" w:rsidRPr="008E2A7B" w:rsidRDefault="00574687" w:rsidP="00DE2442">
      <w:pPr>
        <w:pStyle w:val="Brdtext"/>
        <w:rPr>
          <w:b/>
          <w:u w:val="single"/>
          <w:lang w:val="en-GB"/>
        </w:rPr>
      </w:pPr>
      <w:r w:rsidRPr="008E2A7B">
        <w:rPr>
          <w:b/>
          <w:u w:val="single"/>
          <w:lang w:val="en-GB"/>
        </w:rPr>
        <w:t>Agriculture</w:t>
      </w:r>
    </w:p>
    <w:p w14:paraId="3F88FFCC" w14:textId="77777777" w:rsidR="00DE2442" w:rsidRPr="008E2A7B" w:rsidRDefault="00DE2442" w:rsidP="00633881">
      <w:pPr>
        <w:pStyle w:val="Brdtext"/>
        <w:contextualSpacing/>
        <w:rPr>
          <w:b/>
          <w:lang w:val="en-GB"/>
        </w:rPr>
      </w:pPr>
      <w:r w:rsidRPr="008E2A7B">
        <w:rPr>
          <w:b/>
          <w:lang w:val="en-GB"/>
        </w:rPr>
        <w:t xml:space="preserve">Rural Development Programme 2014-2020 </w:t>
      </w:r>
    </w:p>
    <w:p w14:paraId="32A6BDB8" w14:textId="5A1DA14B" w:rsidR="00DE2442" w:rsidRPr="008E2A7B" w:rsidRDefault="00DE2442" w:rsidP="00633881">
      <w:pPr>
        <w:pStyle w:val="Brdtext"/>
        <w:contextualSpacing/>
        <w:rPr>
          <w:lang w:val="en-GB"/>
        </w:rPr>
      </w:pPr>
      <w:r w:rsidRPr="008E2A7B">
        <w:rPr>
          <w:lang w:val="en-GB"/>
        </w:rPr>
        <w:t>The Swedish Government decided on a new Rural Development Programme in June 2014. The programme for 2014–2020 includes investment grants for young entrepreneurs, capacity building, cooperation and innovation, support to areas with natural constraints, animal welfare subsidies, ecological farming, and environmental and climate actions. Measures specifically contributing to climate change mitigation include those aimed at: increasing energy efficiency; production and use of renewable energy (including biogas production and establishment of perennial energy crops); conversion from fossil to renewable energy sources; improved manure handling; more efficient use of nitrogen; climate and energy advice; measures to prevent the risk of nitrogen leakage; restoration and establishment of wetlands; sustainable perennial grass ley with reduced soil tillage; and other separate projects relating to climate and energy. The programme budget totals SEK 36 billion, of which 59% is financed by Sweden a</w:t>
      </w:r>
      <w:r w:rsidR="00574687" w:rsidRPr="008E2A7B">
        <w:rPr>
          <w:lang w:val="en-GB"/>
        </w:rPr>
        <w:t>nd the remaining 41% by the EU.</w:t>
      </w:r>
    </w:p>
    <w:p w14:paraId="2FC90A26" w14:textId="77777777" w:rsidR="00633881" w:rsidRPr="008E2A7B" w:rsidRDefault="00633881" w:rsidP="00633881">
      <w:pPr>
        <w:pStyle w:val="Brdtext"/>
        <w:contextualSpacing/>
        <w:rPr>
          <w:lang w:val="en-GB"/>
        </w:rPr>
      </w:pPr>
    </w:p>
    <w:p w14:paraId="41C90C9E" w14:textId="77777777" w:rsidR="00DE2442" w:rsidRPr="008E2A7B" w:rsidRDefault="00DE2442" w:rsidP="00633881">
      <w:pPr>
        <w:pStyle w:val="Brdtext"/>
        <w:contextualSpacing/>
        <w:rPr>
          <w:b/>
          <w:lang w:val="en-GB"/>
        </w:rPr>
      </w:pPr>
      <w:r w:rsidRPr="008E2A7B">
        <w:rPr>
          <w:b/>
          <w:lang w:val="en-GB"/>
        </w:rPr>
        <w:t xml:space="preserve">Rural network </w:t>
      </w:r>
    </w:p>
    <w:p w14:paraId="6B01B981" w14:textId="186FECFF" w:rsidR="00DE2442" w:rsidRPr="008E2A7B" w:rsidRDefault="00DE2442" w:rsidP="00633881">
      <w:pPr>
        <w:pStyle w:val="Brdtext"/>
        <w:contextualSpacing/>
        <w:rPr>
          <w:lang w:val="en-GB"/>
        </w:rPr>
      </w:pPr>
      <w:r w:rsidRPr="008E2A7B">
        <w:rPr>
          <w:lang w:val="en-GB"/>
        </w:rPr>
        <w:t>The rural network complements the Swedish Rural Development Programme, the Ocean and Fishery Programme, and the programme for local leadership development in the Social fund and Regional fund. The network brings together actors at the local, regional and central levels for exchanging information and experiences. The network is intended to reinforce impl</w:t>
      </w:r>
      <w:r w:rsidR="00574687" w:rsidRPr="008E2A7B">
        <w:rPr>
          <w:lang w:val="en-GB"/>
        </w:rPr>
        <w:t>ementation of these programmes.</w:t>
      </w:r>
    </w:p>
    <w:p w14:paraId="0677E315" w14:textId="77777777" w:rsidR="00B30354" w:rsidRPr="008E2A7B" w:rsidRDefault="00B30354" w:rsidP="00633881">
      <w:pPr>
        <w:pStyle w:val="Brdtext"/>
        <w:contextualSpacing/>
        <w:rPr>
          <w:b/>
          <w:color w:val="181716"/>
          <w:lang w:val="en-GB"/>
        </w:rPr>
      </w:pPr>
    </w:p>
    <w:p w14:paraId="3C36777C" w14:textId="77777777" w:rsidR="00DE2442" w:rsidRPr="008E2A7B" w:rsidRDefault="00DE2442" w:rsidP="00633881">
      <w:pPr>
        <w:pStyle w:val="Brdtext"/>
        <w:contextualSpacing/>
        <w:rPr>
          <w:b/>
          <w:color w:val="181716"/>
          <w:lang w:val="en-GB"/>
        </w:rPr>
      </w:pPr>
      <w:r w:rsidRPr="008E2A7B">
        <w:rPr>
          <w:b/>
          <w:color w:val="181716"/>
          <w:lang w:val="en-GB"/>
        </w:rPr>
        <w:t>‘Focus on Nutrients’ advisory service</w:t>
      </w:r>
    </w:p>
    <w:p w14:paraId="6410CC35" w14:textId="4185B860" w:rsidR="00DE2442" w:rsidRPr="008E2A7B" w:rsidRDefault="00DE2442" w:rsidP="00633881">
      <w:pPr>
        <w:pStyle w:val="Brdtext"/>
        <w:contextualSpacing/>
        <w:rPr>
          <w:color w:val="181716"/>
          <w:lang w:val="en-GB"/>
        </w:rPr>
      </w:pPr>
      <w:r w:rsidRPr="008E2A7B">
        <w:rPr>
          <w:color w:val="181716"/>
          <w:lang w:val="en-GB"/>
        </w:rPr>
        <w:t xml:space="preserve">Financed by the Swedish Rural Development Programme, the Swedish Board of Agriculture offers an advisory service called ‘Focus on Nutrients’ together with the Federation of Swedish Farmers and the County Administrative Boards of Sweden. The service started in 2001, with an initial focus on advice for higher nutrient efficiency in order to reduce nutrient leaching. Today, it also provides advice specifically targeting GHG emission reductions and energy efficiency as reducing GHG emissions has become one of the main objectives of the service. </w:t>
      </w:r>
    </w:p>
    <w:p w14:paraId="2E2DF143" w14:textId="77777777" w:rsidR="00633881" w:rsidRPr="008E2A7B" w:rsidRDefault="00633881" w:rsidP="00633881">
      <w:pPr>
        <w:pStyle w:val="Brdtext"/>
        <w:contextualSpacing/>
        <w:rPr>
          <w:color w:val="181716"/>
          <w:lang w:val="en-GB"/>
        </w:rPr>
      </w:pPr>
    </w:p>
    <w:p w14:paraId="2E572C72" w14:textId="77777777" w:rsidR="00DE2442" w:rsidRPr="008E2A7B" w:rsidRDefault="00DE2442" w:rsidP="00633881">
      <w:pPr>
        <w:pStyle w:val="Brdtext"/>
        <w:contextualSpacing/>
        <w:rPr>
          <w:b/>
          <w:lang w:val="en-GB"/>
        </w:rPr>
      </w:pPr>
      <w:r w:rsidRPr="008E2A7B">
        <w:rPr>
          <w:b/>
          <w:lang w:val="en-GB"/>
        </w:rPr>
        <w:t xml:space="preserve">Support for biogas production </w:t>
      </w:r>
    </w:p>
    <w:p w14:paraId="2EDEC365" w14:textId="78BFE174" w:rsidR="00DE2442" w:rsidRPr="008E2A7B" w:rsidRDefault="00DE2442" w:rsidP="00633881">
      <w:pPr>
        <w:pStyle w:val="Brdtext"/>
        <w:contextualSpacing/>
        <w:rPr>
          <w:lang w:val="en-GB"/>
        </w:rPr>
      </w:pPr>
      <w:r w:rsidRPr="008E2A7B">
        <w:rPr>
          <w:lang w:val="en-GB"/>
        </w:rPr>
        <w:t xml:space="preserve">In January 2015, the Government introduced a support scheme for biogas production through anaerobic digestion of manure. The support aims to help increase biogas production from manure and thereby gain two-fold environmental and climate benefits through reduced methane emissions from manure and the substitution of fossil energy. The increased digestion of manure offers several environmental benefits. It reduces both emissions of greenhouse gases and eutrophication of fresh and marine waters as well as produces biogas for energy. The biogas generated can be used to generate electricity or heat, or as vehicle fuel. The subsidy amounts to a maximum of 0.40 SEK/kWh of biogas produced. Between January 2015 and September 2016, a total amount of SEK 69 million was shared among 51 biogas plants. </w:t>
      </w:r>
    </w:p>
    <w:p w14:paraId="7DD2344B" w14:textId="77777777" w:rsidR="00633881" w:rsidRPr="008E2A7B" w:rsidRDefault="00633881" w:rsidP="00633881">
      <w:pPr>
        <w:pStyle w:val="Brdtext"/>
        <w:contextualSpacing/>
        <w:rPr>
          <w:lang w:val="en-GB"/>
        </w:rPr>
      </w:pPr>
    </w:p>
    <w:p w14:paraId="355C4951" w14:textId="2A4BE89F" w:rsidR="00DE2442" w:rsidRPr="008E2A7B" w:rsidRDefault="00DE2442" w:rsidP="00DE2442">
      <w:pPr>
        <w:pStyle w:val="Brdtext"/>
        <w:rPr>
          <w:b/>
          <w:u w:val="single"/>
          <w:lang w:val="en-GB"/>
        </w:rPr>
      </w:pPr>
      <w:r w:rsidRPr="008E2A7B">
        <w:rPr>
          <w:b/>
          <w:u w:val="single"/>
          <w:lang w:val="en-GB"/>
        </w:rPr>
        <w:t>Land use, land-u</w:t>
      </w:r>
      <w:r w:rsidR="00574687" w:rsidRPr="008E2A7B">
        <w:rPr>
          <w:b/>
          <w:u w:val="single"/>
          <w:lang w:val="en-GB"/>
        </w:rPr>
        <w:t>se change and forestry (LULUCF)</w:t>
      </w:r>
    </w:p>
    <w:p w14:paraId="30757082" w14:textId="77777777" w:rsidR="00DE2442" w:rsidRPr="008E2A7B" w:rsidRDefault="00DE2442" w:rsidP="00633881">
      <w:pPr>
        <w:pStyle w:val="Brdtext"/>
        <w:contextualSpacing/>
        <w:rPr>
          <w:b/>
          <w:lang w:val="en-GB"/>
        </w:rPr>
      </w:pPr>
      <w:r w:rsidRPr="008E2A7B">
        <w:rPr>
          <w:b/>
          <w:lang w:val="en-GB"/>
        </w:rPr>
        <w:t>Forest Policy and the Forest Act</w:t>
      </w:r>
    </w:p>
    <w:p w14:paraId="10D0002E" w14:textId="67F40863" w:rsidR="00DE2442" w:rsidRPr="008E2A7B" w:rsidRDefault="00DE2442" w:rsidP="00633881">
      <w:pPr>
        <w:pStyle w:val="Brdtext"/>
        <w:contextualSpacing/>
        <w:rPr>
          <w:lang w:val="en-GB"/>
        </w:rPr>
      </w:pPr>
      <w:r w:rsidRPr="008E2A7B">
        <w:rPr>
          <w:lang w:val="en-GB"/>
        </w:rPr>
        <w:t xml:space="preserve">The Swedish Forestry Act (as of 1993) has two overarching, equal objectives: support production and protect the environment. Under this Act, forest owners have considerable freedom and responsibility to independently conduct long-term sustainable forest management. The regulations concerning timber production cover the notification of felling, the lowest age for felling, requirements for reforestation, guidelines for thinning and measures to limit damage. Special regulations apply to certain types of forests, such as subalpine forests and deciduous forests. Examples of regulations concerning nature conservation and cultural heritage include not disturbing important biotopes, buffer zones and arable land, and leaving older trees, high stumps and dead wood in situ. </w:t>
      </w:r>
      <w:r w:rsidRPr="008E2A7B">
        <w:rPr>
          <w:lang w:val="en-GB"/>
        </w:rPr>
        <w:lastRenderedPageBreak/>
        <w:t>Sustainable forest management influences carbon dioxide removals and emissions in various ways, through the production of renewable raw materials that can replace fossil fuels and materials that generate emissions of greenhouse gases while maintaining or increasing carbon stocks in biomass, soi</w:t>
      </w:r>
      <w:r w:rsidR="00574687" w:rsidRPr="008E2A7B">
        <w:rPr>
          <w:lang w:val="en-GB"/>
        </w:rPr>
        <w:t>ls and harvested wood products.</w:t>
      </w:r>
    </w:p>
    <w:p w14:paraId="722DD37B" w14:textId="77777777" w:rsidR="00B30354" w:rsidRPr="008E2A7B" w:rsidRDefault="00B30354" w:rsidP="00633881">
      <w:pPr>
        <w:pStyle w:val="Brdtext"/>
        <w:contextualSpacing/>
        <w:rPr>
          <w:b/>
          <w:lang w:val="en-GB"/>
        </w:rPr>
      </w:pPr>
    </w:p>
    <w:p w14:paraId="16A3A6E0" w14:textId="77777777" w:rsidR="00DE2442" w:rsidRPr="008E2A7B" w:rsidRDefault="00DE2442" w:rsidP="00633881">
      <w:pPr>
        <w:pStyle w:val="Brdtext"/>
        <w:contextualSpacing/>
        <w:rPr>
          <w:b/>
          <w:lang w:val="en-GB"/>
        </w:rPr>
      </w:pPr>
      <w:r w:rsidRPr="008E2A7B">
        <w:rPr>
          <w:b/>
          <w:lang w:val="en-GB"/>
        </w:rPr>
        <w:t xml:space="preserve">Land use and the Environmental Code </w:t>
      </w:r>
    </w:p>
    <w:p w14:paraId="4D5B8D21" w14:textId="7F8AFAAE" w:rsidR="00DE2442" w:rsidRPr="008E2A7B" w:rsidRDefault="00DE2442" w:rsidP="00633881">
      <w:pPr>
        <w:pStyle w:val="Brdtext"/>
        <w:contextualSpacing/>
        <w:rPr>
          <w:lang w:val="en-GB"/>
        </w:rPr>
      </w:pPr>
      <w:r w:rsidRPr="008E2A7B">
        <w:rPr>
          <w:lang w:val="en-GB"/>
        </w:rPr>
        <w:t xml:space="preserve">The Environmental Code contains regulations on, for example, land drainage. In central parts of the southern Swedish highlands and north of the </w:t>
      </w:r>
      <w:r w:rsidRPr="008E2A7B">
        <w:rPr>
          <w:i/>
          <w:iCs/>
          <w:lang w:val="en-GB"/>
        </w:rPr>
        <w:t>limes norrlandicus</w:t>
      </w:r>
      <w:r w:rsidRPr="008E2A7B">
        <w:rPr>
          <w:lang w:val="en-GB"/>
        </w:rPr>
        <w:t xml:space="preserve"> (the biogeographical boundary of northern Sweden), drainage – defined as drainage intending to permanently improve the suitability of a property for a certain purpose – may only be undertaken with a permit. In the rest of the country, and on sites specially protected under the RAMSAR Convention, such schemes are prohibited. Protection and restoration of peatlands with high carbon stocks can reduce emissions of car</w:t>
      </w:r>
      <w:r w:rsidR="00574687" w:rsidRPr="008E2A7B">
        <w:rPr>
          <w:lang w:val="en-GB"/>
        </w:rPr>
        <w:t xml:space="preserve">bon dioxide to the atmosphere. </w:t>
      </w:r>
    </w:p>
    <w:p w14:paraId="4EFF226E" w14:textId="77777777" w:rsidR="00633881" w:rsidRPr="008E2A7B" w:rsidRDefault="00633881" w:rsidP="00633881">
      <w:pPr>
        <w:pStyle w:val="Brdtext"/>
        <w:contextualSpacing/>
        <w:rPr>
          <w:lang w:val="en-GB"/>
        </w:rPr>
      </w:pPr>
    </w:p>
    <w:p w14:paraId="4C421C48" w14:textId="77777777" w:rsidR="00DE2442" w:rsidRPr="008E2A7B" w:rsidRDefault="00DE2442" w:rsidP="00DE2442">
      <w:pPr>
        <w:pStyle w:val="Brdtext"/>
        <w:rPr>
          <w:lang w:val="en-GB"/>
        </w:rPr>
      </w:pPr>
      <w:r w:rsidRPr="008E2A7B">
        <w:rPr>
          <w:lang w:val="en-GB"/>
        </w:rPr>
        <w:t>Conservation efforts (site protection, nature conservation agreements and voluntary set-aside of land) not only preserve biodiversity, but also positively impact carbon stocks in forest biomass and soil carbon, by allowing them to be maintained or to continue to increase. Protected forest ecosystems, in areas where natural disturbances like forest fires are rare, have a large capacity to sequester carbon, even long after a conservation measure is implemented. There are also targets for the conservation and protection of areas containing both wetlands and forest land. Since such areas are usually excluded from felling, their stocks of carbon in biomass and soil will, in most cases, be larger than those of productive forests.</w:t>
      </w:r>
    </w:p>
    <w:p w14:paraId="7154224D" w14:textId="77777777" w:rsidR="00DE2442" w:rsidRPr="008E2A7B" w:rsidRDefault="00DE2442" w:rsidP="00633881">
      <w:pPr>
        <w:pStyle w:val="Brdtext"/>
        <w:contextualSpacing/>
        <w:rPr>
          <w:b/>
          <w:bCs/>
          <w:color w:val="000000"/>
          <w:lang w:val="en-GB"/>
        </w:rPr>
      </w:pPr>
      <w:r w:rsidRPr="008E2A7B">
        <w:rPr>
          <w:b/>
          <w:bCs/>
          <w:color w:val="000000"/>
          <w:lang w:val="en-GB"/>
        </w:rPr>
        <w:t>The Swedish National Forest Programme</w:t>
      </w:r>
    </w:p>
    <w:p w14:paraId="1341CE77" w14:textId="011DA8CE" w:rsidR="00DE2442" w:rsidRPr="008E2A7B" w:rsidRDefault="00DE2442" w:rsidP="00633881">
      <w:pPr>
        <w:pStyle w:val="Brdtext"/>
        <w:contextualSpacing/>
        <w:rPr>
          <w:lang w:val="en-GB"/>
        </w:rPr>
      </w:pPr>
      <w:r w:rsidRPr="008E2A7B">
        <w:rPr>
          <w:lang w:val="en-GB"/>
        </w:rPr>
        <w:t>The supply of sustainable biomass from Swedish forests has an important role to play in the continued transition to a fossil free society. In 2015 the Government initiated a comprehensive dialogue with stakeholders within the Swedish National Forest Programme. The programme contributes to Sweden’s mitigation efforts by establishing goals and actions plans to increase the national supply of bio-based alternatives.</w:t>
      </w:r>
    </w:p>
    <w:p w14:paraId="1FAD8E39" w14:textId="77777777" w:rsidR="00552C9D" w:rsidRDefault="0044710E" w:rsidP="00552C9D">
      <w:pPr>
        <w:pStyle w:val="i-lista"/>
        <w:numPr>
          <w:ilvl w:val="1"/>
          <w:numId w:val="12"/>
        </w:numPr>
        <w:rPr>
          <w:i/>
          <w:lang w:val="en-GB"/>
        </w:rPr>
      </w:pPr>
      <w:r w:rsidRPr="00552C9D">
        <w:rPr>
          <w:i/>
          <w:lang w:val="en-GB"/>
        </w:rPr>
        <w:t xml:space="preserve">Regional cooperation in this area </w:t>
      </w:r>
    </w:p>
    <w:p w14:paraId="1F43C236" w14:textId="14691DEB" w:rsidR="0044710E" w:rsidRPr="00552C9D" w:rsidRDefault="0044710E" w:rsidP="00552C9D">
      <w:pPr>
        <w:pStyle w:val="i-lista"/>
        <w:numPr>
          <w:ilvl w:val="0"/>
          <w:numId w:val="0"/>
        </w:numPr>
        <w:ind w:left="1020"/>
        <w:rPr>
          <w:i/>
          <w:color w:val="FF0000"/>
          <w:lang w:val="en-GB"/>
        </w:rPr>
      </w:pPr>
      <w:r w:rsidRPr="00552C9D">
        <w:rPr>
          <w:i/>
          <w:color w:val="FF0000"/>
          <w:lang w:val="en-GB"/>
        </w:rPr>
        <w:t>[RK]</w:t>
      </w:r>
    </w:p>
    <w:p w14:paraId="057E531C" w14:textId="77777777" w:rsidR="0044710E" w:rsidRPr="008E2A7B" w:rsidRDefault="0044710E" w:rsidP="0044710E">
      <w:pPr>
        <w:pStyle w:val="i-lista"/>
        <w:numPr>
          <w:ilvl w:val="1"/>
          <w:numId w:val="12"/>
        </w:numPr>
        <w:rPr>
          <w:i/>
          <w:lang w:val="en-GB"/>
        </w:rPr>
      </w:pPr>
      <w:r w:rsidRPr="008E2A7B">
        <w:rPr>
          <w:i/>
          <w:lang w:val="en-GB"/>
        </w:rPr>
        <w:t>If applicable, without prejudice to the applicability of State aid rules, financing measures, including EU support and the use of EU funds, in this area at national level</w:t>
      </w:r>
    </w:p>
    <w:p w14:paraId="5A470335" w14:textId="26847173" w:rsidR="0044710E" w:rsidRPr="008E2A7B" w:rsidRDefault="0044710E" w:rsidP="0044710E">
      <w:pPr>
        <w:pStyle w:val="Brdtext"/>
        <w:rPr>
          <w:lang w:val="en-GB"/>
        </w:rPr>
      </w:pPr>
      <w:r w:rsidRPr="008E2A7B">
        <w:rPr>
          <w:lang w:val="en-GB"/>
        </w:rPr>
        <w:t xml:space="preserve">See </w:t>
      </w:r>
      <w:r w:rsidR="001C6D34" w:rsidRPr="008E2A7B">
        <w:rPr>
          <w:lang w:val="en-GB"/>
        </w:rPr>
        <w:t>3.1.1</w:t>
      </w:r>
      <w:r w:rsidRPr="008E2A7B">
        <w:rPr>
          <w:i/>
          <w:lang w:val="en-GB"/>
        </w:rPr>
        <w:t>i</w:t>
      </w:r>
      <w:r w:rsidRPr="008E2A7B">
        <w:rPr>
          <w:lang w:val="en-GB"/>
        </w:rPr>
        <w:t>.</w:t>
      </w:r>
    </w:p>
    <w:p w14:paraId="7152DE45" w14:textId="77777777" w:rsidR="0044710E" w:rsidRPr="008E2A7B" w:rsidRDefault="0044710E" w:rsidP="0044710E">
      <w:pPr>
        <w:pStyle w:val="Rubrik3"/>
        <w:rPr>
          <w:lang w:val="en-GB"/>
        </w:rPr>
      </w:pPr>
      <w:r w:rsidRPr="008E2A7B">
        <w:rPr>
          <w:lang w:val="en-GB"/>
        </w:rPr>
        <w:lastRenderedPageBreak/>
        <w:t>Renewable energy (2030 Framework target)</w:t>
      </w:r>
    </w:p>
    <w:p w14:paraId="1325EAFD" w14:textId="77777777" w:rsidR="0044710E" w:rsidRPr="008E2A7B" w:rsidRDefault="0044710E" w:rsidP="0044710E">
      <w:pPr>
        <w:pStyle w:val="i-lista"/>
        <w:numPr>
          <w:ilvl w:val="1"/>
          <w:numId w:val="13"/>
        </w:numPr>
        <w:rPr>
          <w:i/>
          <w:lang w:val="en-GB"/>
        </w:rPr>
      </w:pPr>
      <w:r w:rsidRPr="008E2A7B">
        <w:rPr>
          <w:i/>
          <w:lang w:val="en-GB"/>
        </w:rPr>
        <w:t xml:space="preserve">Policies and measures to achieve the national contribution to the binding EU-level 2030 target for renewable energy and trajectories as presented in 2.1.2 including sector- and technology-specific measures </w:t>
      </w:r>
    </w:p>
    <w:p w14:paraId="30B4B15F" w14:textId="77777777" w:rsidR="0044710E" w:rsidRPr="008E2A7B" w:rsidRDefault="0044710E" w:rsidP="0044710E">
      <w:pPr>
        <w:pStyle w:val="Brdtext"/>
        <w:rPr>
          <w:lang w:val="en-GB"/>
        </w:rPr>
      </w:pPr>
      <w:r w:rsidRPr="008E2A7B">
        <w:rPr>
          <w:lang w:val="en-GB"/>
        </w:rPr>
        <w:t>Although Sweden has no 2030 target for renewable energy, it nevertheless intends to increase the share of renewables which the policies and measures described below demonstrate.</w:t>
      </w:r>
    </w:p>
    <w:p w14:paraId="1F054B9A" w14:textId="77777777" w:rsidR="0044710E" w:rsidRPr="008E2A7B" w:rsidRDefault="0044710E" w:rsidP="0044710E">
      <w:pPr>
        <w:pStyle w:val="Brdtext"/>
        <w:contextualSpacing/>
        <w:rPr>
          <w:b/>
          <w:lang w:val="en-GB"/>
        </w:rPr>
      </w:pPr>
      <w:r w:rsidRPr="008E2A7B">
        <w:rPr>
          <w:b/>
          <w:lang w:val="en-GB"/>
        </w:rPr>
        <w:t xml:space="preserve">Electricity certificate system </w:t>
      </w:r>
    </w:p>
    <w:p w14:paraId="29320E5D" w14:textId="77777777" w:rsidR="0044710E" w:rsidRPr="008E2A7B" w:rsidRDefault="0044710E" w:rsidP="0044710E">
      <w:pPr>
        <w:pStyle w:val="Brdtext"/>
        <w:contextualSpacing/>
        <w:rPr>
          <w:lang w:val="en-GB"/>
        </w:rPr>
      </w:pPr>
      <w:r w:rsidRPr="008E2A7B">
        <w:rPr>
          <w:lang w:val="en-GB"/>
        </w:rPr>
        <w:t xml:space="preserve">An electricity certificate system aiming to support electricity based on renewable energy was introduced in 2003, and in 2012, Norway joined the system. The targets are a deployment of 28.4 TWh by 2020 compared with the 2002 level and another 18 TWh by 2030. </w:t>
      </w:r>
    </w:p>
    <w:p w14:paraId="005DE134" w14:textId="77777777" w:rsidR="0044710E" w:rsidRPr="008E2A7B" w:rsidRDefault="0044710E" w:rsidP="0044710E">
      <w:pPr>
        <w:pStyle w:val="Brdtext"/>
        <w:contextualSpacing/>
        <w:rPr>
          <w:b/>
          <w:lang w:val="en-GB"/>
        </w:rPr>
      </w:pPr>
    </w:p>
    <w:p w14:paraId="5F680F55" w14:textId="7EFCA038" w:rsidR="001C6D34" w:rsidRPr="008E2A7B" w:rsidRDefault="0044710E" w:rsidP="001C6D34">
      <w:pPr>
        <w:pStyle w:val="Brdtext"/>
        <w:rPr>
          <w:lang w:val="en-GB"/>
        </w:rPr>
      </w:pPr>
      <w:r w:rsidRPr="008E2A7B">
        <w:rPr>
          <w:lang w:val="en-GB"/>
        </w:rPr>
        <w:t>Through the system, electricity producers are allocated a certificate for every MWh of renewable electricity produced, which can then be sold in an open market. The buyers are mainly electricity suppliers who are obliged to purchase electricity certificates corresponding to a certain share, or quota, of their electricity deliveries. The quota is gradually increased to reach the target</w:t>
      </w:r>
      <w:r w:rsidR="00B30354" w:rsidRPr="008E2A7B">
        <w:rPr>
          <w:lang w:val="en-GB"/>
        </w:rPr>
        <w:t xml:space="preserve">s. </w:t>
      </w:r>
    </w:p>
    <w:p w14:paraId="71C8F134" w14:textId="77777777" w:rsidR="0044710E" w:rsidRPr="008E2A7B" w:rsidRDefault="0044710E" w:rsidP="001C6D34">
      <w:pPr>
        <w:pStyle w:val="Brdtext"/>
        <w:contextualSpacing/>
        <w:rPr>
          <w:b/>
          <w:iCs/>
          <w:lang w:val="en-GB"/>
        </w:rPr>
      </w:pPr>
      <w:r w:rsidRPr="008E2A7B">
        <w:rPr>
          <w:b/>
          <w:iCs/>
          <w:lang w:val="en-GB"/>
        </w:rPr>
        <w:t>Tax relief for micro-production of renewable electricity fed into the grid</w:t>
      </w:r>
    </w:p>
    <w:p w14:paraId="44DA3C5F" w14:textId="77777777" w:rsidR="0044710E" w:rsidRPr="008E2A7B" w:rsidRDefault="0044710E" w:rsidP="001C6D34">
      <w:pPr>
        <w:pStyle w:val="Brdtext"/>
        <w:contextualSpacing/>
        <w:rPr>
          <w:lang w:val="en-GB"/>
        </w:rPr>
      </w:pPr>
      <w:r w:rsidRPr="008E2A7B">
        <w:rPr>
          <w:lang w:val="en-GB"/>
        </w:rPr>
        <w:t>A tax reduction for households and businesses was introduced in 2015 to stimulate investment in the micro-production of renewable electricity. The income tax reduction is SEK 0.60/kWh fed into the grid in a connection point with a fuse size of up to 100 amperes. The tax reduction is capped at SEK 18,000 per year.</w:t>
      </w:r>
    </w:p>
    <w:p w14:paraId="034AD252" w14:textId="77777777" w:rsidR="0044710E" w:rsidRPr="008E2A7B" w:rsidRDefault="0044710E" w:rsidP="0044710E">
      <w:pPr>
        <w:pStyle w:val="Brdtext"/>
        <w:contextualSpacing/>
        <w:rPr>
          <w:lang w:val="en-GB"/>
        </w:rPr>
      </w:pPr>
    </w:p>
    <w:p w14:paraId="6873440A" w14:textId="77777777" w:rsidR="0044710E" w:rsidRPr="008E2A7B" w:rsidRDefault="0044710E" w:rsidP="0044710E">
      <w:pPr>
        <w:pStyle w:val="Brdtext"/>
        <w:rPr>
          <w:lang w:val="en-GB"/>
        </w:rPr>
      </w:pPr>
      <w:r w:rsidRPr="008E2A7B">
        <w:rPr>
          <w:b/>
          <w:lang w:val="en-GB"/>
        </w:rPr>
        <w:t>Tax exemption for micro production of renewable electricity consumed at the place of production</w:t>
      </w:r>
      <w:r w:rsidRPr="008E2A7B">
        <w:rPr>
          <w:b/>
          <w:lang w:val="en-GB"/>
        </w:rPr>
        <w:br/>
      </w:r>
      <w:r w:rsidRPr="008E2A7B">
        <w:rPr>
          <w:lang w:val="en-GB"/>
        </w:rPr>
        <w:t>Exemption from energy taxation applies to electricity not transferred to a power grid with network concession and produced in a plant in which the installed generator capacity does not exceed 50 kW, if the total installed generator capacity owned by the producer does not exceed 50 kW either.</w:t>
      </w:r>
    </w:p>
    <w:p w14:paraId="290632F1" w14:textId="77777777" w:rsidR="0044710E" w:rsidRPr="008E2A7B" w:rsidRDefault="0044710E" w:rsidP="0044710E">
      <w:pPr>
        <w:pStyle w:val="Brdtext"/>
        <w:rPr>
          <w:lang w:val="en-GB"/>
        </w:rPr>
      </w:pPr>
      <w:r w:rsidRPr="008E2A7B">
        <w:rPr>
          <w:lang w:val="en-GB"/>
        </w:rPr>
        <w:t>As for generator capacity, 50 kW is defined to be equivalent of 125 kW wind or wave power, 255 kW solar power (peak power) and 50 kW for other power sources without generator. When electricity is produced from several sources, the installed effects are added together.</w:t>
      </w:r>
    </w:p>
    <w:p w14:paraId="6DDD02F7" w14:textId="77777777" w:rsidR="0044710E" w:rsidRPr="008E2A7B" w:rsidRDefault="0044710E" w:rsidP="0044710E">
      <w:pPr>
        <w:pStyle w:val="Brdtext"/>
        <w:contextualSpacing/>
        <w:rPr>
          <w:b/>
          <w:lang w:val="en-GB"/>
        </w:rPr>
      </w:pPr>
      <w:r w:rsidRPr="008E2A7B">
        <w:rPr>
          <w:lang w:val="en-GB"/>
        </w:rPr>
        <w:t xml:space="preserve">If the producer’s total generator capacity exceeds 50 kW or equivalent, but the capacity of the individual installation does not, the energy tax is reduced to 0.5 öre per kWh if the electricity is not transferred to a power grid with network concession. The tax exemption is achieved through a </w:t>
      </w:r>
      <w:r w:rsidRPr="008E2A7B">
        <w:rPr>
          <w:lang w:val="en-GB"/>
        </w:rPr>
        <w:lastRenderedPageBreak/>
        <w:t>deduction for energy tax on electricity. This reform is the first of the announced steps in the government's efforts to abolish the energy tax on solar power produced in small plants at the same location as where the electricity is consumed.</w:t>
      </w:r>
    </w:p>
    <w:p w14:paraId="52C7BF81" w14:textId="77777777" w:rsidR="0044710E" w:rsidRPr="008E2A7B" w:rsidRDefault="0044710E" w:rsidP="0044710E">
      <w:pPr>
        <w:pStyle w:val="Brdtext"/>
        <w:contextualSpacing/>
        <w:rPr>
          <w:lang w:val="en-GB"/>
        </w:rPr>
      </w:pPr>
    </w:p>
    <w:p w14:paraId="540AA8C8" w14:textId="77777777" w:rsidR="0044710E" w:rsidRPr="008E2A7B" w:rsidRDefault="0044710E" w:rsidP="0044710E">
      <w:pPr>
        <w:pStyle w:val="Brdtext"/>
        <w:contextualSpacing/>
        <w:rPr>
          <w:b/>
          <w:lang w:val="en-GB"/>
        </w:rPr>
      </w:pPr>
      <w:r w:rsidRPr="008E2A7B">
        <w:rPr>
          <w:b/>
          <w:lang w:val="en-GB"/>
        </w:rPr>
        <w:t>Support for solar power connected to the grid</w:t>
      </w:r>
    </w:p>
    <w:p w14:paraId="37F9D03B" w14:textId="77777777" w:rsidR="0044710E" w:rsidRPr="008E2A7B" w:rsidRDefault="0044710E" w:rsidP="0044710E">
      <w:pPr>
        <w:pStyle w:val="Brdtext"/>
        <w:contextualSpacing/>
        <w:rPr>
          <w:lang w:val="en-GB"/>
        </w:rPr>
      </w:pPr>
      <w:r w:rsidRPr="008E2A7B">
        <w:rPr>
          <w:lang w:val="en-GB"/>
        </w:rPr>
        <w:t xml:space="preserve">A subsidy for photovoltaic systems was introduced in 2009. The budget for this support is set at SEK 915 million per year 2018-2020. All types of actors can obtain financial support for installing grid-connected photovoltaic and hybrid power/thermal systems, as of 2018 covering 30% of the costs. </w:t>
      </w:r>
    </w:p>
    <w:p w14:paraId="05B63D88" w14:textId="77777777" w:rsidR="0044710E" w:rsidRPr="008E2A7B" w:rsidRDefault="0044710E" w:rsidP="0044710E">
      <w:pPr>
        <w:pStyle w:val="Brdtext"/>
        <w:contextualSpacing/>
        <w:rPr>
          <w:szCs w:val="21"/>
          <w:lang w:val="en-GB"/>
        </w:rPr>
      </w:pPr>
    </w:p>
    <w:p w14:paraId="3B633292" w14:textId="77777777" w:rsidR="0044710E" w:rsidRPr="008E2A7B" w:rsidRDefault="0044710E" w:rsidP="0044710E">
      <w:pPr>
        <w:pStyle w:val="Brdtext"/>
        <w:contextualSpacing/>
        <w:rPr>
          <w:b/>
          <w:lang w:val="en-GB"/>
        </w:rPr>
      </w:pPr>
      <w:r w:rsidRPr="008E2A7B">
        <w:rPr>
          <w:b/>
          <w:lang w:val="en-GB"/>
        </w:rPr>
        <w:t>Support for energy storage for produced electricity</w:t>
      </w:r>
    </w:p>
    <w:p w14:paraId="458587D4" w14:textId="52C3458B" w:rsidR="0044710E" w:rsidRPr="008E2A7B" w:rsidRDefault="0044710E" w:rsidP="0044710E">
      <w:pPr>
        <w:pStyle w:val="Brdtext"/>
        <w:contextualSpacing/>
        <w:rPr>
          <w:lang w:val="en-GB"/>
        </w:rPr>
      </w:pPr>
      <w:r w:rsidRPr="008E2A7B">
        <w:rPr>
          <w:lang w:val="en-GB"/>
        </w:rPr>
        <w:t>Energy storage can contribute to increased efficiency in the energy system. In order to increase the individual customers' ability to store their own-produced electricity there is a support for energy storage for own-produced electricity. The subsidy provides financial support to individuals for the installation of storage systems</w:t>
      </w:r>
      <w:r w:rsidRPr="008E2A7B">
        <w:rPr>
          <w:rStyle w:val="Fotnotsreferens"/>
          <w:lang w:val="en-GB"/>
        </w:rPr>
        <w:footnoteReference w:id="21"/>
      </w:r>
      <w:r w:rsidRPr="008E2A7B">
        <w:rPr>
          <w:lang w:val="en-GB"/>
        </w:rPr>
        <w:t>. The subsidy currently applie</w:t>
      </w:r>
      <w:r w:rsidR="00B30354" w:rsidRPr="008E2A7B">
        <w:rPr>
          <w:lang w:val="en-GB"/>
        </w:rPr>
        <w:t>s to actions completed in 2019.</w:t>
      </w:r>
    </w:p>
    <w:p w14:paraId="5AB6C498" w14:textId="77777777" w:rsidR="001C6D34" w:rsidRPr="008E2A7B" w:rsidRDefault="001C6D34" w:rsidP="001C6D34">
      <w:pPr>
        <w:pStyle w:val="Brdtext"/>
        <w:contextualSpacing/>
        <w:rPr>
          <w:b/>
          <w:lang w:val="en-GB"/>
        </w:rPr>
      </w:pPr>
    </w:p>
    <w:p w14:paraId="2EB8B266" w14:textId="77777777" w:rsidR="0044710E" w:rsidRPr="008E2A7B" w:rsidRDefault="0044710E" w:rsidP="001C6D34">
      <w:pPr>
        <w:pStyle w:val="Brdtext"/>
        <w:contextualSpacing/>
        <w:rPr>
          <w:b/>
          <w:lang w:val="en-GB"/>
        </w:rPr>
      </w:pPr>
      <w:r w:rsidRPr="008E2A7B">
        <w:rPr>
          <w:b/>
          <w:lang w:val="en-GB"/>
        </w:rPr>
        <w:t>Exceptions from the network charge</w:t>
      </w:r>
    </w:p>
    <w:p w14:paraId="7EA0B97C" w14:textId="77777777" w:rsidR="0044710E" w:rsidRPr="008E2A7B" w:rsidRDefault="0044710E" w:rsidP="001C6D34">
      <w:pPr>
        <w:pStyle w:val="Brdtext"/>
        <w:contextualSpacing/>
        <w:rPr>
          <w:lang w:val="en-GB"/>
        </w:rPr>
      </w:pPr>
      <w:r w:rsidRPr="008E2A7B">
        <w:rPr>
          <w:lang w:val="en-GB"/>
        </w:rPr>
        <w:t xml:space="preserve">Electricity prosumers feeding in less electricity into the grid than what they purchase on a yearly basis are exempted from the network charge for the electricity they feed in. Examples of electricity users covered by the exemption are farms with small wind turbines and buildings with solar power systems on the roof. </w:t>
      </w:r>
    </w:p>
    <w:p w14:paraId="76F8C05B" w14:textId="77777777" w:rsidR="0044710E" w:rsidRPr="008E2A7B" w:rsidRDefault="0044710E" w:rsidP="0044710E">
      <w:pPr>
        <w:pStyle w:val="i-lista"/>
        <w:numPr>
          <w:ilvl w:val="1"/>
          <w:numId w:val="13"/>
        </w:numPr>
        <w:rPr>
          <w:i/>
          <w:lang w:val="en-GB"/>
        </w:rPr>
      </w:pPr>
      <w:r w:rsidRPr="008E2A7B">
        <w:rPr>
          <w:i/>
          <w:lang w:val="en-GB"/>
        </w:rPr>
        <w:t>Specific measures for regional cooperation, as well as the estimated excess production of energy from renewable sources which could be transferred to other Member States in order to achieve the national contribution and trajectories presented in 2.1.2</w:t>
      </w:r>
    </w:p>
    <w:p w14:paraId="3FF85C11" w14:textId="77777777" w:rsidR="0044710E" w:rsidRPr="008E2A7B" w:rsidRDefault="0044710E" w:rsidP="0044710E">
      <w:pPr>
        <w:pStyle w:val="Brdtext"/>
        <w:rPr>
          <w:lang w:val="en-GB"/>
        </w:rPr>
      </w:pPr>
      <w:r w:rsidRPr="008E2A7B">
        <w:rPr>
          <w:lang w:val="en-GB"/>
        </w:rPr>
        <w:t>Without at target for the share of renewable energy by 2030 it is not possible to estimate an excess production which could be transferred to other Member States. In relation to the Swedish target for 2020, the excess production in the reference scenario</w:t>
      </w:r>
      <w:r w:rsidRPr="008E2A7B">
        <w:rPr>
          <w:rStyle w:val="Fotnotsreferens"/>
          <w:lang w:val="en-GB"/>
        </w:rPr>
        <w:footnoteReference w:id="22"/>
      </w:r>
      <w:r w:rsidRPr="008E2A7B">
        <w:rPr>
          <w:lang w:val="en-GB"/>
        </w:rPr>
        <w:t xml:space="preserve"> (see chapter 4) is 38 TWh. </w:t>
      </w:r>
    </w:p>
    <w:p w14:paraId="35F0DF81" w14:textId="77777777" w:rsidR="0044710E" w:rsidRPr="008E2A7B" w:rsidRDefault="0044710E" w:rsidP="0044710E">
      <w:pPr>
        <w:pStyle w:val="i-lista"/>
        <w:numPr>
          <w:ilvl w:val="1"/>
          <w:numId w:val="13"/>
        </w:numPr>
        <w:rPr>
          <w:i/>
          <w:lang w:val="en-GB"/>
        </w:rPr>
      </w:pPr>
      <w:r w:rsidRPr="008E2A7B">
        <w:rPr>
          <w:i/>
          <w:lang w:val="en-GB"/>
        </w:rPr>
        <w:t>Specific measures on financial support, including EU support and the use of EU funds, for the promotion of the production and use of energy from renewable sources in electricity, heating and cooling, and transport</w:t>
      </w:r>
    </w:p>
    <w:p w14:paraId="74BB1DD8" w14:textId="48AEB21A" w:rsidR="0044710E" w:rsidRPr="008E2A7B" w:rsidRDefault="0044710E" w:rsidP="0044710E">
      <w:pPr>
        <w:pStyle w:val="Brdtext"/>
        <w:rPr>
          <w:lang w:val="en-GB"/>
        </w:rPr>
      </w:pPr>
      <w:r w:rsidRPr="008E2A7B">
        <w:rPr>
          <w:lang w:val="en-GB"/>
        </w:rPr>
        <w:t xml:space="preserve">See </w:t>
      </w:r>
      <w:r w:rsidR="001C6D34" w:rsidRPr="008E2A7B">
        <w:rPr>
          <w:lang w:val="en-GB"/>
        </w:rPr>
        <w:t>3.1.2</w:t>
      </w:r>
      <w:r w:rsidRPr="008E2A7B">
        <w:rPr>
          <w:i/>
          <w:lang w:val="en-GB"/>
        </w:rPr>
        <w:t>i</w:t>
      </w:r>
      <w:r w:rsidRPr="008E2A7B">
        <w:rPr>
          <w:lang w:val="en-GB"/>
        </w:rPr>
        <w:t xml:space="preserve">. </w:t>
      </w:r>
    </w:p>
    <w:p w14:paraId="4974DA55" w14:textId="77777777" w:rsidR="0044710E" w:rsidRPr="008E2A7B" w:rsidRDefault="0044710E" w:rsidP="0044710E">
      <w:pPr>
        <w:pStyle w:val="i-lista"/>
        <w:numPr>
          <w:ilvl w:val="1"/>
          <w:numId w:val="13"/>
        </w:numPr>
        <w:rPr>
          <w:i/>
          <w:lang w:val="en-GB"/>
        </w:rPr>
      </w:pPr>
      <w:r w:rsidRPr="008E2A7B">
        <w:rPr>
          <w:i/>
          <w:lang w:val="en-GB"/>
        </w:rPr>
        <w:lastRenderedPageBreak/>
        <w:t>Specific measures to introduce a one-stop-shop, streamline administrative procedures, provide information and training, and empower renewable self-consumers and energy communities</w:t>
      </w:r>
    </w:p>
    <w:p w14:paraId="22E8DA41" w14:textId="77777777" w:rsidR="0044710E" w:rsidRPr="008E2A7B" w:rsidRDefault="0044710E" w:rsidP="0044710E">
      <w:pPr>
        <w:pStyle w:val="Brdtext"/>
        <w:contextualSpacing/>
        <w:rPr>
          <w:b/>
          <w:lang w:val="en-GB"/>
        </w:rPr>
      </w:pPr>
      <w:r w:rsidRPr="008E2A7B">
        <w:rPr>
          <w:b/>
          <w:lang w:val="en-GB"/>
        </w:rPr>
        <w:t xml:space="preserve">Initiatives for wind power </w:t>
      </w:r>
    </w:p>
    <w:p w14:paraId="5A09AE41" w14:textId="2D1CDD87" w:rsidR="0044710E" w:rsidRPr="008E2A7B" w:rsidRDefault="0044710E" w:rsidP="0044710E">
      <w:pPr>
        <w:pStyle w:val="Brdtext"/>
        <w:contextualSpacing/>
        <w:rPr>
          <w:lang w:val="en-GB"/>
        </w:rPr>
      </w:pPr>
      <w:r w:rsidRPr="008E2A7B">
        <w:rPr>
          <w:lang w:val="en-GB"/>
        </w:rPr>
        <w:t>The prospects for additional wind power generation have been improved by increased experience and technical development, which have resulted in lower wind energy costs. Furthermore, different programmes have promoted the dissemination</w:t>
      </w:r>
      <w:r w:rsidRPr="008E2A7B" w:rsidDel="006C0111">
        <w:rPr>
          <w:lang w:val="en-GB"/>
        </w:rPr>
        <w:t xml:space="preserve"> </w:t>
      </w:r>
      <w:r w:rsidRPr="008E2A7B">
        <w:rPr>
          <w:lang w:val="en-GB"/>
        </w:rPr>
        <w:t>of knowledge and information about wind power. An example is the research programme Vindval, which aims to collect and provide scientific knowledge about wind power’s impacts on humans a</w:t>
      </w:r>
      <w:r w:rsidR="00F57481">
        <w:rPr>
          <w:lang w:val="en-GB"/>
        </w:rPr>
        <w:t>nd on nature</w:t>
      </w:r>
      <w:r w:rsidRPr="008E2A7B">
        <w:rPr>
          <w:lang w:val="en-GB"/>
        </w:rPr>
        <w:t xml:space="preserve">. </w:t>
      </w:r>
    </w:p>
    <w:p w14:paraId="406EC7C2" w14:textId="77777777" w:rsidR="0044710E" w:rsidRPr="008E2A7B" w:rsidRDefault="0044710E" w:rsidP="0044710E">
      <w:pPr>
        <w:pStyle w:val="Brdtext"/>
        <w:contextualSpacing/>
        <w:rPr>
          <w:lang w:val="en-GB"/>
        </w:rPr>
      </w:pPr>
    </w:p>
    <w:p w14:paraId="74F236A3" w14:textId="34C80AB3" w:rsidR="0044710E" w:rsidRPr="008E2A7B" w:rsidRDefault="0044710E" w:rsidP="0044710E">
      <w:pPr>
        <w:pStyle w:val="Brdtext"/>
        <w:rPr>
          <w:lang w:val="en-GB"/>
        </w:rPr>
      </w:pPr>
      <w:r w:rsidRPr="008E2A7B">
        <w:rPr>
          <w:lang w:val="en-GB"/>
        </w:rPr>
        <w:t>Since 2004, certain land and water areas in Sweden have been designated as areas of national interest for wind power. There are 313 such areas in Sweden, of which 284 are located onshore and 29 offshore. The most recent update was carried out in 2013 and four areas were added in 2015. The total area of these national interests for wind power is roughly 7,900 km</w:t>
      </w:r>
      <w:r w:rsidRPr="008E2A7B">
        <w:rPr>
          <w:vertAlign w:val="superscript"/>
          <w:lang w:val="en-GB"/>
        </w:rPr>
        <w:t>2</w:t>
      </w:r>
      <w:r w:rsidRPr="008E2A7B">
        <w:rPr>
          <w:lang w:val="en-GB"/>
        </w:rPr>
        <w:t>, representing about 1.5% of the country’s land area, including Swedish waters.</w:t>
      </w:r>
      <w:r w:rsidR="00903023">
        <w:rPr>
          <w:rStyle w:val="Fotnotsreferens"/>
          <w:lang w:val="en-GB"/>
        </w:rPr>
        <w:footnoteReference w:id="23"/>
      </w:r>
      <w:r w:rsidR="00903023">
        <w:rPr>
          <w:lang w:val="en-GB"/>
        </w:rPr>
        <w:t xml:space="preserve"> </w:t>
      </w:r>
    </w:p>
    <w:p w14:paraId="0B271144" w14:textId="77777777" w:rsidR="0044710E" w:rsidRPr="008E2A7B" w:rsidRDefault="0044710E" w:rsidP="0044710E">
      <w:pPr>
        <w:pStyle w:val="Brdtext"/>
        <w:contextualSpacing/>
        <w:rPr>
          <w:b/>
          <w:lang w:val="en-GB"/>
        </w:rPr>
      </w:pPr>
      <w:r w:rsidRPr="008E2A7B">
        <w:rPr>
          <w:b/>
          <w:lang w:val="en-GB"/>
        </w:rPr>
        <w:t>Marine plans are being developed</w:t>
      </w:r>
    </w:p>
    <w:p w14:paraId="74CE0F87" w14:textId="77777777" w:rsidR="0044710E" w:rsidRPr="008E2A7B" w:rsidRDefault="0044710E" w:rsidP="0044710E">
      <w:pPr>
        <w:pStyle w:val="Brdtext"/>
        <w:contextualSpacing/>
        <w:rPr>
          <w:lang w:val="en-GB"/>
        </w:rPr>
      </w:pPr>
      <w:r w:rsidRPr="008E2A7B">
        <w:rPr>
          <w:lang w:val="en-GB"/>
        </w:rPr>
        <w:t>The Government decided in 2015 on a marine planning regulation that regulates how state-owned maritime planning is to be carried out in Sweden. According to the regulation, the seawater and water authority will draw up proposals for sea plans for the Gulf of Bothnia, the Baltic Sea and the North Sea. The marine plans shall contribute to the sustainable use of the marine resources and the development of nutrients while at the same time achieving a good marine environment. The work also includes study the potential for using marine energy in the form of offshore wind power and wave energy. In the autumn of 2016, the marine and water authority developed the first draft for maritime plans. Currently, dialogues between relevant authorities are in preparation for the consultations on marine plans scheduled to take place in early 2018.</w:t>
      </w:r>
    </w:p>
    <w:p w14:paraId="2036A63B" w14:textId="77777777" w:rsidR="0044710E" w:rsidRPr="008E2A7B" w:rsidRDefault="0044710E" w:rsidP="0044710E">
      <w:pPr>
        <w:pStyle w:val="Brdtext"/>
        <w:contextualSpacing/>
        <w:rPr>
          <w:lang w:val="en-GB"/>
        </w:rPr>
      </w:pPr>
    </w:p>
    <w:p w14:paraId="6B93E665" w14:textId="77777777" w:rsidR="0044710E" w:rsidRPr="008E2A7B" w:rsidRDefault="0044710E" w:rsidP="0044710E">
      <w:pPr>
        <w:pStyle w:val="Brdtext"/>
        <w:contextualSpacing/>
        <w:rPr>
          <w:b/>
          <w:lang w:val="en-GB"/>
        </w:rPr>
      </w:pPr>
      <w:r w:rsidRPr="008E2A7B">
        <w:rPr>
          <w:b/>
          <w:lang w:val="en-GB"/>
        </w:rPr>
        <w:t>Guidance on wind turbine disposal</w:t>
      </w:r>
    </w:p>
    <w:p w14:paraId="23FA9D0A" w14:textId="77777777" w:rsidR="0044710E" w:rsidRPr="008E2A7B" w:rsidRDefault="0044710E" w:rsidP="0044710E">
      <w:pPr>
        <w:pStyle w:val="Brdtext"/>
        <w:contextualSpacing/>
        <w:rPr>
          <w:lang w:val="en-GB"/>
        </w:rPr>
      </w:pPr>
      <w:r w:rsidRPr="008E2A7B">
        <w:rPr>
          <w:lang w:val="en-GB"/>
        </w:rPr>
        <w:t>There is a guide for dismantling wind turbines and restoring the site that was published in 2016. The guidance summarizes the available knowledge and provides recommendations for dismantling wind turbines and restoring the site in order to contribute to a more uniform application in the country.</w:t>
      </w:r>
    </w:p>
    <w:p w14:paraId="60675548" w14:textId="77777777" w:rsidR="0044710E" w:rsidRPr="008E2A7B" w:rsidRDefault="0044710E" w:rsidP="0044710E">
      <w:pPr>
        <w:pStyle w:val="i-lista"/>
        <w:numPr>
          <w:ilvl w:val="1"/>
          <w:numId w:val="13"/>
        </w:numPr>
        <w:rPr>
          <w:i/>
          <w:lang w:val="en-GB"/>
        </w:rPr>
      </w:pPr>
      <w:r w:rsidRPr="008E2A7B">
        <w:rPr>
          <w:i/>
          <w:lang w:val="en-GB"/>
        </w:rPr>
        <w:lastRenderedPageBreak/>
        <w:t>Assessment of the necessity to build new infrastructure for district heating and cooling produced from renewable energy sources</w:t>
      </w:r>
    </w:p>
    <w:p w14:paraId="773FA463" w14:textId="77777777" w:rsidR="0044710E" w:rsidRPr="008E2A7B" w:rsidRDefault="0044710E" w:rsidP="0044710E">
      <w:pPr>
        <w:pStyle w:val="Brdtext"/>
        <w:rPr>
          <w:lang w:val="en-GB"/>
        </w:rPr>
      </w:pPr>
      <w:r w:rsidRPr="008E2A7B">
        <w:rPr>
          <w:lang w:val="en-GB"/>
        </w:rPr>
        <w:t>The Swedish district heating is well developed and its share of renewable energy is high. The assessment of the necessity and profitability of building new infrastructure is made by the owners.</w:t>
      </w:r>
    </w:p>
    <w:p w14:paraId="5F92661F" w14:textId="77777777" w:rsidR="0044710E" w:rsidRPr="008E2A7B" w:rsidRDefault="0044710E" w:rsidP="0044710E">
      <w:pPr>
        <w:pStyle w:val="i-lista"/>
        <w:numPr>
          <w:ilvl w:val="1"/>
          <w:numId w:val="13"/>
        </w:numPr>
        <w:rPr>
          <w:i/>
          <w:lang w:val="en-GB"/>
        </w:rPr>
      </w:pPr>
      <w:r w:rsidRPr="008E2A7B">
        <w:rPr>
          <w:i/>
          <w:lang w:val="en-GB"/>
        </w:rPr>
        <w:t>Specific measures on the promotion of the use of energy from biomass, especially for new biomass mobilisation taking into account:</w:t>
      </w:r>
    </w:p>
    <w:p w14:paraId="0E648C5B" w14:textId="77777777" w:rsidR="0044710E" w:rsidRPr="008E2A7B" w:rsidRDefault="0044710E" w:rsidP="0044710E">
      <w:pPr>
        <w:pStyle w:val="i-lista"/>
        <w:numPr>
          <w:ilvl w:val="0"/>
          <w:numId w:val="14"/>
        </w:numPr>
        <w:rPr>
          <w:i/>
          <w:lang w:val="en-GB"/>
        </w:rPr>
      </w:pPr>
      <w:r w:rsidRPr="008E2A7B">
        <w:rPr>
          <w:i/>
          <w:lang w:val="en-GB"/>
        </w:rPr>
        <w:t>biomass availability: both domestic potential and imports from third countries</w:t>
      </w:r>
    </w:p>
    <w:p w14:paraId="42693169" w14:textId="77777777" w:rsidR="0044710E" w:rsidRPr="008E2A7B" w:rsidRDefault="0044710E" w:rsidP="0044710E">
      <w:pPr>
        <w:pStyle w:val="i-lista"/>
        <w:numPr>
          <w:ilvl w:val="0"/>
          <w:numId w:val="14"/>
        </w:numPr>
        <w:rPr>
          <w:i/>
          <w:lang w:val="en-GB"/>
        </w:rPr>
      </w:pPr>
      <w:r w:rsidRPr="008E2A7B">
        <w:rPr>
          <w:i/>
          <w:lang w:val="en-GB"/>
        </w:rPr>
        <w:t>other biomass uses by other sectors (agriculture and forest-based sectors); as well as measures for the sustainability of biomass production and use</w:t>
      </w:r>
    </w:p>
    <w:p w14:paraId="58996561" w14:textId="77777777" w:rsidR="0044710E" w:rsidRPr="008E2A7B" w:rsidRDefault="0044710E" w:rsidP="0044710E">
      <w:pPr>
        <w:pStyle w:val="Brdtext"/>
        <w:rPr>
          <w:lang w:val="en-GB"/>
        </w:rPr>
      </w:pPr>
      <w:r w:rsidRPr="008E2A7B">
        <w:rPr>
          <w:lang w:val="en-GB"/>
        </w:rPr>
        <w:t>See 3.1.1.</w:t>
      </w:r>
      <w:r w:rsidRPr="008E2A7B">
        <w:rPr>
          <w:i/>
          <w:lang w:val="en-GB"/>
        </w:rPr>
        <w:t>i</w:t>
      </w:r>
      <w:r w:rsidRPr="008E2A7B">
        <w:rPr>
          <w:lang w:val="en-GB"/>
        </w:rPr>
        <w:t xml:space="preserve"> and 3.1.2.</w:t>
      </w:r>
      <w:r w:rsidRPr="008E2A7B">
        <w:rPr>
          <w:i/>
          <w:lang w:val="en-GB"/>
        </w:rPr>
        <w:t>i</w:t>
      </w:r>
      <w:r w:rsidRPr="008E2A7B">
        <w:rPr>
          <w:lang w:val="en-GB"/>
        </w:rPr>
        <w:t>.</w:t>
      </w:r>
    </w:p>
    <w:p w14:paraId="0FD32B15" w14:textId="77777777" w:rsidR="0044710E" w:rsidRPr="008E2A7B" w:rsidRDefault="0044710E" w:rsidP="0044710E">
      <w:pPr>
        <w:pStyle w:val="Rubrik3"/>
        <w:rPr>
          <w:lang w:val="en-GB"/>
        </w:rPr>
      </w:pPr>
      <w:r w:rsidRPr="008E2A7B">
        <w:rPr>
          <w:lang w:val="en-GB"/>
        </w:rPr>
        <w:t>Other elements of the dimension</w:t>
      </w:r>
    </w:p>
    <w:p w14:paraId="33288D3C" w14:textId="77777777" w:rsidR="0044710E" w:rsidRPr="008E2A7B" w:rsidRDefault="0044710E" w:rsidP="0044710E">
      <w:pPr>
        <w:pStyle w:val="i-lista"/>
        <w:numPr>
          <w:ilvl w:val="1"/>
          <w:numId w:val="15"/>
        </w:numPr>
        <w:rPr>
          <w:i/>
          <w:lang w:val="en-GB"/>
        </w:rPr>
      </w:pPr>
      <w:r w:rsidRPr="008E2A7B">
        <w:rPr>
          <w:i/>
          <w:lang w:val="en-GB"/>
        </w:rPr>
        <w:t>If applicable, national policies and measures affecting the EU ETS sector and assessment of the complementarity and impacts on the EU ETS</w:t>
      </w:r>
    </w:p>
    <w:p w14:paraId="3ED6F8CA" w14:textId="03C6E4BC" w:rsidR="00123FE2" w:rsidRPr="008E2A7B" w:rsidRDefault="001C6D34" w:rsidP="001C6D34">
      <w:pPr>
        <w:pStyle w:val="Brdtext"/>
        <w:contextualSpacing/>
        <w:rPr>
          <w:rFonts w:cs="Helvetica"/>
          <w:b/>
          <w:color w:val="FF0000"/>
          <w:lang w:val="en-GB"/>
        </w:rPr>
      </w:pPr>
      <w:r w:rsidRPr="008E2A7B">
        <w:rPr>
          <w:rFonts w:cs="Helvetica"/>
          <w:b/>
          <w:color w:val="FF0000"/>
          <w:lang w:val="en-GB"/>
        </w:rPr>
        <w:t>Industrial Leap</w:t>
      </w:r>
    </w:p>
    <w:p w14:paraId="58134515" w14:textId="06849460" w:rsidR="00123FE2" w:rsidRPr="008E2A7B" w:rsidRDefault="00123FE2" w:rsidP="001C6D34">
      <w:pPr>
        <w:pStyle w:val="Brdtext"/>
        <w:contextualSpacing/>
        <w:rPr>
          <w:color w:val="FF0000"/>
          <w:lang w:val="en-GB"/>
        </w:rPr>
      </w:pPr>
      <w:r w:rsidRPr="008E2A7B">
        <w:rPr>
          <w:color w:val="FF0000"/>
          <w:lang w:val="en-GB"/>
        </w:rPr>
        <w:t>In the budget proposal for 2018, the Government has proposed the “Industrial Leap”. Under the Industrial Leap, the government will invest SEK 300 million annually from 2018 until 2040 to support the development of technologies and processes to significantly reduce process-related greenhouse gas emissions in Swedish industry. Financial support may be provided for feasibility studies, including detailed design studies, and full-scale investments. Companies with process-related emissions are eligible to apply for financial support for particular projects along with universities and research institutes. The aim of this long-term reform is to support Swedish industry to reduce its process-related emissions to achieve Sweden’s long-term climate targets. The Industrial Leap will be administered by the Swedish Energy Agency.</w:t>
      </w:r>
    </w:p>
    <w:p w14:paraId="76049605" w14:textId="77777777" w:rsidR="001C6D34" w:rsidRPr="008E2A7B" w:rsidRDefault="001C6D34" w:rsidP="001C6D34">
      <w:pPr>
        <w:pStyle w:val="Brdtext"/>
        <w:contextualSpacing/>
        <w:rPr>
          <w:color w:val="222222"/>
          <w:lang w:val="en-GB"/>
        </w:rPr>
      </w:pPr>
    </w:p>
    <w:p w14:paraId="35BF1103" w14:textId="22740FC7" w:rsidR="0044710E" w:rsidRPr="008E2A7B" w:rsidRDefault="00123FE2" w:rsidP="0044710E">
      <w:pPr>
        <w:pStyle w:val="Brdtext"/>
        <w:rPr>
          <w:lang w:val="en-GB"/>
        </w:rPr>
      </w:pPr>
      <w:r w:rsidRPr="008E2A7B">
        <w:rPr>
          <w:lang w:val="en-GB"/>
        </w:rPr>
        <w:t xml:space="preserve">In addition to the Industrial Leap, some </w:t>
      </w:r>
      <w:r w:rsidR="0044710E" w:rsidRPr="008E2A7B">
        <w:rPr>
          <w:lang w:val="en-GB"/>
        </w:rPr>
        <w:t xml:space="preserve">of the policies and measures </w:t>
      </w:r>
      <w:r w:rsidRPr="008E2A7B">
        <w:rPr>
          <w:lang w:val="en-GB"/>
        </w:rPr>
        <w:t xml:space="preserve">mentioned under other headings </w:t>
      </w:r>
      <w:r w:rsidR="0044710E" w:rsidRPr="008E2A7B">
        <w:rPr>
          <w:lang w:val="en-GB"/>
        </w:rPr>
        <w:t>affect sectors that are covered by the EU ETS. Considering the current weak price signal and large surplus of allowances in the system, it is Sweden’s belief that the incentives for mitigation measures are not compatible with long-term climate targets. If this situation would change in the next trading period, so that the EU ETS delivers incentives compatible with long-term climate targets, the issue of complementarity and impacts on the EU ETS could be revisited.</w:t>
      </w:r>
    </w:p>
    <w:p w14:paraId="7DFC6E3D" w14:textId="77777777" w:rsidR="0044710E" w:rsidRPr="008E2A7B" w:rsidRDefault="0044710E" w:rsidP="0044710E">
      <w:pPr>
        <w:pStyle w:val="i-lista"/>
        <w:numPr>
          <w:ilvl w:val="1"/>
          <w:numId w:val="15"/>
        </w:numPr>
        <w:rPr>
          <w:i/>
          <w:lang w:val="en-GB"/>
        </w:rPr>
      </w:pPr>
      <w:r w:rsidRPr="008E2A7B">
        <w:rPr>
          <w:i/>
          <w:lang w:val="en-GB"/>
        </w:rPr>
        <w:lastRenderedPageBreak/>
        <w:t>Strategies, plans and measures on adaptation to climate change</w:t>
      </w:r>
    </w:p>
    <w:p w14:paraId="581E054E" w14:textId="77777777" w:rsidR="0044710E" w:rsidRPr="008E2A7B" w:rsidRDefault="0044710E" w:rsidP="0044710E">
      <w:pPr>
        <w:pStyle w:val="Brdtext"/>
        <w:rPr>
          <w:lang w:val="en-GB"/>
        </w:rPr>
      </w:pPr>
      <w:r w:rsidRPr="008E2A7B">
        <w:rPr>
          <w:lang w:val="en-GB"/>
        </w:rPr>
        <w:t xml:space="preserve">Efforts are being made to improve adaptive capacity in Sweden, with several national authorities developing adaptation action plans for their areas of responsibility. Plans are also in place at the regional level, and in many cities. Significant progress and increased awareness of the importance of adaptation have been achieved in the last few years. </w:t>
      </w:r>
    </w:p>
    <w:p w14:paraId="12BE77F3" w14:textId="77777777" w:rsidR="0044710E" w:rsidRPr="008E2A7B" w:rsidRDefault="0044710E" w:rsidP="0044710E">
      <w:pPr>
        <w:pStyle w:val="Brdtext"/>
        <w:contextualSpacing/>
        <w:rPr>
          <w:b/>
          <w:lang w:val="en-GB"/>
        </w:rPr>
      </w:pPr>
      <w:bookmarkStart w:id="28" w:name="_Toc485742655"/>
      <w:r w:rsidRPr="008E2A7B">
        <w:rPr>
          <w:b/>
          <w:lang w:val="en-GB"/>
        </w:rPr>
        <w:t>Domestic adaptation policies and strategies</w:t>
      </w:r>
      <w:bookmarkEnd w:id="28"/>
    </w:p>
    <w:p w14:paraId="300C6D5C" w14:textId="77777777" w:rsidR="0044710E" w:rsidRPr="008E2A7B" w:rsidRDefault="0044710E" w:rsidP="0044710E">
      <w:pPr>
        <w:pStyle w:val="Brdtext"/>
        <w:contextualSpacing/>
        <w:rPr>
          <w:lang w:val="en-GB"/>
        </w:rPr>
      </w:pPr>
      <w:r w:rsidRPr="008E2A7B">
        <w:rPr>
          <w:lang w:val="en-GB"/>
        </w:rPr>
        <w:t>In 2009 the Swedish Parliament adopted a coherent policy for climate and energy (Govt. Bill 2008/09:162. 2008. An Integrated Climate and Energy Policy), which includes the initial steps for Swedish society to adapt to a changing climate. It lays the foundation for a medium-term process to progressively identify the effects of climate change, assess the risks, and develop and implement adaptation measures. The strategy commits to concrete steps in the further development and implementation of adaptation measures. It follows an integrated approach that takes account of the interactions between sector and regional activities and strives to incorporate consideration of the possible impacts of climate change in all relevant policies.</w:t>
      </w:r>
    </w:p>
    <w:p w14:paraId="67CC3238" w14:textId="77777777" w:rsidR="0044710E" w:rsidRPr="008E2A7B" w:rsidRDefault="0044710E" w:rsidP="0044710E">
      <w:pPr>
        <w:pStyle w:val="Brdtext"/>
        <w:contextualSpacing/>
        <w:rPr>
          <w:lang w:val="en-GB"/>
        </w:rPr>
      </w:pPr>
    </w:p>
    <w:p w14:paraId="1FAF7958" w14:textId="77777777" w:rsidR="0044710E" w:rsidRPr="008E2A7B" w:rsidRDefault="0044710E" w:rsidP="0044710E">
      <w:pPr>
        <w:pStyle w:val="Brdtext"/>
        <w:rPr>
          <w:lang w:val="en-GB"/>
        </w:rPr>
      </w:pPr>
      <w:r w:rsidRPr="008E2A7B">
        <w:rPr>
          <w:lang w:val="en-GB"/>
        </w:rPr>
        <w:t xml:space="preserve">As the work on adaptation cuts across may different disciplines, it is to a large extent guided by existing legislation, frameworks and targets, both national and international. Examples include the work on Agenda 2030 and the Swedish Environmental Quality Objectives. </w:t>
      </w:r>
    </w:p>
    <w:p w14:paraId="29CEE722" w14:textId="77777777" w:rsidR="0044710E" w:rsidRPr="008E2A7B" w:rsidRDefault="0044710E" w:rsidP="0044710E">
      <w:pPr>
        <w:pStyle w:val="Brdtext"/>
        <w:rPr>
          <w:lang w:val="en-GB"/>
        </w:rPr>
      </w:pPr>
      <w:r w:rsidRPr="008E2A7B">
        <w:rPr>
          <w:lang w:val="en-GB"/>
        </w:rPr>
        <w:t>Many Swedish authorities play an important role in adaptation work through their respective sectoral responsibilities and are working on preventive measures, building knowledge and improving resilience.</w:t>
      </w:r>
    </w:p>
    <w:p w14:paraId="0185C5BE" w14:textId="77777777" w:rsidR="0044710E" w:rsidRPr="008E2A7B" w:rsidRDefault="0044710E" w:rsidP="0044710E">
      <w:pPr>
        <w:pStyle w:val="Brdtext"/>
        <w:rPr>
          <w:lang w:val="en-GB"/>
        </w:rPr>
      </w:pPr>
      <w:r w:rsidRPr="008E2A7B">
        <w:rPr>
          <w:lang w:val="en-GB"/>
        </w:rPr>
        <w:t>The regional government offices (County Administrative Boards, or CABs) are responsible for coordinating the regional adaptation work and supporting local actors in their adaptation work. The CABs report annually to the Government about the actions taken to adapt to climate change.</w:t>
      </w:r>
    </w:p>
    <w:p w14:paraId="03FFBAF5" w14:textId="01A8ADE2" w:rsidR="0044710E" w:rsidRPr="008E2A7B" w:rsidRDefault="0044710E" w:rsidP="0044710E">
      <w:pPr>
        <w:pStyle w:val="Brdtext"/>
        <w:rPr>
          <w:lang w:val="en-GB"/>
        </w:rPr>
      </w:pPr>
      <w:r w:rsidRPr="008E2A7B">
        <w:rPr>
          <w:lang w:val="en-GB"/>
        </w:rPr>
        <w:t>In 2012, SMHI</w:t>
      </w:r>
      <w:r w:rsidRPr="008E2A7B">
        <w:rPr>
          <w:rStyle w:val="Kommentarsreferens"/>
          <w:rFonts w:ascii="Times New Roman" w:eastAsia="Times New Roman" w:hAnsi="Times New Roman"/>
          <w:spacing w:val="0"/>
          <w:lang w:val="en-GB" w:eastAsia="sv-SE"/>
        </w:rPr>
        <w:t xml:space="preserve"> </w:t>
      </w:r>
      <w:r w:rsidRPr="008E2A7B">
        <w:rPr>
          <w:lang w:val="en-GB"/>
        </w:rPr>
        <w:t>(Swedish Metrolog</w:t>
      </w:r>
      <w:r w:rsidR="008821B1">
        <w:rPr>
          <w:lang w:val="en-GB"/>
        </w:rPr>
        <w:t>ical and Hydrological Institute) w</w:t>
      </w:r>
      <w:r w:rsidRPr="008E2A7B">
        <w:rPr>
          <w:lang w:val="en-GB"/>
        </w:rPr>
        <w:t>as tasked to form the National Knowledge Centre for Adaptation, to assist municipalities, regions, authorities and other stakeholders in their adaptation efforts. In 2017, the Centre has a budget of approximately SEK </w:t>
      </w:r>
      <w:r w:rsidR="00EB4AA9">
        <w:rPr>
          <w:lang w:val="en-GB"/>
        </w:rPr>
        <w:t>1</w:t>
      </w:r>
      <w:r w:rsidRPr="00722FEC">
        <w:rPr>
          <w:lang w:val="en-GB"/>
        </w:rPr>
        <w:t>5</w:t>
      </w:r>
      <w:r w:rsidRPr="008E2A7B">
        <w:rPr>
          <w:lang w:val="en-GB"/>
        </w:rPr>
        <w:t> million.</w:t>
      </w:r>
    </w:p>
    <w:p w14:paraId="04B3ED93" w14:textId="77777777" w:rsidR="0044710E" w:rsidRPr="008E2A7B" w:rsidRDefault="0044710E" w:rsidP="0044710E">
      <w:pPr>
        <w:pStyle w:val="Brdtext"/>
        <w:contextualSpacing/>
        <w:rPr>
          <w:b/>
          <w:lang w:val="en-GB"/>
        </w:rPr>
      </w:pPr>
      <w:bookmarkStart w:id="29" w:name="_Toc485742656"/>
      <w:r w:rsidRPr="008E2A7B">
        <w:rPr>
          <w:b/>
          <w:lang w:val="en-GB"/>
        </w:rPr>
        <w:t>Adaptation action plans</w:t>
      </w:r>
      <w:bookmarkEnd w:id="29"/>
    </w:p>
    <w:p w14:paraId="05ADD198" w14:textId="77777777" w:rsidR="0044710E" w:rsidRPr="008E2A7B" w:rsidRDefault="0044710E" w:rsidP="0044710E">
      <w:pPr>
        <w:pStyle w:val="Brdtext"/>
        <w:contextualSpacing/>
        <w:rPr>
          <w:lang w:val="en-GB"/>
        </w:rPr>
      </w:pPr>
      <w:r w:rsidRPr="008E2A7B">
        <w:rPr>
          <w:lang w:val="en-GB"/>
        </w:rPr>
        <w:t xml:space="preserve">To underpin the national strategy with specific actions, the regional government offices have adopted 21 regional action plans covering the entire country of Sweden with nearly 800 proposed actions. The main actions proposed in the plans concern flood protection, protection of drinking water, shoreline protection, infrastructure (roads, railways), </w:t>
      </w:r>
      <w:r w:rsidRPr="008E2A7B">
        <w:rPr>
          <w:lang w:val="en-GB"/>
        </w:rPr>
        <w:lastRenderedPageBreak/>
        <w:t xml:space="preserve">adaptation of agriculture and forestry, resilience for heatwaves and health care. </w:t>
      </w:r>
    </w:p>
    <w:p w14:paraId="784E565C" w14:textId="77777777" w:rsidR="0044710E" w:rsidRPr="008E2A7B" w:rsidRDefault="0044710E" w:rsidP="0044710E">
      <w:pPr>
        <w:pStyle w:val="Brdtext"/>
        <w:contextualSpacing/>
        <w:rPr>
          <w:lang w:val="en-GB"/>
        </w:rPr>
      </w:pPr>
    </w:p>
    <w:p w14:paraId="7054013F" w14:textId="79939B48" w:rsidR="0044710E" w:rsidRPr="008E2A7B" w:rsidRDefault="0044710E" w:rsidP="0044710E">
      <w:pPr>
        <w:pStyle w:val="Brdtext"/>
        <w:rPr>
          <w:lang w:val="en-GB"/>
        </w:rPr>
      </w:pPr>
      <w:r w:rsidRPr="008E2A7B">
        <w:rPr>
          <w:lang w:val="en-GB"/>
        </w:rPr>
        <w:t xml:space="preserve">Several national authorities have developed or are developing action plans for the sectors that fall under their responsibility. </w:t>
      </w:r>
      <w:r w:rsidR="007366A0" w:rsidRPr="008E2A7B">
        <w:rPr>
          <w:lang w:val="en-GB"/>
        </w:rPr>
        <w:t xml:space="preserve">So far, sectors that have received national funds for developing such plans include forestry, human health, construction/land use and reindeer herding/sami culture. </w:t>
      </w:r>
      <w:r w:rsidRPr="008E2A7B">
        <w:rPr>
          <w:lang w:val="en-GB"/>
        </w:rPr>
        <w:t>Some local authorities have also developed adaptation action plans for their municipality. Significant progress and increased awareness of the importance of adaptation have been achieved in the last few years, at all levels of society.</w:t>
      </w:r>
    </w:p>
    <w:p w14:paraId="61C0D3EF" w14:textId="77777777" w:rsidR="0044710E" w:rsidRPr="008E2A7B" w:rsidRDefault="0044710E" w:rsidP="0044710E">
      <w:pPr>
        <w:pStyle w:val="Brdtext"/>
        <w:contextualSpacing/>
        <w:rPr>
          <w:b/>
          <w:lang w:val="en-GB"/>
        </w:rPr>
      </w:pPr>
      <w:bookmarkStart w:id="30" w:name="_Toc485742657"/>
      <w:r w:rsidRPr="008E2A7B">
        <w:rPr>
          <w:b/>
          <w:lang w:val="en-GB"/>
        </w:rPr>
        <w:t>Implementation</w:t>
      </w:r>
      <w:bookmarkEnd w:id="30"/>
    </w:p>
    <w:p w14:paraId="3DFD7B46" w14:textId="373C43BF" w:rsidR="0044710E" w:rsidRPr="008E2A7B" w:rsidRDefault="0044710E" w:rsidP="0044710E">
      <w:pPr>
        <w:pStyle w:val="Brdtext"/>
        <w:rPr>
          <w:lang w:val="en-GB"/>
        </w:rPr>
      </w:pPr>
      <w:r w:rsidRPr="008E2A7B">
        <w:rPr>
          <w:lang w:val="en-GB"/>
        </w:rPr>
        <w:t xml:space="preserve">The Government finances measures to improve knowledge about the impacts of climate change and to address these impacts, for example by implementing prevention measures against landslides and flooding. For 2018, the budget is </w:t>
      </w:r>
      <w:r w:rsidR="007366A0" w:rsidRPr="008E2A7B">
        <w:rPr>
          <w:lang w:val="en-GB"/>
        </w:rPr>
        <w:t xml:space="preserve">increased to </w:t>
      </w:r>
      <w:r w:rsidRPr="008E2A7B">
        <w:rPr>
          <w:lang w:val="en-GB"/>
        </w:rPr>
        <w:t>SEK 214 million.</w:t>
      </w:r>
      <w:r w:rsidR="007366A0" w:rsidRPr="008E2A7B">
        <w:rPr>
          <w:lang w:val="en-GB"/>
        </w:rPr>
        <w:t xml:space="preserve"> This includes funding for actions to prevent landslides in a particularly vulnerable area of Sweden. </w:t>
      </w:r>
    </w:p>
    <w:p w14:paraId="406F13C2" w14:textId="2CA60129" w:rsidR="0044710E" w:rsidRPr="008E2A7B" w:rsidRDefault="0044710E" w:rsidP="0044710E">
      <w:pPr>
        <w:pStyle w:val="Brdtext"/>
        <w:rPr>
          <w:lang w:val="en-GB"/>
        </w:rPr>
      </w:pPr>
      <w:r w:rsidRPr="008E2A7B">
        <w:rPr>
          <w:lang w:val="en-GB"/>
        </w:rPr>
        <w:t>The Swedish climate change adaptation work is primarily organised by sector. During 2016 the previous network of authorities behind the National Portal for Climate Change Adaptation became the National Network for Ad</w:t>
      </w:r>
      <w:r w:rsidR="007366A0" w:rsidRPr="008E2A7B">
        <w:rPr>
          <w:lang w:val="en-GB"/>
        </w:rPr>
        <w:t>aptation, with a wider remit. 19</w:t>
      </w:r>
      <w:r w:rsidRPr="008E2A7B">
        <w:rPr>
          <w:lang w:val="en-GB"/>
        </w:rPr>
        <w:t xml:space="preserve"> national authorities with responsibilities for adaptation participate in the network, which aims to increase the resilience of society to climate change. The secretariat for the network is provided by SMHI.</w:t>
      </w:r>
    </w:p>
    <w:p w14:paraId="77874960" w14:textId="56314E03" w:rsidR="007366A0" w:rsidRPr="008E2A7B" w:rsidRDefault="007366A0" w:rsidP="0044710E">
      <w:pPr>
        <w:pStyle w:val="Brdtext"/>
        <w:rPr>
          <w:lang w:val="en-GB"/>
        </w:rPr>
      </w:pPr>
      <w:r w:rsidRPr="008E2A7B">
        <w:rPr>
          <w:lang w:val="en-GB"/>
        </w:rPr>
        <w:t>The Government also distributes assignments related to various measures to sector agencies. Most adaptation issues are, however, multidisciplinary, meaning that work on climate adaptation is largely performed in collaboration between different actors and sectors at the national, regional and local levels.</w:t>
      </w:r>
    </w:p>
    <w:p w14:paraId="0055BF77" w14:textId="77777777" w:rsidR="0044710E" w:rsidRPr="008E2A7B" w:rsidRDefault="0044710E" w:rsidP="0044710E">
      <w:pPr>
        <w:pStyle w:val="Brdtext"/>
        <w:rPr>
          <w:lang w:val="en-GB"/>
        </w:rPr>
      </w:pPr>
      <w:r w:rsidRPr="008E2A7B">
        <w:rPr>
          <w:lang w:val="en-GB"/>
        </w:rPr>
        <w:t>Sweden has a well-established and functioning framework for disaster risk reduction (DRR), including work in forums for crisis preparedness. The work is coordinated by the Swedish Civil Contingencies Agency (MSB). </w:t>
      </w:r>
    </w:p>
    <w:p w14:paraId="74FFE207" w14:textId="53B0FD9A" w:rsidR="007366A0" w:rsidRPr="008E2A7B" w:rsidRDefault="007366A0" w:rsidP="007366A0">
      <w:pPr>
        <w:pStyle w:val="Brdtext"/>
        <w:rPr>
          <w:lang w:val="en-GB"/>
        </w:rPr>
      </w:pPr>
      <w:r w:rsidRPr="008E2A7B">
        <w:rPr>
          <w:lang w:val="en-GB"/>
        </w:rPr>
        <w:t>Cooperation is promoted on all levels and between sectors and actors working with land use planning, risk management, natural disasters and climate adaptation, in order to reduce risks and enhance preparedness.</w:t>
      </w:r>
    </w:p>
    <w:p w14:paraId="6A0A9C57" w14:textId="34211292" w:rsidR="007366A0" w:rsidRPr="008E2A7B" w:rsidRDefault="007366A0" w:rsidP="00A4650B">
      <w:pPr>
        <w:pStyle w:val="Brdtext"/>
        <w:rPr>
          <w:lang w:val="en-GB"/>
        </w:rPr>
      </w:pPr>
      <w:r w:rsidRPr="008E2A7B">
        <w:rPr>
          <w:lang w:val="en-GB"/>
        </w:rPr>
        <w:t>Several coordination forums currently exist in Sweden where sector agencies and other stakeholders can share experiences and plan key actio</w:t>
      </w:r>
      <w:r w:rsidR="00A4650B" w:rsidRPr="008E2A7B">
        <w:rPr>
          <w:lang w:val="en-GB"/>
        </w:rPr>
        <w:t>ns. These stakeholders include.</w:t>
      </w:r>
    </w:p>
    <w:p w14:paraId="341CAB8B" w14:textId="77777777" w:rsidR="007366A0" w:rsidRPr="008E2A7B" w:rsidRDefault="007366A0" w:rsidP="007366A0">
      <w:pPr>
        <w:pStyle w:val="Brdtext"/>
        <w:numPr>
          <w:ilvl w:val="0"/>
          <w:numId w:val="49"/>
        </w:numPr>
        <w:suppressAutoHyphens/>
        <w:spacing w:after="160" w:line="280" w:lineRule="atLeast"/>
        <w:rPr>
          <w:lang w:val="en-GB"/>
        </w:rPr>
      </w:pPr>
      <w:r w:rsidRPr="008E2A7B">
        <w:rPr>
          <w:lang w:val="en-GB"/>
        </w:rPr>
        <w:lastRenderedPageBreak/>
        <w:t>Agency network for shore erosion</w:t>
      </w:r>
    </w:p>
    <w:p w14:paraId="4AEDC997" w14:textId="77777777" w:rsidR="007366A0" w:rsidRPr="008E2A7B" w:rsidRDefault="007366A0" w:rsidP="007366A0">
      <w:pPr>
        <w:pStyle w:val="Brdtext"/>
        <w:numPr>
          <w:ilvl w:val="0"/>
          <w:numId w:val="49"/>
        </w:numPr>
        <w:suppressAutoHyphens/>
        <w:spacing w:after="160" w:line="280" w:lineRule="atLeast"/>
        <w:rPr>
          <w:lang w:val="en-GB"/>
        </w:rPr>
      </w:pPr>
      <w:r w:rsidRPr="008E2A7B">
        <w:rPr>
          <w:lang w:val="en-GB"/>
        </w:rPr>
        <w:t>Committee on dimensioned flows in hydroelectric dams in a changing climate</w:t>
      </w:r>
    </w:p>
    <w:p w14:paraId="1F5B7462" w14:textId="77777777" w:rsidR="007366A0" w:rsidRPr="008E2A7B" w:rsidRDefault="007366A0" w:rsidP="007366A0">
      <w:pPr>
        <w:pStyle w:val="Brdtext"/>
        <w:numPr>
          <w:ilvl w:val="0"/>
          <w:numId w:val="49"/>
        </w:numPr>
        <w:suppressAutoHyphens/>
        <w:spacing w:after="160" w:line="280" w:lineRule="atLeast"/>
        <w:rPr>
          <w:lang w:val="en-GB"/>
        </w:rPr>
      </w:pPr>
      <w:r w:rsidRPr="008E2A7B">
        <w:rPr>
          <w:lang w:val="en-GB"/>
        </w:rPr>
        <w:t>Delegation for landslides</w:t>
      </w:r>
    </w:p>
    <w:p w14:paraId="128C94DE" w14:textId="77777777" w:rsidR="007366A0" w:rsidRPr="008E2A7B" w:rsidRDefault="007366A0" w:rsidP="007366A0">
      <w:pPr>
        <w:pStyle w:val="Brdtext"/>
        <w:numPr>
          <w:ilvl w:val="0"/>
          <w:numId w:val="49"/>
        </w:numPr>
        <w:suppressAutoHyphens/>
        <w:spacing w:after="160" w:line="280" w:lineRule="atLeast"/>
        <w:rPr>
          <w:lang w:val="en-GB"/>
        </w:rPr>
      </w:pPr>
      <w:r w:rsidRPr="008E2A7B">
        <w:rPr>
          <w:lang w:val="en-GB"/>
        </w:rPr>
        <w:t>National network for drinking water</w:t>
      </w:r>
    </w:p>
    <w:p w14:paraId="1056F399" w14:textId="47AEA963" w:rsidR="007366A0" w:rsidRPr="008E2A7B" w:rsidRDefault="007366A0" w:rsidP="0044710E">
      <w:pPr>
        <w:pStyle w:val="Brdtext"/>
        <w:numPr>
          <w:ilvl w:val="0"/>
          <w:numId w:val="49"/>
        </w:numPr>
        <w:suppressAutoHyphens/>
        <w:spacing w:after="160" w:line="280" w:lineRule="atLeast"/>
        <w:rPr>
          <w:lang w:val="en-GB"/>
        </w:rPr>
      </w:pPr>
      <w:r w:rsidRPr="008E2A7B">
        <w:rPr>
          <w:lang w:val="en-GB"/>
        </w:rPr>
        <w:t xml:space="preserve">Network for adaptation </w:t>
      </w:r>
    </w:p>
    <w:p w14:paraId="749EDE5E" w14:textId="77777777" w:rsidR="0044710E" w:rsidRPr="008E2A7B" w:rsidRDefault="0044710E" w:rsidP="0044710E">
      <w:pPr>
        <w:pStyle w:val="Brdtext"/>
        <w:rPr>
          <w:lang w:val="en-GB"/>
        </w:rPr>
      </w:pPr>
      <w:r w:rsidRPr="008E2A7B">
        <w:rPr>
          <w:lang w:val="en-GB"/>
        </w:rPr>
        <w:t>Sweden’s municipalities are obliged to carry out risk and vulnerability assessments as a basis for coping with extraordinary events and crises. Such analyses also cover events that will be affected by climate change.</w:t>
      </w:r>
    </w:p>
    <w:p w14:paraId="0DC5A773" w14:textId="07DC1A87" w:rsidR="0044710E" w:rsidRPr="008E2A7B" w:rsidRDefault="0044710E" w:rsidP="0044710E">
      <w:pPr>
        <w:pStyle w:val="Brdtext"/>
        <w:rPr>
          <w:lang w:val="en-GB"/>
        </w:rPr>
      </w:pPr>
      <w:r w:rsidRPr="008E2A7B">
        <w:rPr>
          <w:lang w:val="en-GB"/>
        </w:rPr>
        <w:t xml:space="preserve">In built-up areas where the risk of natural disasters is particularly high, municipalities can apply for state funding for preventive actions. There is about SEK 75 million available </w:t>
      </w:r>
      <w:r w:rsidR="000D40B9" w:rsidRPr="008E2A7B">
        <w:rPr>
          <w:lang w:val="en-GB"/>
        </w:rPr>
        <w:t xml:space="preserve">annually </w:t>
      </w:r>
      <w:r w:rsidRPr="008E2A7B">
        <w:rPr>
          <w:lang w:val="en-GB"/>
        </w:rPr>
        <w:t xml:space="preserve">for </w:t>
      </w:r>
      <w:r w:rsidR="000D40B9" w:rsidRPr="008E2A7B">
        <w:rPr>
          <w:lang w:val="en-GB"/>
        </w:rPr>
        <w:t>2017-2020</w:t>
      </w:r>
      <w:r w:rsidRPr="008E2A7B">
        <w:rPr>
          <w:lang w:val="en-GB"/>
        </w:rPr>
        <w:t>. The funding is administrated by the Swedish Civil Contingencies Agency. Contributions can be made with up to 60% of eligible costs or to a maximum of 60% of the threatened objects’ value. Natural disaster in this context refers mainly to landslides or flooding.</w:t>
      </w:r>
    </w:p>
    <w:p w14:paraId="72B5ACD5" w14:textId="77777777" w:rsidR="0044710E" w:rsidRPr="008E2A7B" w:rsidRDefault="0044710E" w:rsidP="0044710E">
      <w:pPr>
        <w:pStyle w:val="i-lista"/>
        <w:numPr>
          <w:ilvl w:val="1"/>
          <w:numId w:val="15"/>
        </w:numPr>
        <w:rPr>
          <w:i/>
          <w:lang w:val="en-GB"/>
        </w:rPr>
      </w:pPr>
      <w:r w:rsidRPr="008E2A7B">
        <w:rPr>
          <w:i/>
          <w:lang w:val="en-GB"/>
        </w:rPr>
        <w:t>Policies and measures to achieve other national targets, if applicable</w:t>
      </w:r>
    </w:p>
    <w:p w14:paraId="3EB46136" w14:textId="77777777" w:rsidR="0044710E" w:rsidRPr="008E2A7B" w:rsidRDefault="0044710E" w:rsidP="0044710E">
      <w:pPr>
        <w:pStyle w:val="Brdtext"/>
        <w:rPr>
          <w:lang w:val="en-GB"/>
        </w:rPr>
      </w:pPr>
      <w:r w:rsidRPr="008E2A7B">
        <w:rPr>
          <w:lang w:val="en-GB"/>
        </w:rPr>
        <w:t>Not applicable.</w:t>
      </w:r>
    </w:p>
    <w:p w14:paraId="29023BF2" w14:textId="77777777" w:rsidR="0044710E" w:rsidRPr="008E2A7B" w:rsidRDefault="0044710E" w:rsidP="0044710E">
      <w:pPr>
        <w:pStyle w:val="i-lista"/>
        <w:numPr>
          <w:ilvl w:val="1"/>
          <w:numId w:val="15"/>
        </w:numPr>
        <w:rPr>
          <w:i/>
          <w:lang w:val="en-GB"/>
        </w:rPr>
      </w:pPr>
      <w:r w:rsidRPr="008E2A7B">
        <w:rPr>
          <w:i/>
          <w:lang w:val="en-GB"/>
        </w:rPr>
        <w:t>Policies and measures to achieve low-emission mobility (including electrification of transport)</w:t>
      </w:r>
    </w:p>
    <w:p w14:paraId="55C278E5" w14:textId="77777777" w:rsidR="0044710E" w:rsidRPr="008E2A7B" w:rsidRDefault="0044710E" w:rsidP="0044710E">
      <w:pPr>
        <w:pStyle w:val="Brdtext"/>
        <w:rPr>
          <w:lang w:val="en-GB"/>
        </w:rPr>
      </w:pPr>
      <w:r w:rsidRPr="008E2A7B">
        <w:rPr>
          <w:lang w:val="en-GB"/>
        </w:rPr>
        <w:t>See 3.1.1.</w:t>
      </w:r>
      <w:r w:rsidRPr="008E2A7B">
        <w:rPr>
          <w:i/>
          <w:lang w:val="en-GB"/>
        </w:rPr>
        <w:t>i</w:t>
      </w:r>
      <w:r w:rsidRPr="008E2A7B">
        <w:rPr>
          <w:lang w:val="en-GB"/>
        </w:rPr>
        <w:t>.</w:t>
      </w:r>
    </w:p>
    <w:p w14:paraId="20A4DC0F" w14:textId="77777777" w:rsidR="0044710E" w:rsidRPr="008E2A7B" w:rsidRDefault="0044710E" w:rsidP="0044710E">
      <w:pPr>
        <w:pStyle w:val="Rubrik2"/>
        <w:rPr>
          <w:lang w:val="en-GB"/>
        </w:rPr>
      </w:pPr>
      <w:bookmarkStart w:id="31" w:name="_Toc499285549"/>
      <w:r w:rsidRPr="008E2A7B">
        <w:rPr>
          <w:lang w:val="en-GB"/>
        </w:rPr>
        <w:t>Dimension Energy efficiency (2030 Framework target)</w:t>
      </w:r>
      <w:bookmarkEnd w:id="31"/>
    </w:p>
    <w:p w14:paraId="6F9AF061" w14:textId="77777777" w:rsidR="0044710E" w:rsidRPr="008E2A7B" w:rsidRDefault="0044710E" w:rsidP="0044710E">
      <w:pPr>
        <w:pStyle w:val="Brdtext"/>
        <w:rPr>
          <w:i/>
          <w:lang w:val="en-GB"/>
        </w:rPr>
      </w:pPr>
      <w:r w:rsidRPr="008E2A7B">
        <w:rPr>
          <w:i/>
          <w:lang w:val="en-GB"/>
        </w:rPr>
        <w:t>Planned policies, measures and programmes to achieve the indicative national energy efficiency target for 2030 as well as other objectives presented in 2.2, including planned measures and instruments (also of financial nature) to promote the energy performance of buildings, in particular as regards the following:</w:t>
      </w:r>
    </w:p>
    <w:p w14:paraId="2604BDA3" w14:textId="77777777" w:rsidR="0044710E" w:rsidRPr="008E2A7B" w:rsidRDefault="0044710E" w:rsidP="0044710E">
      <w:pPr>
        <w:pStyle w:val="i-lista"/>
        <w:numPr>
          <w:ilvl w:val="1"/>
          <w:numId w:val="16"/>
        </w:numPr>
        <w:rPr>
          <w:i/>
          <w:lang w:val="en-GB"/>
        </w:rPr>
      </w:pPr>
      <w:r w:rsidRPr="008E2A7B">
        <w:rPr>
          <w:i/>
          <w:lang w:val="en-GB"/>
        </w:rPr>
        <w:t>Energy efficiency obligation schemes and alternative measures under Article 7a and 7b of Directive 2012/27/EU [version as amended in accordance with proposal COM(2016)761] (to be prepared in accordance with Annex II)</w:t>
      </w:r>
    </w:p>
    <w:p w14:paraId="1EEBEE8F" w14:textId="77777777" w:rsidR="0044710E" w:rsidRPr="008E2A7B" w:rsidRDefault="0044710E" w:rsidP="0044710E">
      <w:pPr>
        <w:pStyle w:val="Brdtext"/>
        <w:rPr>
          <w:lang w:val="en-GB"/>
        </w:rPr>
      </w:pPr>
      <w:r w:rsidRPr="008E2A7B">
        <w:rPr>
          <w:lang w:val="en-GB"/>
        </w:rPr>
        <w:t xml:space="preserve">Sweden has so far chosen to use energy and carbon taxation, above the minimum level set out in the energy taxation directive, instead of an energy efficiency obligation scheme. Using an econometric model, the expected energy use in different sectors has been calculated under the assumption that the minimum level had instead been applied. The difference between these figures and the projected actual energy use constitutes the additional energy savings from the Swedish measures. This </w:t>
      </w:r>
      <w:r w:rsidRPr="008E2A7B">
        <w:rPr>
          <w:lang w:val="en-GB"/>
        </w:rPr>
        <w:lastRenderedPageBreak/>
        <w:t>calculation results in a potential saving of 254 TWh in the period 2020–2030, which means that the target is estimated to be reached regardless of whether transportation is included or not.</w:t>
      </w:r>
    </w:p>
    <w:p w14:paraId="5C2B9D58" w14:textId="77777777" w:rsidR="0044710E" w:rsidRPr="008E2A7B" w:rsidRDefault="0044710E" w:rsidP="0044710E">
      <w:pPr>
        <w:pStyle w:val="i-lista"/>
        <w:numPr>
          <w:ilvl w:val="1"/>
          <w:numId w:val="16"/>
        </w:numPr>
        <w:rPr>
          <w:i/>
          <w:lang w:val="en-GB"/>
        </w:rPr>
      </w:pPr>
      <w:r w:rsidRPr="008E2A7B">
        <w:rPr>
          <w:i/>
          <w:lang w:val="en-GB"/>
        </w:rPr>
        <w:t>Long-term strategy for the renovation of the national stock of residential and commercial buildings (both public and private) including policies and measures to stimulate cost-effective deep and staged deep renovations</w:t>
      </w:r>
    </w:p>
    <w:p w14:paraId="1040180E" w14:textId="77777777" w:rsidR="0044710E" w:rsidRPr="008E2A7B" w:rsidRDefault="0044710E" w:rsidP="0044710E">
      <w:pPr>
        <w:pStyle w:val="Brdtext"/>
        <w:rPr>
          <w:lang w:val="en-GB"/>
        </w:rPr>
      </w:pPr>
      <w:r w:rsidRPr="008E2A7B">
        <w:rPr>
          <w:lang w:val="en-GB"/>
        </w:rPr>
        <w:t>The Swedish renovation strategy is estimated to save 8–18 TWh by 2030.</w:t>
      </w:r>
      <w:r w:rsidRPr="008E2A7B">
        <w:rPr>
          <w:rStyle w:val="Fotnotsreferens"/>
          <w:lang w:val="en-GB"/>
        </w:rPr>
        <w:footnoteReference w:id="24"/>
      </w:r>
      <w:r w:rsidRPr="008E2A7B">
        <w:rPr>
          <w:lang w:val="en-GB"/>
        </w:rPr>
        <w:t xml:space="preserve"> Policies and measures include the following: </w:t>
      </w:r>
    </w:p>
    <w:p w14:paraId="05E797D2" w14:textId="77777777" w:rsidR="0044710E" w:rsidRPr="008E2A7B" w:rsidRDefault="0044710E" w:rsidP="0044710E">
      <w:pPr>
        <w:pStyle w:val="Brdtext"/>
        <w:contextualSpacing/>
        <w:rPr>
          <w:b/>
          <w:lang w:val="en-GB"/>
        </w:rPr>
      </w:pPr>
      <w:r w:rsidRPr="008E2A7B">
        <w:rPr>
          <w:b/>
          <w:lang w:val="en-GB"/>
        </w:rPr>
        <w:t xml:space="preserve">Building regulations </w:t>
      </w:r>
    </w:p>
    <w:p w14:paraId="20B818C0" w14:textId="77777777" w:rsidR="0044710E" w:rsidRPr="008E2A7B" w:rsidRDefault="0044710E" w:rsidP="0044710E">
      <w:pPr>
        <w:pStyle w:val="Brdtext"/>
        <w:contextualSpacing/>
        <w:rPr>
          <w:lang w:val="en-GB"/>
        </w:rPr>
      </w:pPr>
      <w:r w:rsidRPr="008E2A7B">
        <w:rPr>
          <w:lang w:val="en-GB"/>
        </w:rPr>
        <w:t>Building regulations limit inter alia the specific energy use (kWh/m</w:t>
      </w:r>
      <w:r w:rsidRPr="008E2A7B">
        <w:rPr>
          <w:vertAlign w:val="superscript"/>
          <w:lang w:val="en-GB"/>
        </w:rPr>
        <w:t>2</w:t>
      </w:r>
      <w:r w:rsidRPr="008E2A7B">
        <w:rPr>
          <w:lang w:val="en-GB"/>
        </w:rPr>
        <w:t xml:space="preserve"> and year), average thermal transmittance (W/m</w:t>
      </w:r>
      <w:r w:rsidRPr="008E2A7B">
        <w:rPr>
          <w:vertAlign w:val="superscript"/>
          <w:lang w:val="en-GB"/>
        </w:rPr>
        <w:t>2</w:t>
      </w:r>
      <w:r w:rsidRPr="008E2A7B">
        <w:rPr>
          <w:lang w:val="en-GB"/>
        </w:rPr>
        <w:t>K) and the building envelope’s average air leakage (l/s m</w:t>
      </w:r>
      <w:r w:rsidRPr="008E2A7B">
        <w:rPr>
          <w:vertAlign w:val="superscript"/>
          <w:lang w:val="en-GB"/>
        </w:rPr>
        <w:t>2</w:t>
      </w:r>
      <w:r w:rsidRPr="008E2A7B">
        <w:rPr>
          <w:lang w:val="en-GB"/>
        </w:rPr>
        <w:t>) for new buildings and buildings that undergo changes. The specific energy use, with different climatic regions and different energy carriers given different factors, are limited to 90 kWh/m</w:t>
      </w:r>
      <w:r w:rsidRPr="008E2A7B">
        <w:rPr>
          <w:vertAlign w:val="superscript"/>
          <w:lang w:val="en-GB"/>
        </w:rPr>
        <w:t>2</w:t>
      </w:r>
      <w:r w:rsidRPr="008E2A7B">
        <w:rPr>
          <w:lang w:val="en-GB"/>
        </w:rPr>
        <w:t xml:space="preserve"> for single-family houses, 85 kWh/m</w:t>
      </w:r>
      <w:r w:rsidRPr="008E2A7B">
        <w:rPr>
          <w:vertAlign w:val="superscript"/>
          <w:lang w:val="en-GB"/>
        </w:rPr>
        <w:t>2</w:t>
      </w:r>
      <w:r w:rsidRPr="008E2A7B">
        <w:rPr>
          <w:lang w:val="en-GB"/>
        </w:rPr>
        <w:t xml:space="preserve"> for multi-dwelling blocks and 80 kWh/m</w:t>
      </w:r>
      <w:r w:rsidRPr="008E2A7B">
        <w:rPr>
          <w:vertAlign w:val="superscript"/>
          <w:lang w:val="en-GB"/>
        </w:rPr>
        <w:t>2</w:t>
      </w:r>
      <w:r w:rsidRPr="008E2A7B">
        <w:rPr>
          <w:lang w:val="en-GB"/>
        </w:rPr>
        <w:t xml:space="preserve"> for non-residential premises.</w:t>
      </w:r>
    </w:p>
    <w:p w14:paraId="519A3FD6" w14:textId="77777777" w:rsidR="0044710E" w:rsidRPr="008E2A7B" w:rsidRDefault="0044710E" w:rsidP="0044710E">
      <w:pPr>
        <w:pStyle w:val="Brdtext"/>
        <w:contextualSpacing/>
        <w:rPr>
          <w:lang w:val="en-GB"/>
        </w:rPr>
      </w:pPr>
    </w:p>
    <w:p w14:paraId="258FD687" w14:textId="77777777" w:rsidR="0044710E" w:rsidRPr="008E2A7B" w:rsidRDefault="0044710E" w:rsidP="0044710E">
      <w:pPr>
        <w:pStyle w:val="Brdtext"/>
        <w:contextualSpacing/>
        <w:rPr>
          <w:b/>
          <w:lang w:val="en-GB"/>
        </w:rPr>
      </w:pPr>
      <w:r w:rsidRPr="008E2A7B">
        <w:rPr>
          <w:b/>
          <w:lang w:val="en-GB"/>
        </w:rPr>
        <w:t>Support for renovation and energy efficiency of rental apartments</w:t>
      </w:r>
    </w:p>
    <w:p w14:paraId="1A25AE18" w14:textId="77777777" w:rsidR="0044710E" w:rsidRPr="008E2A7B" w:rsidRDefault="0044710E" w:rsidP="0044710E">
      <w:pPr>
        <w:pStyle w:val="Brdtext"/>
        <w:contextualSpacing/>
        <w:rPr>
          <w:lang w:val="en-GB"/>
        </w:rPr>
      </w:pPr>
      <w:r w:rsidRPr="008E2A7B">
        <w:rPr>
          <w:lang w:val="en-GB"/>
        </w:rPr>
        <w:t xml:space="preserve">In October 2016, a new support scheme was introduced to incentivise renovation and energy efficiency of rental apartments in areas with socioeconomic challenges (SFS 2016:837). The Government allocated SEK 800 million to the scheme in 2016, and another SEK 1 billion will be set aside annually for the period 2017–2020. The support for energy efficiency is calculated based on the estimated level of energy efficiency after the renovation. Only cases in which the efficiency is improved by at least 20% are eligible to receive support, and only projects including both renovation and energy-efficiency measures are approved. </w:t>
      </w:r>
    </w:p>
    <w:p w14:paraId="32949946" w14:textId="77777777" w:rsidR="0044710E" w:rsidRPr="008E2A7B" w:rsidRDefault="0044710E" w:rsidP="0044710E">
      <w:pPr>
        <w:pStyle w:val="Brdtext"/>
        <w:contextualSpacing/>
        <w:rPr>
          <w:lang w:val="en-GB"/>
        </w:rPr>
      </w:pPr>
    </w:p>
    <w:p w14:paraId="09C8E202" w14:textId="77777777" w:rsidR="0044710E" w:rsidRPr="008E2A7B" w:rsidRDefault="0044710E" w:rsidP="0044710E">
      <w:pPr>
        <w:pStyle w:val="Brdtext"/>
        <w:contextualSpacing/>
        <w:rPr>
          <w:b/>
          <w:lang w:val="en-GB"/>
        </w:rPr>
      </w:pPr>
      <w:r w:rsidRPr="008E2A7B">
        <w:rPr>
          <w:b/>
          <w:lang w:val="en-GB"/>
        </w:rPr>
        <w:t xml:space="preserve">Support for refurbishment of schools </w:t>
      </w:r>
    </w:p>
    <w:p w14:paraId="7A931674" w14:textId="77777777" w:rsidR="0044710E" w:rsidRPr="008E2A7B" w:rsidRDefault="0044710E" w:rsidP="0044710E">
      <w:pPr>
        <w:pStyle w:val="Brdtext"/>
        <w:contextualSpacing/>
        <w:rPr>
          <w:lang w:val="en-GB"/>
        </w:rPr>
      </w:pPr>
      <w:r w:rsidRPr="008E2A7B">
        <w:rPr>
          <w:lang w:val="en-GB"/>
        </w:rPr>
        <w:t>For the period 2015–2018 there is a government grant for the refurbishment of schools (including and outdoor environments at schools), aimed at creating a better working environment and to reduce the environmental impact of the premises. For 2018, the budget is SEK 680 million.</w:t>
      </w:r>
    </w:p>
    <w:p w14:paraId="77D15507" w14:textId="77777777" w:rsidR="0044710E" w:rsidRPr="008E2A7B" w:rsidRDefault="0044710E" w:rsidP="0044710E">
      <w:pPr>
        <w:pStyle w:val="Brdtext"/>
        <w:contextualSpacing/>
        <w:rPr>
          <w:lang w:val="en-GB"/>
        </w:rPr>
      </w:pPr>
    </w:p>
    <w:p w14:paraId="34B7D52B" w14:textId="77777777" w:rsidR="0044710E" w:rsidRPr="008E2A7B" w:rsidRDefault="0044710E" w:rsidP="0044710E">
      <w:pPr>
        <w:pStyle w:val="Brdtext"/>
        <w:contextualSpacing/>
        <w:rPr>
          <w:b/>
          <w:lang w:val="en-GB"/>
        </w:rPr>
      </w:pPr>
      <w:r w:rsidRPr="008E2A7B">
        <w:rPr>
          <w:b/>
          <w:lang w:val="en-GB"/>
        </w:rPr>
        <w:t xml:space="preserve">ROT deductions </w:t>
      </w:r>
    </w:p>
    <w:p w14:paraId="0B79B48E" w14:textId="77777777" w:rsidR="0044710E" w:rsidRPr="008E2A7B" w:rsidRDefault="0044710E" w:rsidP="0044710E">
      <w:pPr>
        <w:pStyle w:val="Brdtext"/>
        <w:contextualSpacing/>
        <w:rPr>
          <w:lang w:val="en-GB"/>
        </w:rPr>
      </w:pPr>
      <w:r w:rsidRPr="008E2A7B">
        <w:rPr>
          <w:lang w:val="en-GB"/>
        </w:rPr>
        <w:t xml:space="preserve">The ROT (Repairs, Conversion, Extension) deduction gives an income tax deduction on labour costs for repair, maintenance, conversions and extensions in the taxpayer’s home. </w:t>
      </w:r>
    </w:p>
    <w:p w14:paraId="57106E92" w14:textId="77777777" w:rsidR="0044710E" w:rsidRPr="008E2A7B" w:rsidRDefault="0044710E" w:rsidP="0044710E">
      <w:pPr>
        <w:pStyle w:val="Brdtext"/>
        <w:contextualSpacing/>
        <w:rPr>
          <w:lang w:val="en-GB"/>
        </w:rPr>
      </w:pPr>
    </w:p>
    <w:p w14:paraId="18A870E3" w14:textId="77777777" w:rsidR="0044710E" w:rsidRPr="008E2A7B" w:rsidRDefault="0044710E" w:rsidP="0044710E">
      <w:pPr>
        <w:pStyle w:val="i-lista"/>
        <w:numPr>
          <w:ilvl w:val="1"/>
          <w:numId w:val="16"/>
        </w:numPr>
        <w:rPr>
          <w:i/>
          <w:lang w:val="en-GB"/>
        </w:rPr>
      </w:pPr>
      <w:r w:rsidRPr="008E2A7B">
        <w:rPr>
          <w:i/>
          <w:lang w:val="en-GB"/>
        </w:rPr>
        <w:lastRenderedPageBreak/>
        <w:t xml:space="preserve">Description of policy and measures to promote energy services in the public sector and measures to remove regulatory and non-regulatory barriers that impede the uptake of energy performance contracting and other energy efficiency service models </w:t>
      </w:r>
    </w:p>
    <w:p w14:paraId="10FF8025" w14:textId="77777777" w:rsidR="0044710E" w:rsidRPr="008E2A7B" w:rsidRDefault="0044710E" w:rsidP="0044710E">
      <w:pPr>
        <w:pStyle w:val="Brdtext"/>
        <w:contextualSpacing/>
        <w:rPr>
          <w:b/>
          <w:lang w:val="en-GB"/>
        </w:rPr>
      </w:pPr>
      <w:r w:rsidRPr="008E2A7B">
        <w:rPr>
          <w:b/>
          <w:lang w:val="en-GB"/>
        </w:rPr>
        <w:t>Dissemination of information</w:t>
      </w:r>
    </w:p>
    <w:p w14:paraId="34E3D074" w14:textId="77777777" w:rsidR="0044710E" w:rsidRPr="008E2A7B" w:rsidRDefault="0044710E" w:rsidP="0044710E">
      <w:pPr>
        <w:pStyle w:val="Brdtext"/>
        <w:contextualSpacing/>
        <w:rPr>
          <w:lang w:val="en-GB"/>
        </w:rPr>
      </w:pPr>
      <w:r w:rsidRPr="008E2A7B">
        <w:rPr>
          <w:lang w:val="en-GB"/>
        </w:rPr>
        <w:t xml:space="preserve">To promote energy services, the Swedish Energy Agency currently operates as a point of contact for end users, providing relevant information on the website. An obstacle to the development of the energy services market has been low competence in this area among purchasers. In order to counteract this, the Swedish Energy Agency contributes by spreading information about energy services, clarifying what it means with energy services and following market developments. The Authority has published a report, </w:t>
      </w:r>
      <w:r w:rsidRPr="008E2A7B">
        <w:rPr>
          <w:i/>
          <w:lang w:val="en-GB"/>
        </w:rPr>
        <w:t>Energy Services in Sweden</w:t>
      </w:r>
      <w:r w:rsidRPr="008E2A7B">
        <w:rPr>
          <w:lang w:val="en-GB"/>
        </w:rPr>
        <w:t>, as well as providing information and support materials for buyers. For energy service providers, the Swedish Energy Agency helps in understanding the need of businesses so that offers can be customized.</w:t>
      </w:r>
    </w:p>
    <w:p w14:paraId="22C0B0C8" w14:textId="77777777" w:rsidR="0044710E" w:rsidRPr="008E2A7B" w:rsidRDefault="0044710E" w:rsidP="0044710E">
      <w:pPr>
        <w:pStyle w:val="Brdtext"/>
        <w:contextualSpacing/>
        <w:rPr>
          <w:lang w:val="en-GB"/>
        </w:rPr>
      </w:pPr>
    </w:p>
    <w:p w14:paraId="554ABCCD" w14:textId="77777777" w:rsidR="0044710E" w:rsidRPr="008E2A7B" w:rsidRDefault="0044710E" w:rsidP="0044710E">
      <w:pPr>
        <w:pStyle w:val="Brdtext"/>
        <w:contextualSpacing/>
        <w:rPr>
          <w:b/>
          <w:lang w:val="en-GB"/>
        </w:rPr>
      </w:pPr>
      <w:r w:rsidRPr="008E2A7B">
        <w:rPr>
          <w:b/>
          <w:lang w:val="en-GB"/>
        </w:rPr>
        <w:t>Energy Efficiency Council</w:t>
      </w:r>
    </w:p>
    <w:p w14:paraId="2F39DDA4" w14:textId="77777777" w:rsidR="0044710E" w:rsidRPr="008E2A7B" w:rsidRDefault="0044710E" w:rsidP="0044710E">
      <w:pPr>
        <w:pStyle w:val="Brdtext"/>
        <w:contextualSpacing/>
        <w:rPr>
          <w:lang w:val="en-GB"/>
        </w:rPr>
      </w:pPr>
      <w:r w:rsidRPr="008E2A7B">
        <w:rPr>
          <w:lang w:val="en-GB"/>
        </w:rPr>
        <w:t>The Energy Efficiency Council has the task of strengthening government cooperation and facilitating coordination of implementation and follow-up of measures and instruments to meet the targets set by the Swedish Parliament for energy efficiency. The Council has an important role to play in implementing the Energy Efficiency Directive. The Council is an arena where strategically important issues are raised to strengthen government cooperation and increase transparency in energy efficiency, including government procurement and measures to increase energy efficiency. The Energy Efficiency Council is advisory and meets four times a year.</w:t>
      </w:r>
    </w:p>
    <w:p w14:paraId="59F895E6" w14:textId="77777777" w:rsidR="0044710E" w:rsidRPr="008E2A7B" w:rsidRDefault="0044710E" w:rsidP="0044710E">
      <w:pPr>
        <w:pStyle w:val="i-lista"/>
        <w:numPr>
          <w:ilvl w:val="1"/>
          <w:numId w:val="16"/>
        </w:numPr>
        <w:rPr>
          <w:i/>
          <w:lang w:val="en-GB"/>
        </w:rPr>
      </w:pPr>
      <w:r w:rsidRPr="008E2A7B">
        <w:rPr>
          <w:i/>
          <w:lang w:val="en-GB"/>
        </w:rPr>
        <w:t>Other planned policies, measures and programmes to achieve the indicative national energy efficiency target for 2030 as well as other objectives presented in 2.2 (for example measures to promote the exemplary role of public buildings and energy-efficient public procurement, measures to promote energy audits and energy management systems, consumer information and training measures, and other measures to promote energy efficiency)</w:t>
      </w:r>
    </w:p>
    <w:p w14:paraId="309B70AC" w14:textId="77777777" w:rsidR="0044710E" w:rsidRPr="008E2A7B" w:rsidRDefault="0044710E" w:rsidP="0044710E">
      <w:pPr>
        <w:pStyle w:val="Brdtext"/>
        <w:contextualSpacing/>
        <w:rPr>
          <w:lang w:val="en-GB"/>
        </w:rPr>
      </w:pPr>
      <w:r w:rsidRPr="008E2A7B">
        <w:rPr>
          <w:lang w:val="en-GB"/>
        </w:rPr>
        <w:t>Apart from energy efficiency policies decided at union level and implemented in Sweden, such as the ecodesign directive, the energy labelling directive, the energy performance of buildings directive and the energy efficiency directive, the following policies and measures apply.</w:t>
      </w:r>
    </w:p>
    <w:p w14:paraId="563E4156" w14:textId="77777777" w:rsidR="0044710E" w:rsidRPr="008E2A7B" w:rsidRDefault="0044710E" w:rsidP="0044710E">
      <w:pPr>
        <w:pStyle w:val="Brdtext"/>
        <w:contextualSpacing/>
        <w:rPr>
          <w:lang w:val="en-GB"/>
        </w:rPr>
      </w:pPr>
    </w:p>
    <w:p w14:paraId="2D5D6BB1" w14:textId="77777777" w:rsidR="0044710E" w:rsidRPr="008E2A7B" w:rsidRDefault="0044710E" w:rsidP="0044710E">
      <w:pPr>
        <w:pStyle w:val="Brdtext"/>
        <w:contextualSpacing/>
        <w:rPr>
          <w:b/>
          <w:lang w:val="en-GB"/>
        </w:rPr>
      </w:pPr>
      <w:r w:rsidRPr="008E2A7B">
        <w:rPr>
          <w:b/>
          <w:lang w:val="en-GB"/>
        </w:rPr>
        <w:t>Sectoral strategies</w:t>
      </w:r>
    </w:p>
    <w:p w14:paraId="73F92AE8" w14:textId="77777777" w:rsidR="0044710E" w:rsidRPr="008E2A7B" w:rsidRDefault="0044710E" w:rsidP="0044710E">
      <w:pPr>
        <w:pStyle w:val="Brdtext"/>
        <w:contextualSpacing/>
        <w:rPr>
          <w:lang w:val="en-GB"/>
        </w:rPr>
      </w:pPr>
      <w:r w:rsidRPr="008E2A7B">
        <w:rPr>
          <w:lang w:val="en-GB"/>
        </w:rPr>
        <w:t xml:space="preserve">The government has commissioned the Swedish Energy Agency to formulate sectoral strategies for energy efficiency together with different types of businesses. The purpose is to create a platform between the Swedish Energy Agency, businesses and relevant authorities on the objectives and measures needed in each sector in order to achieve </w:t>
      </w:r>
      <w:r w:rsidRPr="008E2A7B">
        <w:rPr>
          <w:lang w:val="en-GB"/>
        </w:rPr>
        <w:lastRenderedPageBreak/>
        <w:t xml:space="preserve">Sweden's energy and climate goals, especially the energy efficiency target proposed by the Energy Policy Commission. </w:t>
      </w:r>
    </w:p>
    <w:p w14:paraId="38EFFCAB" w14:textId="77777777" w:rsidR="0044710E" w:rsidRPr="008E2A7B" w:rsidRDefault="0044710E" w:rsidP="0044710E">
      <w:pPr>
        <w:pStyle w:val="Brdtext"/>
        <w:contextualSpacing/>
        <w:rPr>
          <w:lang w:val="en-GB"/>
        </w:rPr>
      </w:pPr>
    </w:p>
    <w:p w14:paraId="69BD05A8" w14:textId="77777777" w:rsidR="0044710E" w:rsidRPr="008E2A7B" w:rsidRDefault="0044710E" w:rsidP="0044710E">
      <w:pPr>
        <w:pStyle w:val="Brdtext"/>
        <w:contextualSpacing/>
        <w:rPr>
          <w:b/>
          <w:lang w:val="en-GB"/>
        </w:rPr>
      </w:pPr>
      <w:r w:rsidRPr="008E2A7B">
        <w:rPr>
          <w:b/>
          <w:lang w:val="en-GB"/>
        </w:rPr>
        <w:t xml:space="preserve">Energy surveys for large enterprises   </w:t>
      </w:r>
    </w:p>
    <w:p w14:paraId="138F008F" w14:textId="77777777" w:rsidR="0044710E" w:rsidRPr="008E2A7B" w:rsidRDefault="0044710E" w:rsidP="0044710E">
      <w:pPr>
        <w:pStyle w:val="Brdtext"/>
        <w:contextualSpacing/>
        <w:rPr>
          <w:lang w:val="en-GB"/>
        </w:rPr>
      </w:pPr>
      <w:r w:rsidRPr="008E2A7B">
        <w:rPr>
          <w:lang w:val="en-GB"/>
        </w:rPr>
        <w:t>The law on energy surveys in large enterprises aims at promoting improved energy efficiency (SFS 2014:266)</w:t>
      </w:r>
      <w:r w:rsidRPr="008E2A7B">
        <w:rPr>
          <w:rStyle w:val="Fotnotsreferens"/>
          <w:lang w:val="en-GB"/>
        </w:rPr>
        <w:footnoteReference w:id="25"/>
      </w:r>
      <w:r w:rsidRPr="008E2A7B">
        <w:rPr>
          <w:lang w:val="en-GB"/>
        </w:rPr>
        <w:t>. The law requires large enterprises to conduct energy surveys, including information of total energy usage as well as proposals of cost efficient measures to improve the energy efficiency. The survey must be conducted at least every fourth year.</w:t>
      </w:r>
    </w:p>
    <w:p w14:paraId="70153175" w14:textId="77777777" w:rsidR="0044710E" w:rsidRPr="008E2A7B" w:rsidRDefault="0044710E" w:rsidP="0044710E">
      <w:pPr>
        <w:pStyle w:val="Brdtext"/>
        <w:contextualSpacing/>
        <w:rPr>
          <w:lang w:val="en-GB"/>
        </w:rPr>
      </w:pPr>
    </w:p>
    <w:p w14:paraId="78174897" w14:textId="77777777" w:rsidR="0044710E" w:rsidRPr="008E2A7B" w:rsidRDefault="0044710E" w:rsidP="0044710E">
      <w:pPr>
        <w:pStyle w:val="Brdtext"/>
        <w:contextualSpacing/>
        <w:rPr>
          <w:b/>
          <w:lang w:val="en-GB"/>
        </w:rPr>
      </w:pPr>
      <w:r w:rsidRPr="008E2A7B">
        <w:rPr>
          <w:b/>
          <w:lang w:val="en-GB"/>
        </w:rPr>
        <w:t>Grants for small and medium-sized enterprises for energy surveys</w:t>
      </w:r>
    </w:p>
    <w:p w14:paraId="3048C90F" w14:textId="77777777" w:rsidR="0044710E" w:rsidRPr="008E2A7B" w:rsidRDefault="0044710E" w:rsidP="0044710E">
      <w:pPr>
        <w:pStyle w:val="Brdtext"/>
        <w:contextualSpacing/>
        <w:rPr>
          <w:lang w:val="en-GB"/>
        </w:rPr>
      </w:pPr>
      <w:r w:rsidRPr="008E2A7B">
        <w:rPr>
          <w:lang w:val="en-GB"/>
        </w:rPr>
        <w:t>To stimulate a more efficient use of energy, small and medium-sized enterprises</w:t>
      </w:r>
      <w:r w:rsidRPr="008E2A7B">
        <w:rPr>
          <w:rStyle w:val="Fotnotsreferens"/>
          <w:lang w:val="en-GB"/>
        </w:rPr>
        <w:footnoteReference w:id="26"/>
      </w:r>
      <w:r w:rsidRPr="008E2A7B">
        <w:rPr>
          <w:lang w:val="en-GB"/>
        </w:rPr>
        <w:t xml:space="preserve"> are since 2010 eligible to apply for financial support to conduct energy surveys (SFS 2009:1577). The energy survey should include energy mapping, proposals of measures and an energy plan. The maximum support per entity is 50%, up to a maximum of SEK 50,000. </w:t>
      </w:r>
    </w:p>
    <w:p w14:paraId="73561631" w14:textId="77777777" w:rsidR="0044710E" w:rsidRPr="008E2A7B" w:rsidRDefault="0044710E" w:rsidP="0044710E">
      <w:pPr>
        <w:pStyle w:val="Brdtext"/>
        <w:contextualSpacing/>
        <w:rPr>
          <w:lang w:val="en-GB"/>
        </w:rPr>
      </w:pPr>
    </w:p>
    <w:p w14:paraId="489E5C86" w14:textId="77777777" w:rsidR="0044710E" w:rsidRPr="008E2A7B" w:rsidRDefault="0044710E" w:rsidP="0044710E">
      <w:pPr>
        <w:pStyle w:val="Brdtext"/>
        <w:contextualSpacing/>
        <w:rPr>
          <w:b/>
          <w:bCs/>
          <w:lang w:val="en-GB"/>
        </w:rPr>
      </w:pPr>
      <w:r w:rsidRPr="008E2A7B">
        <w:rPr>
          <w:b/>
          <w:bCs/>
          <w:lang w:val="en-GB"/>
        </w:rPr>
        <w:t>Energy efficiency networks for small and medium-sized enterprises</w:t>
      </w:r>
    </w:p>
    <w:p w14:paraId="7E504AEE" w14:textId="7F6E73FA" w:rsidR="0044710E" w:rsidRPr="008E2A7B" w:rsidRDefault="0044710E" w:rsidP="0044710E">
      <w:pPr>
        <w:pStyle w:val="Brdtext"/>
        <w:contextualSpacing/>
        <w:rPr>
          <w:lang w:val="en-GB"/>
        </w:rPr>
      </w:pPr>
      <w:r w:rsidRPr="008E2A7B">
        <w:rPr>
          <w:lang w:val="en-GB"/>
        </w:rPr>
        <w:t xml:space="preserve">The Swedish Energy Agency initiated a network project for small and medium-sized enterprises in 2015. The goal is to operate 40 networks with a total of 400 companies, supporting them to introduce energy management principles with the help of regional coordinators and energy experts. Sharing experiences and learning from each other within and between the networks are also important success factors. The aim of the network activities is to reduce the energy use of the participating companies by 15%. By doing this, the enterprises will benefit from reduced costs, strengthened competitiveness and new opportunities for </w:t>
      </w:r>
      <w:r w:rsidR="00903023">
        <w:rPr>
          <w:lang w:val="en-GB"/>
        </w:rPr>
        <w:t xml:space="preserve">growth. </w:t>
      </w:r>
    </w:p>
    <w:p w14:paraId="69578CE3" w14:textId="77777777" w:rsidR="0044710E" w:rsidRPr="008E2A7B" w:rsidRDefault="0044710E" w:rsidP="0044710E">
      <w:pPr>
        <w:pStyle w:val="Brdtext"/>
        <w:contextualSpacing/>
        <w:rPr>
          <w:rFonts w:ascii="Arial" w:hAnsi="Arial" w:cs="Arial"/>
          <w:bCs/>
          <w:color w:val="000000"/>
          <w:lang w:val="en-GB"/>
        </w:rPr>
      </w:pPr>
    </w:p>
    <w:p w14:paraId="5EC4C731" w14:textId="77777777" w:rsidR="0044710E" w:rsidRPr="008E2A7B" w:rsidRDefault="0044710E" w:rsidP="0044710E">
      <w:pPr>
        <w:pStyle w:val="Brdtext"/>
        <w:contextualSpacing/>
        <w:rPr>
          <w:b/>
          <w:lang w:val="en-GB"/>
        </w:rPr>
      </w:pPr>
      <w:r w:rsidRPr="008E2A7B">
        <w:rPr>
          <w:b/>
          <w:lang w:val="en-GB"/>
        </w:rPr>
        <w:t xml:space="preserve">Energy Performance Certificate Act </w:t>
      </w:r>
    </w:p>
    <w:p w14:paraId="3E1A7DC4" w14:textId="77777777" w:rsidR="0044710E" w:rsidRPr="008E2A7B" w:rsidRDefault="0044710E" w:rsidP="0044710E">
      <w:pPr>
        <w:pStyle w:val="Brdtext"/>
        <w:contextualSpacing/>
        <w:rPr>
          <w:lang w:val="en-GB"/>
        </w:rPr>
      </w:pPr>
      <w:r w:rsidRPr="008E2A7B">
        <w:rPr>
          <w:lang w:val="en-GB"/>
        </w:rPr>
        <w:t xml:space="preserve">Based on the Energy Performance of Buildings Directive, Sweden has implemented a law on energy performance certificates for buildings (SFS 2006:985). The law includes an obligation for owners of single-family and multi-dwelling buildings and of commercial premises to declare the energy use of buildings and certain parameters regarding the indoor environment. The aim is to promote efficient energy use and a healthy indoor environment by requiring property owners to learn more about which measures are cost-effective to implement for improving building energy performance.  </w:t>
      </w:r>
    </w:p>
    <w:p w14:paraId="19578F50" w14:textId="77777777" w:rsidR="0044710E" w:rsidRPr="008E2A7B" w:rsidRDefault="0044710E" w:rsidP="0044710E">
      <w:pPr>
        <w:pStyle w:val="Brdtext"/>
        <w:contextualSpacing/>
        <w:rPr>
          <w:lang w:val="en-GB"/>
        </w:rPr>
      </w:pPr>
    </w:p>
    <w:p w14:paraId="4F21B200" w14:textId="77777777" w:rsidR="0044710E" w:rsidRPr="008E2A7B" w:rsidRDefault="0044710E" w:rsidP="0044710E">
      <w:pPr>
        <w:pStyle w:val="Brdtext"/>
        <w:contextualSpacing/>
        <w:rPr>
          <w:b/>
          <w:lang w:val="en-GB"/>
        </w:rPr>
      </w:pPr>
      <w:r w:rsidRPr="008E2A7B">
        <w:rPr>
          <w:b/>
          <w:lang w:val="en-GB"/>
        </w:rPr>
        <w:t>Training programmes in building for low energy consumption</w:t>
      </w:r>
    </w:p>
    <w:p w14:paraId="2606AB20" w14:textId="5316A476" w:rsidR="0044710E" w:rsidRPr="008E2A7B" w:rsidRDefault="0044710E" w:rsidP="0044710E">
      <w:pPr>
        <w:pStyle w:val="Brdtext"/>
        <w:contextualSpacing/>
        <w:rPr>
          <w:lang w:val="en-GB"/>
        </w:rPr>
      </w:pPr>
      <w:r w:rsidRPr="008E2A7B">
        <w:rPr>
          <w:lang w:val="en-GB"/>
        </w:rPr>
        <w:t xml:space="preserve">Since 2016, the Swedish Energy Agency in cooperation with other actors has been responsible for a set of capacity building programmes in the area </w:t>
      </w:r>
      <w:r w:rsidRPr="008E2A7B">
        <w:rPr>
          <w:lang w:val="en-GB"/>
        </w:rPr>
        <w:lastRenderedPageBreak/>
        <w:t>of building for low energy consumption. The programmes target different construction stakeholders, such as architects, engineers, clients, technicians, installers, site managers and teachers in building programmes at upper secondary schools.</w:t>
      </w:r>
      <w:r w:rsidR="00DB1D83" w:rsidRPr="008E2A7B">
        <w:rPr>
          <w:lang w:val="en-GB"/>
        </w:rPr>
        <w:t xml:space="preserve"> </w:t>
      </w:r>
    </w:p>
    <w:p w14:paraId="1A7E24B5" w14:textId="77777777" w:rsidR="0044710E" w:rsidRPr="008E2A7B" w:rsidRDefault="0044710E" w:rsidP="0044710E">
      <w:pPr>
        <w:pStyle w:val="i-lista"/>
        <w:numPr>
          <w:ilvl w:val="1"/>
          <w:numId w:val="16"/>
        </w:numPr>
        <w:rPr>
          <w:i/>
          <w:lang w:val="en-GB"/>
        </w:rPr>
      </w:pPr>
      <w:r w:rsidRPr="008E2A7B">
        <w:rPr>
          <w:i/>
          <w:lang w:val="en-GB"/>
        </w:rPr>
        <w:t xml:space="preserve">Description of measures to utilise energy efficiency potentials of gas and electricity infrastructure </w:t>
      </w:r>
    </w:p>
    <w:p w14:paraId="7452FE88" w14:textId="77777777" w:rsidR="0044710E" w:rsidRPr="008E2A7B" w:rsidRDefault="0044710E" w:rsidP="0044710E">
      <w:pPr>
        <w:pStyle w:val="Brdtext"/>
        <w:contextualSpacing/>
        <w:rPr>
          <w:b/>
          <w:lang w:val="en-GB"/>
        </w:rPr>
      </w:pPr>
      <w:r w:rsidRPr="008E2A7B">
        <w:rPr>
          <w:b/>
          <w:lang w:val="en-GB"/>
        </w:rPr>
        <w:t>The Electricity Law</w:t>
      </w:r>
    </w:p>
    <w:p w14:paraId="2EFB8BE3" w14:textId="77777777" w:rsidR="0044710E" w:rsidRPr="008E2A7B" w:rsidRDefault="0044710E" w:rsidP="0044710E">
      <w:pPr>
        <w:pStyle w:val="Brdtext"/>
        <w:contextualSpacing/>
        <w:rPr>
          <w:lang w:val="en-GB"/>
        </w:rPr>
      </w:pPr>
      <w:r w:rsidRPr="008E2A7B">
        <w:rPr>
          <w:lang w:val="en-GB"/>
        </w:rPr>
        <w:t>Electricity Law was changed 1 June 2014 to meet the requirements of the Energy Efficiency Directive. This stipulated an explicit ban on tariffs that negatively affect the overall effectiveness of the services. In this way, they do not impede such system services or contain incentives that may inhibit the use of load management in connection with balancing services and procurement of additional services.</w:t>
      </w:r>
    </w:p>
    <w:p w14:paraId="03324D46" w14:textId="77777777" w:rsidR="0044710E" w:rsidRPr="008E2A7B" w:rsidRDefault="0044710E" w:rsidP="0044710E">
      <w:pPr>
        <w:pStyle w:val="Brdtext"/>
        <w:contextualSpacing/>
        <w:rPr>
          <w:lang w:val="en-GB"/>
        </w:rPr>
      </w:pPr>
    </w:p>
    <w:p w14:paraId="3BCB26AF" w14:textId="77777777" w:rsidR="0044710E" w:rsidRPr="008E2A7B" w:rsidRDefault="0044710E" w:rsidP="0044710E">
      <w:pPr>
        <w:pStyle w:val="Brdtext"/>
        <w:contextualSpacing/>
        <w:rPr>
          <w:b/>
          <w:lang w:val="en-GB"/>
        </w:rPr>
      </w:pPr>
      <w:r w:rsidRPr="008E2A7B">
        <w:rPr>
          <w:b/>
          <w:lang w:val="en-GB"/>
        </w:rPr>
        <w:t>The regulatory model for grid operators</w:t>
      </w:r>
    </w:p>
    <w:p w14:paraId="7B97E083" w14:textId="77777777" w:rsidR="0044710E" w:rsidRPr="008E2A7B" w:rsidRDefault="0044710E" w:rsidP="0044710E">
      <w:pPr>
        <w:pStyle w:val="Brdtext"/>
        <w:contextualSpacing/>
        <w:rPr>
          <w:lang w:val="en-GB"/>
        </w:rPr>
      </w:pPr>
      <w:r w:rsidRPr="008E2A7B">
        <w:rPr>
          <w:lang w:val="en-GB"/>
        </w:rPr>
        <w:t xml:space="preserve">A new regulatory model for grid operators' revenue was introduced in 2014 to encourage energy efficiency. Operators that contribute to energy efficiency are allowed to have a greater return on the capital base, while companies operating in a way that is not compatible with an efficient use of the electricity grid are only allowed to have a smaller revenue. </w:t>
      </w:r>
    </w:p>
    <w:p w14:paraId="7AF8D73B" w14:textId="77777777" w:rsidR="00F57481" w:rsidRDefault="0044710E" w:rsidP="0044710E">
      <w:pPr>
        <w:pStyle w:val="i-lista"/>
        <w:numPr>
          <w:ilvl w:val="1"/>
          <w:numId w:val="16"/>
        </w:numPr>
        <w:rPr>
          <w:i/>
          <w:lang w:val="en-GB"/>
        </w:rPr>
      </w:pPr>
      <w:bookmarkStart w:id="32" w:name="_Hlk494981873"/>
      <w:r w:rsidRPr="008E2A7B">
        <w:rPr>
          <w:i/>
          <w:lang w:val="en-GB"/>
        </w:rPr>
        <w:t xml:space="preserve">Regional cooperation in this area, if applicable </w:t>
      </w:r>
    </w:p>
    <w:p w14:paraId="0C8D09BD" w14:textId="3AD43B6F" w:rsidR="0044710E" w:rsidRPr="008E2A7B" w:rsidRDefault="0044710E" w:rsidP="00F57481">
      <w:pPr>
        <w:pStyle w:val="i-lista"/>
        <w:numPr>
          <w:ilvl w:val="0"/>
          <w:numId w:val="0"/>
        </w:numPr>
        <w:ind w:left="1020"/>
        <w:rPr>
          <w:i/>
          <w:lang w:val="en-GB"/>
        </w:rPr>
      </w:pPr>
      <w:r w:rsidRPr="008E2A7B">
        <w:rPr>
          <w:i/>
          <w:color w:val="FF0000"/>
          <w:lang w:val="en-GB"/>
        </w:rPr>
        <w:t>[RK]</w:t>
      </w:r>
    </w:p>
    <w:bookmarkEnd w:id="32"/>
    <w:p w14:paraId="19BB4CC9" w14:textId="77777777" w:rsidR="0044710E" w:rsidRPr="008E2A7B" w:rsidRDefault="0044710E" w:rsidP="0044710E">
      <w:pPr>
        <w:pStyle w:val="i-lista"/>
        <w:numPr>
          <w:ilvl w:val="1"/>
          <w:numId w:val="16"/>
        </w:numPr>
        <w:rPr>
          <w:i/>
          <w:lang w:val="en-GB"/>
        </w:rPr>
      </w:pPr>
      <w:r w:rsidRPr="008E2A7B">
        <w:rPr>
          <w:i/>
          <w:lang w:val="en-GB"/>
        </w:rPr>
        <w:t>Financing measures, including EU support and the use of EU funds, in the area at national level</w:t>
      </w:r>
    </w:p>
    <w:p w14:paraId="417D8C8B" w14:textId="77777777" w:rsidR="0044710E" w:rsidRPr="008E2A7B" w:rsidRDefault="0044710E" w:rsidP="0044710E">
      <w:pPr>
        <w:pStyle w:val="Brdtext"/>
        <w:rPr>
          <w:lang w:val="en-GB"/>
        </w:rPr>
      </w:pPr>
      <w:r w:rsidRPr="008E2A7B">
        <w:rPr>
          <w:lang w:val="en-GB"/>
        </w:rPr>
        <w:t>In addition to the national funding measures described above, the following EU funding is relevant:</w:t>
      </w:r>
    </w:p>
    <w:p w14:paraId="08857BF4" w14:textId="77777777" w:rsidR="0044710E" w:rsidRPr="008E2A7B" w:rsidRDefault="0044710E" w:rsidP="0044710E">
      <w:pPr>
        <w:pStyle w:val="Brdtext"/>
        <w:contextualSpacing/>
        <w:rPr>
          <w:b/>
          <w:lang w:val="en-GB"/>
        </w:rPr>
      </w:pPr>
      <w:r w:rsidRPr="008E2A7B">
        <w:rPr>
          <w:b/>
          <w:lang w:val="en-GB"/>
        </w:rPr>
        <w:t>National Regional Fund Program</w:t>
      </w:r>
    </w:p>
    <w:p w14:paraId="03F0EFC0" w14:textId="77777777" w:rsidR="0044710E" w:rsidRPr="008E2A7B" w:rsidRDefault="0044710E" w:rsidP="0044710E">
      <w:pPr>
        <w:pStyle w:val="Brdtext"/>
        <w:contextualSpacing/>
        <w:rPr>
          <w:lang w:val="en-GB"/>
        </w:rPr>
      </w:pPr>
      <w:r w:rsidRPr="008E2A7B">
        <w:rPr>
          <w:lang w:val="en-GB"/>
        </w:rPr>
        <w:t xml:space="preserve">A special effort to raise small and medium-sized enterprises’ competence as energy service purchasers is implemented under the EU Regional Fund Program. The Swedish Energy Agency receives a total of SEK 80 million per year for the investment in energy efficiency in SMEs during the period. </w:t>
      </w:r>
    </w:p>
    <w:p w14:paraId="4D2A3D64" w14:textId="77777777" w:rsidR="0044710E" w:rsidRPr="008E2A7B" w:rsidRDefault="0044710E" w:rsidP="0044710E">
      <w:pPr>
        <w:pStyle w:val="Brdtext"/>
        <w:contextualSpacing/>
        <w:rPr>
          <w:lang w:val="en-GB"/>
        </w:rPr>
      </w:pPr>
    </w:p>
    <w:p w14:paraId="6881F859" w14:textId="77777777" w:rsidR="0044710E" w:rsidRPr="008E2A7B" w:rsidRDefault="0044710E" w:rsidP="0044710E">
      <w:pPr>
        <w:pStyle w:val="Brdtext"/>
        <w:contextualSpacing/>
        <w:rPr>
          <w:b/>
          <w:lang w:val="en-GB"/>
        </w:rPr>
      </w:pPr>
      <w:r w:rsidRPr="008E2A7B">
        <w:rPr>
          <w:b/>
          <w:lang w:val="en-GB"/>
        </w:rPr>
        <w:t>EU financial support for energy efficiency in buildings</w:t>
      </w:r>
    </w:p>
    <w:p w14:paraId="5D21520F" w14:textId="77777777" w:rsidR="0044710E" w:rsidRDefault="0044710E" w:rsidP="0044710E">
      <w:pPr>
        <w:pStyle w:val="Brdtext"/>
        <w:contextualSpacing/>
        <w:rPr>
          <w:lang w:val="en-GB"/>
        </w:rPr>
      </w:pPr>
      <w:r w:rsidRPr="008E2A7B">
        <w:rPr>
          <w:lang w:val="en-GB"/>
        </w:rPr>
        <w:t>The EU promotes improvements in the energy performance of buildings through a series of financial support programs. Energy Efficiency Financing Instrument (EEFF) was established in 2011, offering instruments for loans, equity and guarantees as well as support for technical assistance for project development support.</w:t>
      </w:r>
    </w:p>
    <w:p w14:paraId="30A62FBF" w14:textId="77777777" w:rsidR="00F57481" w:rsidRPr="008E2A7B" w:rsidRDefault="00F57481" w:rsidP="0044710E">
      <w:pPr>
        <w:pStyle w:val="Brdtext"/>
        <w:contextualSpacing/>
        <w:rPr>
          <w:lang w:val="en-GB"/>
        </w:rPr>
      </w:pPr>
    </w:p>
    <w:p w14:paraId="62560095" w14:textId="77777777" w:rsidR="0044710E" w:rsidRPr="008E2A7B" w:rsidRDefault="0044710E" w:rsidP="0044710E">
      <w:pPr>
        <w:pStyle w:val="Rubrik2"/>
        <w:rPr>
          <w:lang w:val="en-GB"/>
        </w:rPr>
      </w:pPr>
      <w:bookmarkStart w:id="33" w:name="_Toc499285550"/>
      <w:r w:rsidRPr="008E2A7B">
        <w:rPr>
          <w:lang w:val="en-GB"/>
        </w:rPr>
        <w:lastRenderedPageBreak/>
        <w:t>Dimension Energy security</w:t>
      </w:r>
      <w:bookmarkEnd w:id="33"/>
      <w:r w:rsidRPr="008E2A7B">
        <w:rPr>
          <w:lang w:val="en-GB"/>
        </w:rPr>
        <w:t xml:space="preserve"> </w:t>
      </w:r>
    </w:p>
    <w:p w14:paraId="18614CFE" w14:textId="77777777" w:rsidR="0044710E" w:rsidRPr="008E2A7B" w:rsidRDefault="0044710E" w:rsidP="0044710E">
      <w:pPr>
        <w:pStyle w:val="i-lista"/>
        <w:numPr>
          <w:ilvl w:val="1"/>
          <w:numId w:val="17"/>
        </w:numPr>
        <w:rPr>
          <w:i/>
          <w:lang w:val="en-GB"/>
        </w:rPr>
      </w:pPr>
      <w:r w:rsidRPr="008E2A7B">
        <w:rPr>
          <w:i/>
          <w:lang w:val="en-GB"/>
        </w:rPr>
        <w:t xml:space="preserve">Policies and measures to achieve the objectives set out in 2.3 </w:t>
      </w:r>
    </w:p>
    <w:p w14:paraId="14CE9564" w14:textId="77777777" w:rsidR="0044710E" w:rsidRPr="008E2A7B" w:rsidRDefault="0044710E" w:rsidP="0044710E">
      <w:pPr>
        <w:pStyle w:val="Brdtext"/>
        <w:spacing w:after="120"/>
        <w:rPr>
          <w:b/>
          <w:lang w:val="en-GB"/>
        </w:rPr>
      </w:pPr>
      <w:r w:rsidRPr="008E2A7B">
        <w:rPr>
          <w:b/>
          <w:lang w:val="en-GB"/>
        </w:rPr>
        <w:t>Electricity supply</w:t>
      </w:r>
    </w:p>
    <w:p w14:paraId="5445E8EE" w14:textId="77777777" w:rsidR="0044710E" w:rsidRPr="008E2A7B" w:rsidRDefault="0044710E" w:rsidP="0044710E">
      <w:pPr>
        <w:pStyle w:val="Brdtext"/>
        <w:spacing w:after="120"/>
        <w:rPr>
          <w:u w:val="single"/>
          <w:lang w:val="en-GB"/>
        </w:rPr>
      </w:pPr>
      <w:r w:rsidRPr="008E2A7B">
        <w:rPr>
          <w:u w:val="single"/>
          <w:lang w:val="en-GB"/>
        </w:rPr>
        <w:t>Measures regarding electric power outages</w:t>
      </w:r>
    </w:p>
    <w:p w14:paraId="3284978E" w14:textId="080C2B18" w:rsidR="009E2BD3" w:rsidRPr="008E2A7B" w:rsidRDefault="009E2BD3" w:rsidP="0044710E">
      <w:pPr>
        <w:pStyle w:val="Brdtext"/>
        <w:spacing w:after="120"/>
        <w:rPr>
          <w:lang w:val="en-GB"/>
        </w:rPr>
      </w:pPr>
      <w:r w:rsidRPr="008E2A7B">
        <w:rPr>
          <w:lang w:val="en-GB"/>
        </w:rPr>
        <w:t xml:space="preserve">The Swedish TSO, </w:t>
      </w:r>
      <w:r w:rsidR="00C47D69" w:rsidRPr="008E2A7B">
        <w:rPr>
          <w:lang w:val="en-GB"/>
        </w:rPr>
        <w:t>Svenska kraftnät</w:t>
      </w:r>
      <w:r w:rsidRPr="008E2A7B">
        <w:rPr>
          <w:lang w:val="en-GB"/>
        </w:rPr>
        <w:t>, is Sweden's Authority of Electricity Contingency Planning and are working to ensure that electricity supply is prepared for extreme events that may pose serious strains on society. Sv</w:t>
      </w:r>
      <w:r w:rsidR="00C47D69" w:rsidRPr="008E2A7B">
        <w:rPr>
          <w:lang w:val="en-GB"/>
        </w:rPr>
        <w:t xml:space="preserve">enska </w:t>
      </w:r>
      <w:r w:rsidRPr="008E2A7B">
        <w:rPr>
          <w:lang w:val="en-GB"/>
        </w:rPr>
        <w:t>K</w:t>
      </w:r>
      <w:r w:rsidR="00C47D69" w:rsidRPr="008E2A7B">
        <w:rPr>
          <w:lang w:val="en-GB"/>
        </w:rPr>
        <w:t>raftnät</w:t>
      </w:r>
      <w:r w:rsidRPr="008E2A7B">
        <w:rPr>
          <w:lang w:val="en-GB"/>
        </w:rPr>
        <w:t xml:space="preserve"> makes sure that measures are taken to enhance the preparedness, that there are trained professionals and that resources are available for repair work and communication equipment.</w:t>
      </w:r>
      <w:r w:rsidR="00331D94" w:rsidRPr="008E2A7B">
        <w:rPr>
          <w:lang w:val="en-GB"/>
        </w:rPr>
        <w:t xml:space="preserve"> For </w:t>
      </w:r>
      <w:r w:rsidR="00440377" w:rsidRPr="008E2A7B">
        <w:rPr>
          <w:lang w:val="en-GB"/>
        </w:rPr>
        <w:t>financing measures for emergency preparedness</w:t>
      </w:r>
      <w:r w:rsidR="00331D94" w:rsidRPr="008E2A7B">
        <w:rPr>
          <w:lang w:val="en-GB"/>
        </w:rPr>
        <w:t xml:space="preserve"> see 3.3</w:t>
      </w:r>
      <w:r w:rsidR="00331D94" w:rsidRPr="008E2A7B">
        <w:rPr>
          <w:i/>
          <w:lang w:val="en-GB"/>
        </w:rPr>
        <w:t>iii</w:t>
      </w:r>
      <w:r w:rsidR="00331D94" w:rsidRPr="008E2A7B">
        <w:rPr>
          <w:lang w:val="en-GB"/>
        </w:rPr>
        <w:t xml:space="preserve">. </w:t>
      </w:r>
    </w:p>
    <w:p w14:paraId="485FA92F" w14:textId="77777777" w:rsidR="007F2910" w:rsidRPr="008E2A7B" w:rsidRDefault="0044710E" w:rsidP="00B566A8">
      <w:pPr>
        <w:pStyle w:val="Brdtext"/>
        <w:spacing w:after="120"/>
        <w:rPr>
          <w:lang w:val="en-GB"/>
        </w:rPr>
      </w:pPr>
      <w:r w:rsidRPr="008E2A7B">
        <w:rPr>
          <w:lang w:val="en-GB"/>
        </w:rPr>
        <w:t>As described in 2.3.</w:t>
      </w:r>
      <w:r w:rsidRPr="008E2A7B">
        <w:rPr>
          <w:i/>
          <w:lang w:val="en-GB"/>
        </w:rPr>
        <w:t>iii</w:t>
      </w:r>
      <w:r w:rsidRPr="008E2A7B">
        <w:rPr>
          <w:lang w:val="en-GB"/>
        </w:rPr>
        <w:t xml:space="preserve">, there is a requirement aimed at the network operator that outages must not last longer than 24 hours, unless caused by a factor not controlled by the operator. If an outage lasts longer than 12 hours, customers are entitled to compensation. </w:t>
      </w:r>
    </w:p>
    <w:p w14:paraId="1905D6DE" w14:textId="14EFA37D" w:rsidR="00F57481" w:rsidRPr="008E2A7B" w:rsidRDefault="0044710E" w:rsidP="00B566A8">
      <w:pPr>
        <w:pStyle w:val="Brdtext"/>
        <w:spacing w:after="120"/>
        <w:rPr>
          <w:lang w:val="en-GB"/>
        </w:rPr>
      </w:pPr>
      <w:r w:rsidRPr="008E2A7B">
        <w:rPr>
          <w:lang w:val="en-GB"/>
        </w:rPr>
        <w:t>Moreover, measures are taken to increase public knowledge of appropriate preparedness measures at home in order to alleviate the consequences of a power outage.</w:t>
      </w:r>
    </w:p>
    <w:p w14:paraId="1010C56A" w14:textId="77777777" w:rsidR="0044710E" w:rsidRPr="008E2A7B" w:rsidRDefault="0044710E" w:rsidP="0044710E">
      <w:pPr>
        <w:pStyle w:val="Brdtext"/>
        <w:spacing w:after="120"/>
        <w:rPr>
          <w:u w:val="single"/>
          <w:lang w:val="en-GB"/>
        </w:rPr>
      </w:pPr>
      <w:r w:rsidRPr="008E2A7B">
        <w:rPr>
          <w:u w:val="single"/>
          <w:lang w:val="en-GB"/>
        </w:rPr>
        <w:t>Measures regarding electric energy shortages</w:t>
      </w:r>
    </w:p>
    <w:p w14:paraId="6E7220E9" w14:textId="77777777" w:rsidR="0044710E" w:rsidRPr="008E2A7B" w:rsidRDefault="0044710E" w:rsidP="0044710E">
      <w:pPr>
        <w:pStyle w:val="Brdtext"/>
        <w:rPr>
          <w:lang w:val="en-GB"/>
        </w:rPr>
      </w:pPr>
      <w:r w:rsidRPr="008E2A7B">
        <w:rPr>
          <w:lang w:val="en-GB"/>
        </w:rPr>
        <w:t>Emergency management measures are prepared both for preventing energy shortages and for mitigating the consequences should a shortage occur. Measures include inter alia a national information campaign to encourage electricity users to voluntarily decrease their consumption and so avoid a shortage. Should this be insufficient, there is a plan for electricity rationing ready to be launched.</w:t>
      </w:r>
    </w:p>
    <w:p w14:paraId="2B658DB2" w14:textId="77777777" w:rsidR="0044710E" w:rsidRPr="008E2A7B" w:rsidRDefault="0044710E" w:rsidP="0044710E">
      <w:pPr>
        <w:pStyle w:val="Brdtext"/>
        <w:spacing w:after="120"/>
        <w:rPr>
          <w:u w:val="single"/>
          <w:lang w:val="en-GB"/>
        </w:rPr>
      </w:pPr>
      <w:r w:rsidRPr="008E2A7B">
        <w:rPr>
          <w:u w:val="single"/>
          <w:lang w:val="en-GB"/>
        </w:rPr>
        <w:t>Measures regarding electric power shortages</w:t>
      </w:r>
    </w:p>
    <w:p w14:paraId="71F9B3A9" w14:textId="77777777" w:rsidR="0044710E" w:rsidRPr="008E2A7B" w:rsidRDefault="0044710E" w:rsidP="0044710E">
      <w:pPr>
        <w:pStyle w:val="Brdtext"/>
        <w:rPr>
          <w:lang w:val="en-GB"/>
        </w:rPr>
      </w:pPr>
      <w:r w:rsidRPr="008E2A7B">
        <w:rPr>
          <w:lang w:val="en-GB"/>
        </w:rPr>
        <w:t>In order to maintain balance in the electricity system, the Swedish TSO Svenska kraftnät has a number of technical and commercial mechanisms available, such as strategic reserve. If theses mechanisms are insufficient, the last resort is load shedding, where part of the consumption is disconnected to reduce the extent and duration of a power shortage and avoid system collapse. To alleviate the consequences for society, a method for planning the prioritisation of socially important electricity users, Styrel</w:t>
      </w:r>
      <w:r w:rsidRPr="008E2A7B">
        <w:rPr>
          <w:rStyle w:val="Fotnotsreferens"/>
          <w:lang w:val="en-GB"/>
        </w:rPr>
        <w:footnoteReference w:id="27"/>
      </w:r>
      <w:r w:rsidRPr="008E2A7B">
        <w:rPr>
          <w:lang w:val="en-GB"/>
        </w:rPr>
        <w:t>, has been developed.</w:t>
      </w:r>
    </w:p>
    <w:p w14:paraId="136E5DF9" w14:textId="77777777" w:rsidR="0044710E" w:rsidRPr="008E2A7B" w:rsidRDefault="0044710E" w:rsidP="0044710E">
      <w:pPr>
        <w:pStyle w:val="Brdtext"/>
        <w:contextualSpacing/>
        <w:rPr>
          <w:b/>
          <w:lang w:val="en-GB"/>
        </w:rPr>
      </w:pPr>
      <w:r w:rsidRPr="008E2A7B">
        <w:rPr>
          <w:b/>
          <w:lang w:val="en-GB"/>
        </w:rPr>
        <w:t>Gas supply</w:t>
      </w:r>
    </w:p>
    <w:p w14:paraId="0C17CB70" w14:textId="77777777" w:rsidR="0044710E" w:rsidRPr="008E2A7B" w:rsidRDefault="0044710E" w:rsidP="0044710E">
      <w:pPr>
        <w:pStyle w:val="Brdtext"/>
        <w:contextualSpacing/>
        <w:rPr>
          <w:lang w:val="en-GB"/>
        </w:rPr>
      </w:pPr>
      <w:r w:rsidRPr="008E2A7B">
        <w:rPr>
          <w:lang w:val="en-GB"/>
        </w:rPr>
        <w:t xml:space="preserve">Sweden follows the revised Gas Security of Supply Regulation, which sets operational requirements for gas supply security. Based on the Regulation and Swedish Constitution, Law (2012:273) and Regulation </w:t>
      </w:r>
      <w:r w:rsidRPr="008E2A7B">
        <w:rPr>
          <w:lang w:val="en-GB"/>
        </w:rPr>
        <w:lastRenderedPageBreak/>
        <w:t>(2012:275) on Natural Gas Supply (which complement the Regulation), there is a National Preventive Action Plan and National Crisis Plan. In addition to these, there are also regulations and general advice developed. These include requirements for natural gas companies and large consumers of natural gas. The requirement means, among other things, that "protected customers", that is, consumers, should be able to receive gas for at least 30 days in case of disturbances or disruptions in deliveries.</w:t>
      </w:r>
    </w:p>
    <w:p w14:paraId="07E44116" w14:textId="77777777" w:rsidR="0044710E" w:rsidRPr="008E2A7B" w:rsidRDefault="0044710E" w:rsidP="0044710E">
      <w:pPr>
        <w:pStyle w:val="Brdtext"/>
        <w:contextualSpacing/>
        <w:rPr>
          <w:lang w:val="en-GB"/>
        </w:rPr>
      </w:pPr>
    </w:p>
    <w:p w14:paraId="5AA1A1B6" w14:textId="77777777" w:rsidR="0044710E" w:rsidRPr="008E2A7B" w:rsidRDefault="0044710E" w:rsidP="0044710E">
      <w:pPr>
        <w:pStyle w:val="Brdtext"/>
        <w:contextualSpacing/>
        <w:rPr>
          <w:b/>
          <w:lang w:val="en-GB"/>
        </w:rPr>
      </w:pPr>
      <w:r w:rsidRPr="008E2A7B">
        <w:rPr>
          <w:b/>
          <w:lang w:val="en-GB"/>
        </w:rPr>
        <w:t>Oil supply</w:t>
      </w:r>
    </w:p>
    <w:p w14:paraId="05C5B037" w14:textId="77777777" w:rsidR="0044710E" w:rsidRPr="008E2A7B" w:rsidRDefault="0044710E" w:rsidP="0044710E">
      <w:pPr>
        <w:pStyle w:val="Brdtext"/>
        <w:contextualSpacing/>
        <w:rPr>
          <w:lang w:val="en-GB"/>
        </w:rPr>
      </w:pPr>
      <w:r w:rsidRPr="008E2A7B">
        <w:rPr>
          <w:lang w:val="en-GB"/>
        </w:rPr>
        <w:t>The Swedish legislation on emergency preparedness for oil is based on Council Directive 2009/119/EC. The EC Directive has approached the IEA requirements and reporting on emergency preparedness stocks. The storage obligation is also linked to Sweden's commitments to the IEA (International Energy Agency) under the IEP agreement, which is an agreement between 29 countries on a common energy program. Among other things, the agreement requires that each Member State stores oil equivalent to 90 days net imports. The size of the oil stock for supply crises, in total and for each actor, is determined by the state once a year. The size of the storage obligation is based on how much the company has sold or consumed during the previous year. A storage year runs from 1 April to 31 March the following year.</w:t>
      </w:r>
    </w:p>
    <w:p w14:paraId="0C05F371" w14:textId="77777777" w:rsidR="0044710E" w:rsidRPr="008E2A7B" w:rsidRDefault="0044710E" w:rsidP="0044710E">
      <w:pPr>
        <w:pStyle w:val="i-lista"/>
        <w:numPr>
          <w:ilvl w:val="1"/>
          <w:numId w:val="17"/>
        </w:numPr>
        <w:rPr>
          <w:i/>
          <w:lang w:val="en-GB"/>
        </w:rPr>
      </w:pPr>
      <w:r w:rsidRPr="008E2A7B">
        <w:rPr>
          <w:i/>
          <w:lang w:val="en-GB"/>
        </w:rPr>
        <w:t>Regional cooperation in this area</w:t>
      </w:r>
    </w:p>
    <w:p w14:paraId="5B58F823" w14:textId="77777777" w:rsidR="0044710E" w:rsidRPr="008E2A7B" w:rsidRDefault="0044710E" w:rsidP="0044710E">
      <w:pPr>
        <w:pStyle w:val="Brdtext"/>
        <w:rPr>
          <w:lang w:val="en-GB"/>
        </w:rPr>
      </w:pPr>
      <w:r w:rsidRPr="008E2A7B">
        <w:rPr>
          <w:lang w:val="en-GB"/>
        </w:rPr>
        <w:t>Efforts for security of supply, as well as for crisis management measures, follow the geographical distribution of markets. As the oil and fuel market is global, cooperation on crisis management measures takes place globally, including within the International Energy Agency (IEA) cooperation. At risk of oil and fuel shortage, the situation is analysed both in Sweden, the EU and the IEA. The IEA evaluates the degree of impact of a supply outage on the market and analyses whether emergency stocks should be put into service. The IEA can provide recommendations for actions, such as about collective action, but Sweden is responsible for decisions about possible actions.</w:t>
      </w:r>
    </w:p>
    <w:p w14:paraId="7F34387E" w14:textId="77777777" w:rsidR="0044710E" w:rsidRPr="008E2A7B" w:rsidRDefault="0044710E" w:rsidP="0044710E">
      <w:pPr>
        <w:pStyle w:val="Brdtext"/>
        <w:rPr>
          <w:lang w:val="en-GB"/>
        </w:rPr>
      </w:pPr>
      <w:r w:rsidRPr="008E2A7B">
        <w:rPr>
          <w:lang w:val="en-GB"/>
        </w:rPr>
        <w:t xml:space="preserve">The Swedish electricity system is connected with the Nordic neighbours, and therefore cooperation is taking place on various crisis management measures in the Nordic region, mainly within NordBER. NordBER is a collaboration that includes preparedness for the electricity supply between the Nordic energy and power emergency agencies as well as grid operators. Energy authorities and grid operators from all Nordic countries are included. From Sweden, two authorities, the Swedish Energy Agency and Svenska kraftnät, participate. </w:t>
      </w:r>
    </w:p>
    <w:p w14:paraId="11683B8D" w14:textId="77777777" w:rsidR="0044710E" w:rsidRPr="008E2A7B" w:rsidRDefault="0044710E" w:rsidP="0044710E">
      <w:pPr>
        <w:pStyle w:val="Brdtext"/>
        <w:rPr>
          <w:lang w:val="en-GB"/>
        </w:rPr>
      </w:pPr>
      <w:r w:rsidRPr="008E2A7B">
        <w:rPr>
          <w:lang w:val="en-GB"/>
        </w:rPr>
        <w:t xml:space="preserve">In the gas supply, regional co-operation between Sweden and Denmark has taken place before. In the EU's new natural gas regulation, regional cooperation is more formalised by Member States being divided into different regional groups to deal with common issues. The gas industry </w:t>
      </w:r>
      <w:r w:rsidRPr="008E2A7B">
        <w:rPr>
          <w:lang w:val="en-GB"/>
        </w:rPr>
        <w:lastRenderedPageBreak/>
        <w:t>players are also working to establish a joint-balancing zone in Sweden and Denmark, which will make regional cooperation very tight.</w:t>
      </w:r>
    </w:p>
    <w:p w14:paraId="66C15AC6" w14:textId="77777777" w:rsidR="0044710E" w:rsidRPr="008E2A7B" w:rsidRDefault="0044710E" w:rsidP="0044710E">
      <w:pPr>
        <w:pStyle w:val="i-lista"/>
        <w:numPr>
          <w:ilvl w:val="1"/>
          <w:numId w:val="17"/>
        </w:numPr>
        <w:rPr>
          <w:i/>
          <w:lang w:val="en-GB"/>
        </w:rPr>
      </w:pPr>
      <w:r w:rsidRPr="008E2A7B">
        <w:rPr>
          <w:i/>
          <w:lang w:val="en-GB"/>
        </w:rPr>
        <w:t>If applicable, financing measures in this area at national level, including EU support and the use of EU funds</w:t>
      </w:r>
    </w:p>
    <w:p w14:paraId="22C453DE" w14:textId="79392A4C" w:rsidR="0044710E" w:rsidRPr="008E2A7B" w:rsidRDefault="0044710E" w:rsidP="0044710E">
      <w:pPr>
        <w:pStyle w:val="Brdtext"/>
        <w:rPr>
          <w:lang w:val="en-GB"/>
        </w:rPr>
      </w:pPr>
      <w:r w:rsidRPr="008E2A7B">
        <w:rPr>
          <w:lang w:val="en-GB"/>
        </w:rPr>
        <w:t xml:space="preserve">Svenska kraftnät is given a budget appropriation for emergency preparedness measures. A certain part of the appropriation is also used for administrative costs linked to Svenska kraftnät's activities as an emergency preparedness authority, funding for research and tasks linked to Svenska kraftnät’s mission to promote the country's dam safety. The annual appropriation is normally equivalent to the electricity preparedness fee paid by electricity grid companies (SEK </w:t>
      </w:r>
      <w:r w:rsidR="00F57481" w:rsidRPr="008E2A7B">
        <w:rPr>
          <w:lang w:val="en-GB"/>
        </w:rPr>
        <w:t xml:space="preserve">255 </w:t>
      </w:r>
      <w:r w:rsidR="00F57481">
        <w:rPr>
          <w:lang w:val="en-GB"/>
        </w:rPr>
        <w:t xml:space="preserve">million </w:t>
      </w:r>
      <w:r w:rsidRPr="008E2A7B">
        <w:rPr>
          <w:lang w:val="en-GB"/>
        </w:rPr>
        <w:t>for 2017).</w:t>
      </w:r>
    </w:p>
    <w:p w14:paraId="60D241BD" w14:textId="77777777" w:rsidR="0044710E" w:rsidRPr="008E2A7B" w:rsidRDefault="0044710E" w:rsidP="0044710E">
      <w:pPr>
        <w:pStyle w:val="Brdtext"/>
        <w:rPr>
          <w:lang w:val="en-GB"/>
        </w:rPr>
      </w:pPr>
      <w:r w:rsidRPr="008E2A7B">
        <w:rPr>
          <w:lang w:val="en-GB"/>
        </w:rPr>
        <w:t>Emergency response measures are measures taken to prevent, resist and deal with interference in power supply that can lead to severe strains on society. The measures can, for example, consist of technical reinforcement measures, strengthening of physical protection, strengthening of IT security, acquisition of repair resources and training.</w:t>
      </w:r>
    </w:p>
    <w:p w14:paraId="7D30E48B" w14:textId="77777777" w:rsidR="0044710E" w:rsidRPr="008E2A7B" w:rsidRDefault="0044710E" w:rsidP="0044710E">
      <w:pPr>
        <w:pStyle w:val="Brdtext"/>
        <w:rPr>
          <w:lang w:val="en-GB"/>
        </w:rPr>
      </w:pPr>
    </w:p>
    <w:p w14:paraId="57BCB67C" w14:textId="77777777" w:rsidR="0044710E" w:rsidRPr="008E2A7B" w:rsidRDefault="0044710E" w:rsidP="0044710E">
      <w:pPr>
        <w:pStyle w:val="Rubrik2"/>
        <w:rPr>
          <w:lang w:val="en-GB"/>
        </w:rPr>
      </w:pPr>
      <w:bookmarkStart w:id="34" w:name="_Toc499285551"/>
      <w:r w:rsidRPr="008E2A7B">
        <w:rPr>
          <w:lang w:val="en-GB"/>
        </w:rPr>
        <w:t>Dimension Internal energy market</w:t>
      </w:r>
      <w:bookmarkEnd w:id="34"/>
      <w:r w:rsidRPr="008E2A7B">
        <w:rPr>
          <w:lang w:val="en-GB"/>
        </w:rPr>
        <w:t xml:space="preserve"> </w:t>
      </w:r>
    </w:p>
    <w:p w14:paraId="7DB194FA" w14:textId="77777777" w:rsidR="0044710E" w:rsidRPr="008E2A7B" w:rsidRDefault="0044710E" w:rsidP="0044710E">
      <w:pPr>
        <w:pStyle w:val="Rubrik3"/>
        <w:rPr>
          <w:lang w:val="en-GB"/>
        </w:rPr>
      </w:pPr>
      <w:r w:rsidRPr="008E2A7B">
        <w:rPr>
          <w:lang w:val="en-GB"/>
        </w:rPr>
        <w:t>Electricity infrastructure</w:t>
      </w:r>
    </w:p>
    <w:p w14:paraId="20AD242C" w14:textId="77777777" w:rsidR="0044710E" w:rsidRPr="008E2A7B" w:rsidRDefault="0044710E" w:rsidP="0044710E">
      <w:pPr>
        <w:pStyle w:val="i-lista"/>
        <w:numPr>
          <w:ilvl w:val="1"/>
          <w:numId w:val="18"/>
        </w:numPr>
        <w:rPr>
          <w:i/>
          <w:lang w:val="en-GB"/>
        </w:rPr>
      </w:pPr>
      <w:r w:rsidRPr="008E2A7B">
        <w:rPr>
          <w:i/>
          <w:lang w:val="en-GB"/>
        </w:rPr>
        <w:t>Policies and measures to achieve the targeted level of interconnectivity presented in 2.4.1</w:t>
      </w:r>
    </w:p>
    <w:p w14:paraId="2D516E72" w14:textId="77777777" w:rsidR="0044710E" w:rsidRPr="008E2A7B" w:rsidRDefault="0044710E" w:rsidP="0044710E">
      <w:pPr>
        <w:pStyle w:val="Brdtext"/>
        <w:rPr>
          <w:i/>
          <w:lang w:val="en-GB"/>
        </w:rPr>
      </w:pPr>
      <w:r w:rsidRPr="008E2A7B">
        <w:rPr>
          <w:lang w:val="en-GB"/>
        </w:rPr>
        <w:t>As described in 2.4.1.</w:t>
      </w:r>
      <w:r w:rsidRPr="008E2A7B">
        <w:rPr>
          <w:i/>
          <w:lang w:val="en-GB"/>
        </w:rPr>
        <w:t>i</w:t>
      </w:r>
      <w:r w:rsidRPr="008E2A7B">
        <w:rPr>
          <w:lang w:val="en-GB"/>
        </w:rPr>
        <w:t>, the Swedish level of interconnectivity is already well above the Union target of 15%. Thus, there are no policies or measures to increase the interconnectivity level, but rather the expansion of interconnections is governed by the market.</w:t>
      </w:r>
    </w:p>
    <w:p w14:paraId="2806E9AD" w14:textId="77777777" w:rsidR="0044710E" w:rsidRPr="008E2A7B" w:rsidRDefault="0044710E" w:rsidP="0044710E">
      <w:pPr>
        <w:pStyle w:val="i-lista"/>
        <w:numPr>
          <w:ilvl w:val="1"/>
          <w:numId w:val="18"/>
        </w:numPr>
        <w:rPr>
          <w:i/>
          <w:lang w:val="en-GB"/>
        </w:rPr>
      </w:pPr>
      <w:r w:rsidRPr="008E2A7B">
        <w:rPr>
          <w:i/>
          <w:lang w:val="en-GB"/>
        </w:rPr>
        <w:t xml:space="preserve">Regional cooperation in this area </w:t>
      </w:r>
    </w:p>
    <w:p w14:paraId="2C3F58A8" w14:textId="77777777" w:rsidR="0044710E" w:rsidRPr="008E2A7B" w:rsidRDefault="0044710E" w:rsidP="0044710E">
      <w:pPr>
        <w:pStyle w:val="Brdtext"/>
        <w:rPr>
          <w:lang w:val="en-GB"/>
        </w:rPr>
      </w:pPr>
      <w:r w:rsidRPr="008E2A7B">
        <w:rPr>
          <w:lang w:val="en-GB"/>
        </w:rPr>
        <w:t xml:space="preserve">The Swedish transmission system operator (TSO), Svenska kraftnät, cooperates with other transmission system operators through ENTSO-E (European Network of Transmission System Operators). Svenska kraftnät contributes to ENTSO-E’s deliveries, such as the Ten Year Network Development Plan (TYNDP).   </w:t>
      </w:r>
    </w:p>
    <w:p w14:paraId="1538F176" w14:textId="74D0BC64" w:rsidR="0044710E" w:rsidRPr="008E2A7B" w:rsidRDefault="0044710E" w:rsidP="0044710E">
      <w:pPr>
        <w:pStyle w:val="Brdtext"/>
        <w:rPr>
          <w:lang w:val="en-GB"/>
        </w:rPr>
      </w:pPr>
      <w:r w:rsidRPr="008E2A7B">
        <w:rPr>
          <w:lang w:val="en-GB"/>
        </w:rPr>
        <w:t>In addition, Svenska kraftnät together with the other Nordic TSOs is planning a No</w:t>
      </w:r>
      <w:r w:rsidR="00BE2DC7">
        <w:rPr>
          <w:lang w:val="en-GB"/>
        </w:rPr>
        <w:t>rdic Grid Development Plan in</w:t>
      </w:r>
      <w:r w:rsidRPr="008E2A7B">
        <w:rPr>
          <w:lang w:val="en-GB"/>
        </w:rPr>
        <w:t xml:space="preserve"> 2019.</w:t>
      </w:r>
    </w:p>
    <w:p w14:paraId="4493F9D5" w14:textId="77777777" w:rsidR="0044710E" w:rsidRPr="008E2A7B" w:rsidRDefault="0044710E" w:rsidP="0044710E">
      <w:pPr>
        <w:pStyle w:val="i-lista"/>
        <w:numPr>
          <w:ilvl w:val="1"/>
          <w:numId w:val="18"/>
        </w:numPr>
        <w:rPr>
          <w:i/>
          <w:lang w:val="en-GB"/>
        </w:rPr>
      </w:pPr>
      <w:r w:rsidRPr="008E2A7B">
        <w:rPr>
          <w:i/>
          <w:lang w:val="en-GB"/>
        </w:rPr>
        <w:t>If applicable, financing measures in this area at national level, including EU support and the use of EU funds</w:t>
      </w:r>
    </w:p>
    <w:p w14:paraId="7BE44288" w14:textId="77777777" w:rsidR="0044710E" w:rsidRPr="008E2A7B" w:rsidRDefault="0044710E" w:rsidP="0044710E">
      <w:pPr>
        <w:pStyle w:val="Brdtext"/>
        <w:rPr>
          <w:lang w:val="en-GB"/>
        </w:rPr>
      </w:pPr>
      <w:r w:rsidRPr="008E2A7B">
        <w:rPr>
          <w:lang w:val="en-GB"/>
        </w:rPr>
        <w:t>Not applicable.</w:t>
      </w:r>
    </w:p>
    <w:p w14:paraId="7ED959A8" w14:textId="77777777" w:rsidR="0044710E" w:rsidRPr="008E2A7B" w:rsidRDefault="0044710E" w:rsidP="0044710E">
      <w:pPr>
        <w:pStyle w:val="Rubrik3"/>
        <w:rPr>
          <w:lang w:val="en-GB"/>
        </w:rPr>
      </w:pPr>
      <w:r w:rsidRPr="008E2A7B">
        <w:rPr>
          <w:lang w:val="en-GB"/>
        </w:rPr>
        <w:lastRenderedPageBreak/>
        <w:t>Energy transmission infrastructure</w:t>
      </w:r>
    </w:p>
    <w:p w14:paraId="735184C7" w14:textId="77777777" w:rsidR="0044710E" w:rsidRPr="008E2A7B" w:rsidRDefault="0044710E" w:rsidP="0044710E">
      <w:pPr>
        <w:pStyle w:val="i-lista"/>
        <w:numPr>
          <w:ilvl w:val="1"/>
          <w:numId w:val="19"/>
        </w:numPr>
        <w:rPr>
          <w:i/>
          <w:lang w:val="en-GB"/>
        </w:rPr>
      </w:pPr>
      <w:r w:rsidRPr="008E2A7B">
        <w:rPr>
          <w:i/>
          <w:lang w:val="en-GB"/>
        </w:rPr>
        <w:t>Policies and measures to achieve the key infrastructure objectives presented in 2.4.2, including, if applicable, specific measures to enable the delivery of Projects of Common Interest (PCIs) and other key infrastructure projects</w:t>
      </w:r>
    </w:p>
    <w:p w14:paraId="195FC526" w14:textId="77777777" w:rsidR="0044710E" w:rsidRPr="008E2A7B" w:rsidRDefault="0044710E" w:rsidP="0044710E">
      <w:pPr>
        <w:pStyle w:val="Brdtext"/>
        <w:rPr>
          <w:lang w:val="en-GB"/>
        </w:rPr>
      </w:pPr>
      <w:r w:rsidRPr="008E2A7B">
        <w:rPr>
          <w:lang w:val="en-GB"/>
        </w:rPr>
        <w:t xml:space="preserve">There are no specific policies or measures since there are no national key infrastructure objectives in this area. </w:t>
      </w:r>
    </w:p>
    <w:p w14:paraId="0A1B0A37" w14:textId="77777777" w:rsidR="0044710E" w:rsidRPr="008E2A7B" w:rsidRDefault="0044710E" w:rsidP="0044710E">
      <w:pPr>
        <w:pStyle w:val="Brdtext"/>
        <w:rPr>
          <w:lang w:val="en-GB"/>
        </w:rPr>
      </w:pPr>
      <w:r w:rsidRPr="008E2A7B">
        <w:rPr>
          <w:lang w:val="en-GB"/>
        </w:rPr>
        <w:t xml:space="preserve">However, there is an ongoing effort to eliminate bottlenecks in electricity infrastructure. After an economic appraisal is conducted, frequently recurring bottlenecks are addressed by investing in new transmission capacity. It is not, however, economically efficient to strengthen the networks to such a level that bottlenecks never occur. Eliminating bottlenecks by strengthening network capacity is a long-term measure. </w:t>
      </w:r>
    </w:p>
    <w:p w14:paraId="4A63976D" w14:textId="77777777" w:rsidR="0044710E" w:rsidRPr="008E2A7B" w:rsidRDefault="0044710E" w:rsidP="0044710E">
      <w:pPr>
        <w:pStyle w:val="i-lista"/>
        <w:numPr>
          <w:ilvl w:val="1"/>
          <w:numId w:val="19"/>
        </w:numPr>
        <w:rPr>
          <w:i/>
          <w:lang w:val="en-GB"/>
        </w:rPr>
      </w:pPr>
      <w:r w:rsidRPr="008E2A7B">
        <w:rPr>
          <w:i/>
          <w:lang w:val="en-GB"/>
        </w:rPr>
        <w:t xml:space="preserve">Regional cooperation in this area </w:t>
      </w:r>
    </w:p>
    <w:p w14:paraId="69B51A52" w14:textId="77777777" w:rsidR="0044710E" w:rsidRPr="008E2A7B" w:rsidRDefault="0044710E" w:rsidP="0044710E">
      <w:pPr>
        <w:pStyle w:val="Brdtext"/>
        <w:rPr>
          <w:lang w:val="en-GB"/>
        </w:rPr>
      </w:pPr>
      <w:r w:rsidRPr="008E2A7B">
        <w:rPr>
          <w:lang w:val="en-GB"/>
        </w:rPr>
        <w:t>Same as 3.4.1</w:t>
      </w:r>
      <w:r w:rsidRPr="008E2A7B">
        <w:rPr>
          <w:i/>
          <w:lang w:val="en-GB"/>
        </w:rPr>
        <w:t>ii</w:t>
      </w:r>
      <w:r w:rsidRPr="008E2A7B">
        <w:rPr>
          <w:lang w:val="en-GB"/>
        </w:rPr>
        <w:t>.</w:t>
      </w:r>
    </w:p>
    <w:p w14:paraId="63BFA0F1" w14:textId="77777777" w:rsidR="0044710E" w:rsidRPr="008E2A7B" w:rsidRDefault="0044710E" w:rsidP="0044710E">
      <w:pPr>
        <w:pStyle w:val="i-lista"/>
        <w:numPr>
          <w:ilvl w:val="1"/>
          <w:numId w:val="19"/>
        </w:numPr>
        <w:rPr>
          <w:i/>
          <w:lang w:val="en-GB"/>
        </w:rPr>
      </w:pPr>
      <w:r w:rsidRPr="008E2A7B">
        <w:rPr>
          <w:i/>
          <w:lang w:val="en-GB"/>
        </w:rPr>
        <w:t>If applicable, financing measures in this area at national level, including EU support and the use of EU funds</w:t>
      </w:r>
    </w:p>
    <w:p w14:paraId="498E1FA2" w14:textId="77777777" w:rsidR="0044710E" w:rsidRPr="008E2A7B" w:rsidRDefault="0044710E" w:rsidP="0044710E">
      <w:pPr>
        <w:pStyle w:val="Brdtext"/>
        <w:rPr>
          <w:lang w:val="en-GB"/>
        </w:rPr>
      </w:pPr>
      <w:r w:rsidRPr="008E2A7B">
        <w:rPr>
          <w:lang w:val="en-GB"/>
        </w:rPr>
        <w:t>Since 1 May 2015, a new regulation applies, which means that distribution companies can apply for so-called network reinforcement loans. The purpose is to facilitate the connection of large renewable electricity generation projects to the grid.</w:t>
      </w:r>
    </w:p>
    <w:p w14:paraId="6C605AC6" w14:textId="77777777" w:rsidR="0044710E" w:rsidRPr="008E2A7B" w:rsidRDefault="0044710E" w:rsidP="0044710E">
      <w:pPr>
        <w:pStyle w:val="Brdtext"/>
        <w:rPr>
          <w:lang w:val="en-GB"/>
        </w:rPr>
      </w:pPr>
      <w:r w:rsidRPr="008E2A7B">
        <w:rPr>
          <w:lang w:val="en-GB"/>
        </w:rPr>
        <w:t>The net reinforcement loan is a temporary solution, which means that, under certain conditions, regional distribution companies can get a loan from Svenska kraftnät. The loan applies to the portion of network reinforcement costs that facilitate the future connection of additional power generation in the same region. Unlike previously, the first affiliated party therefore only needs to pay "its" share of the network reinforcement costs.</w:t>
      </w:r>
    </w:p>
    <w:p w14:paraId="47873E5D" w14:textId="77777777" w:rsidR="0044710E" w:rsidRPr="008E2A7B" w:rsidRDefault="0044710E" w:rsidP="0044710E">
      <w:pPr>
        <w:pStyle w:val="Rubrik3"/>
        <w:rPr>
          <w:lang w:val="en-GB"/>
        </w:rPr>
      </w:pPr>
      <w:r w:rsidRPr="008E2A7B">
        <w:rPr>
          <w:lang w:val="en-GB"/>
        </w:rPr>
        <w:t>Market integration</w:t>
      </w:r>
    </w:p>
    <w:p w14:paraId="2A7046EF" w14:textId="77777777" w:rsidR="0044710E" w:rsidRPr="008E2A7B" w:rsidRDefault="0044710E" w:rsidP="0044710E">
      <w:pPr>
        <w:pStyle w:val="i-lista"/>
        <w:numPr>
          <w:ilvl w:val="1"/>
          <w:numId w:val="20"/>
        </w:numPr>
        <w:rPr>
          <w:i/>
          <w:lang w:val="en-GB"/>
        </w:rPr>
      </w:pPr>
      <w:r w:rsidRPr="008E2A7B">
        <w:rPr>
          <w:i/>
          <w:lang w:val="en-GB"/>
        </w:rPr>
        <w:t>Policies and measures to achieve the objectives set out in 2.4.3</w:t>
      </w:r>
    </w:p>
    <w:p w14:paraId="305E0DCD" w14:textId="77777777" w:rsidR="0044710E" w:rsidRPr="008E2A7B" w:rsidRDefault="0044710E" w:rsidP="0044710E">
      <w:pPr>
        <w:pStyle w:val="Brdtext"/>
        <w:rPr>
          <w:i/>
          <w:lang w:val="en-GB"/>
        </w:rPr>
      </w:pPr>
      <w:r w:rsidRPr="008E2A7B">
        <w:rPr>
          <w:lang w:val="en-GB"/>
        </w:rPr>
        <w:t>Sweden has no national objectives referred to above. The measures that contribute to these areas, although there are no set national targets, are described in more detail below.</w:t>
      </w:r>
    </w:p>
    <w:p w14:paraId="2344362F" w14:textId="77777777" w:rsidR="0044710E" w:rsidRPr="008E2A7B" w:rsidRDefault="0044710E" w:rsidP="0044710E">
      <w:pPr>
        <w:pStyle w:val="i-lista"/>
        <w:numPr>
          <w:ilvl w:val="1"/>
          <w:numId w:val="20"/>
        </w:numPr>
        <w:rPr>
          <w:i/>
          <w:lang w:val="en-GB"/>
        </w:rPr>
      </w:pPr>
      <w:r w:rsidRPr="008E2A7B">
        <w:rPr>
          <w:i/>
          <w:lang w:val="en-GB"/>
        </w:rPr>
        <w:lastRenderedPageBreak/>
        <w:t>Measures to increase the flexibility of the energy system with regard to renewable energy production, including the roll-out of intraday market coupling and cross-border balancing markets</w:t>
      </w:r>
    </w:p>
    <w:p w14:paraId="0ADF7235" w14:textId="77777777" w:rsidR="0044710E" w:rsidRPr="008E2A7B" w:rsidRDefault="0044710E" w:rsidP="0044710E">
      <w:pPr>
        <w:pStyle w:val="Brdtext"/>
        <w:rPr>
          <w:lang w:val="en-GB"/>
        </w:rPr>
      </w:pPr>
      <w:r w:rsidRPr="008E2A7B">
        <w:rPr>
          <w:lang w:val="en-GB"/>
        </w:rPr>
        <w:t>Measures to increase flexibility are essentially governed by Commission Regulations</w:t>
      </w:r>
      <w:r w:rsidRPr="008E2A7B">
        <w:rPr>
          <w:rStyle w:val="Fotnotsreferens"/>
          <w:lang w:val="en-GB"/>
        </w:rPr>
        <w:footnoteReference w:id="28"/>
      </w:r>
      <w:r w:rsidRPr="008E2A7B">
        <w:rPr>
          <w:lang w:val="en-GB"/>
        </w:rPr>
        <w:t xml:space="preserve"> which Sweden implements accordingly. </w:t>
      </w:r>
    </w:p>
    <w:p w14:paraId="392D1985" w14:textId="60C3597B" w:rsidR="0044710E" w:rsidRPr="008E2A7B" w:rsidRDefault="0044710E" w:rsidP="0044710E">
      <w:pPr>
        <w:pStyle w:val="Brdtext"/>
        <w:rPr>
          <w:lang w:val="en-GB"/>
        </w:rPr>
      </w:pPr>
      <w:r w:rsidRPr="008E2A7B">
        <w:rPr>
          <w:b/>
          <w:lang w:val="en-GB"/>
        </w:rPr>
        <w:t>Forum for Swedish Smart grid</w:t>
      </w:r>
      <w:r w:rsidRPr="008E2A7B">
        <w:rPr>
          <w:b/>
          <w:lang w:val="en-GB"/>
        </w:rPr>
        <w:br/>
      </w:r>
      <w:r w:rsidRPr="008E2A7B">
        <w:rPr>
          <w:lang w:val="en-GB"/>
        </w:rPr>
        <w:t>The Forum for Swedish Smart grid</w:t>
      </w:r>
      <w:r w:rsidR="00081A2C">
        <w:rPr>
          <w:rStyle w:val="Fotnotsreferens"/>
          <w:lang w:val="en-GB"/>
        </w:rPr>
        <w:footnoteReference w:id="29"/>
      </w:r>
      <w:r w:rsidRPr="008E2A7B">
        <w:rPr>
          <w:lang w:val="en-GB"/>
        </w:rPr>
        <w:t xml:space="preserve"> is a national forum appointed by the Swedish Ministry of the Environment and Energy. The Forum is established as a result of the recommendations from the Swedish Coordination Council for Smart Grid (active 2012–2014). The mission is to implement the action plan, set up by the Council, to further develop a store of knowledge on the website and to support Swedish export within smart grids. To this end, SEK 10 million per year has been added during the period 2016–2019 according to the budget bill for 2016.</w:t>
      </w:r>
    </w:p>
    <w:p w14:paraId="1238DAFC" w14:textId="77777777" w:rsidR="0044710E" w:rsidRPr="008E2A7B" w:rsidRDefault="0044710E" w:rsidP="0044710E">
      <w:pPr>
        <w:pStyle w:val="Brdtext"/>
        <w:contextualSpacing/>
        <w:rPr>
          <w:b/>
          <w:lang w:val="en-GB"/>
        </w:rPr>
      </w:pPr>
      <w:r w:rsidRPr="008E2A7B">
        <w:rPr>
          <w:b/>
          <w:lang w:val="en-GB"/>
        </w:rPr>
        <w:t>Strategy for increased flexibility in the electrical system</w:t>
      </w:r>
    </w:p>
    <w:p w14:paraId="2A35BCF5" w14:textId="06611E5B" w:rsidR="0044710E" w:rsidRPr="008E2A7B" w:rsidRDefault="0044710E" w:rsidP="0044710E">
      <w:pPr>
        <w:pStyle w:val="Brdtext"/>
        <w:contextualSpacing/>
        <w:rPr>
          <w:lang w:val="en-GB"/>
        </w:rPr>
      </w:pPr>
      <w:r w:rsidRPr="008E2A7B">
        <w:rPr>
          <w:lang w:val="en-GB"/>
        </w:rPr>
        <w:t xml:space="preserve">The Forum for Swedish Smart grid, described above, has developed a strategy for increased flexibility in the electrical system through smart grids, published </w:t>
      </w:r>
      <w:r w:rsidR="001E7F58">
        <w:rPr>
          <w:lang w:val="en-GB"/>
        </w:rPr>
        <w:t>in September</w:t>
      </w:r>
      <w:r w:rsidRPr="008E2A7B">
        <w:rPr>
          <w:lang w:val="en-GB"/>
        </w:rPr>
        <w:t xml:space="preserve"> 2017. The strategy can be summed up into four key areas:</w:t>
      </w:r>
      <w:r w:rsidRPr="008E2A7B">
        <w:rPr>
          <w:lang w:val="en-GB"/>
        </w:rPr>
        <w:br/>
        <w:t>• Provide opportunities for new business models for flexible services</w:t>
      </w:r>
      <w:r w:rsidRPr="008E2A7B">
        <w:rPr>
          <w:lang w:val="en-GB"/>
        </w:rPr>
        <w:br/>
        <w:t>• Develop the market for system services</w:t>
      </w:r>
      <w:r w:rsidRPr="008E2A7B">
        <w:rPr>
          <w:lang w:val="en-GB"/>
        </w:rPr>
        <w:br/>
        <w:t>• IT security and privacy measures</w:t>
      </w:r>
      <w:r w:rsidRPr="008E2A7B">
        <w:rPr>
          <w:lang w:val="en-GB"/>
        </w:rPr>
        <w:br/>
        <w:t>• Information and knowledge-raising measures</w:t>
      </w:r>
    </w:p>
    <w:p w14:paraId="6A9EBA73" w14:textId="77777777" w:rsidR="0044710E" w:rsidRPr="008E2A7B" w:rsidRDefault="0044710E" w:rsidP="0044710E">
      <w:pPr>
        <w:pStyle w:val="Brdtext"/>
        <w:contextualSpacing/>
        <w:rPr>
          <w:lang w:val="en-GB"/>
        </w:rPr>
      </w:pPr>
    </w:p>
    <w:p w14:paraId="6663B780" w14:textId="77777777" w:rsidR="0044710E" w:rsidRPr="008E2A7B" w:rsidRDefault="0044710E" w:rsidP="0044710E">
      <w:pPr>
        <w:pStyle w:val="Brdtext"/>
        <w:rPr>
          <w:lang w:val="en-GB"/>
        </w:rPr>
      </w:pPr>
      <w:r w:rsidRPr="008E2A7B">
        <w:rPr>
          <w:lang w:val="en-GB"/>
        </w:rPr>
        <w:t>The strategy contains a total of 20 recommendations in the form of activities in these four areas. However, these are recommendations and not established by the government at this point of time. The Forum has also made a report that deals with network regulation and how it could promote smart grids in the future. The Forum has appointed a working group whose focus is how to go from research to internationalisation.</w:t>
      </w:r>
    </w:p>
    <w:p w14:paraId="1A838EA8" w14:textId="77777777" w:rsidR="0044710E" w:rsidRPr="008E2A7B" w:rsidRDefault="0044710E" w:rsidP="0044710E">
      <w:pPr>
        <w:pStyle w:val="i-lista"/>
        <w:numPr>
          <w:ilvl w:val="1"/>
          <w:numId w:val="20"/>
        </w:numPr>
        <w:rPr>
          <w:i/>
          <w:lang w:val="en-GB"/>
        </w:rPr>
      </w:pPr>
      <w:r w:rsidRPr="008E2A7B">
        <w:rPr>
          <w:i/>
          <w:lang w:val="en-GB"/>
        </w:rPr>
        <w:t xml:space="preserve">Measures to ensure priority access and dispatch of electricity produced from renewable energy sources or high-efficiency cogeneration and prevent the curtailment or re-dispatch of this electricity </w:t>
      </w:r>
    </w:p>
    <w:p w14:paraId="44047EC0" w14:textId="77777777" w:rsidR="0044710E" w:rsidRPr="008E2A7B" w:rsidRDefault="0044710E" w:rsidP="0044710E">
      <w:pPr>
        <w:pStyle w:val="Brdtext"/>
        <w:rPr>
          <w:lang w:val="en-GB"/>
        </w:rPr>
      </w:pPr>
      <w:r w:rsidRPr="008E2A7B">
        <w:rPr>
          <w:lang w:val="en-GB"/>
        </w:rPr>
        <w:t>Sweden does not apply priority dispatch, since such a procedure distorts competition in the market. Svenska kraftnät does not prioritize electricity produced from a certain type of energy source. Svenska kraftnät aims to treat all producers equally and according to the same market model, in accordance with Swedish legislation.</w:t>
      </w:r>
    </w:p>
    <w:p w14:paraId="7B7F5CAB" w14:textId="77777777" w:rsidR="0044710E" w:rsidRPr="008E2A7B" w:rsidRDefault="0044710E" w:rsidP="0044710E">
      <w:pPr>
        <w:pStyle w:val="i-lista"/>
        <w:numPr>
          <w:ilvl w:val="1"/>
          <w:numId w:val="20"/>
        </w:numPr>
        <w:rPr>
          <w:i/>
          <w:lang w:val="en-GB"/>
        </w:rPr>
      </w:pPr>
      <w:r w:rsidRPr="008E2A7B">
        <w:rPr>
          <w:i/>
          <w:lang w:val="en-GB"/>
        </w:rPr>
        <w:lastRenderedPageBreak/>
        <w:t>Policies and measures to protect consumers, especially vulnerable and energy poor consumers, and to improve the competitiveness and contestability of the retail energy market</w:t>
      </w:r>
    </w:p>
    <w:p w14:paraId="601312EA" w14:textId="77777777" w:rsidR="0044710E" w:rsidRPr="008E2A7B" w:rsidRDefault="0044710E" w:rsidP="0044710E">
      <w:pPr>
        <w:pStyle w:val="Brdtext"/>
        <w:rPr>
          <w:lang w:val="en-GB"/>
        </w:rPr>
      </w:pPr>
      <w:r w:rsidRPr="008E2A7B">
        <w:rPr>
          <w:lang w:val="en-GB"/>
        </w:rPr>
        <w:t>In accordance with the Electricity Market Directive, Member States should take appropriate measures to protect end consumers, particularly vulnerable customers. The Swedish government's investigation into the implementation of the Directive noted that the Swedish system is based on the responsibility of social authorities to apply the social security system in an effective manner. There is no requirement for member states to incorporate protective legislation in the electricity legislation, which Sweden has not chosen to do.</w:t>
      </w:r>
    </w:p>
    <w:p w14:paraId="56C99284" w14:textId="0DD3395C" w:rsidR="0044710E" w:rsidRPr="008E2A7B" w:rsidRDefault="0044710E" w:rsidP="0044710E">
      <w:pPr>
        <w:pStyle w:val="Brdtext"/>
        <w:rPr>
          <w:lang w:val="en-GB"/>
        </w:rPr>
      </w:pPr>
      <w:r w:rsidRPr="008E2A7B">
        <w:rPr>
          <w:lang w:val="en-GB"/>
        </w:rPr>
        <w:t xml:space="preserve">However, </w:t>
      </w:r>
      <w:r w:rsidR="001504AD" w:rsidRPr="008E2A7B">
        <w:rPr>
          <w:lang w:val="en-GB"/>
        </w:rPr>
        <w:t>the Swedish Energy Markets Inspectorate</w:t>
      </w:r>
      <w:r w:rsidRPr="008E2A7B">
        <w:rPr>
          <w:lang w:val="en-GB"/>
        </w:rPr>
        <w:t xml:space="preserve"> (Ei) carefully considers vulnerable customers when the Authority carries out its supervisory duties. </w:t>
      </w:r>
      <w:r w:rsidRPr="008E2A7B">
        <w:rPr>
          <w:i/>
          <w:lang w:val="en-GB"/>
        </w:rPr>
        <w:t>Elpriskollen</w:t>
      </w:r>
      <w:r w:rsidRPr="008E2A7B">
        <w:rPr>
          <w:lang w:val="en-GB"/>
        </w:rPr>
        <w:t xml:space="preserve">, the only independent comparison tool, operated by Ei, is one example of protecting and empowering consumers as it enables household customers to compare electricity offers, in terms of price and contractual terms, from suppliers. To reach as many consumers as possible, </w:t>
      </w:r>
      <w:r w:rsidRPr="008E2A7B">
        <w:rPr>
          <w:i/>
          <w:lang w:val="en-GB"/>
        </w:rPr>
        <w:t>Elpriskollen</w:t>
      </w:r>
      <w:r w:rsidRPr="008E2A7B">
        <w:rPr>
          <w:lang w:val="en-GB"/>
        </w:rPr>
        <w:t xml:space="preserve"> is available in 13 different languages. Moreover, consumers can contact the Authority for questions or complaints related to energy market issues.</w:t>
      </w:r>
    </w:p>
    <w:p w14:paraId="0E06C74B" w14:textId="64C42C91" w:rsidR="0044710E" w:rsidRPr="008E2A7B" w:rsidRDefault="0044710E" w:rsidP="0044710E">
      <w:pPr>
        <w:pStyle w:val="Brdtext"/>
        <w:rPr>
          <w:lang w:val="en-GB"/>
        </w:rPr>
      </w:pPr>
      <w:r w:rsidRPr="008E2A7B">
        <w:rPr>
          <w:lang w:val="en-GB"/>
        </w:rPr>
        <w:t>As of 1 April 2017, a new legal provision (Law 2017:18) to</w:t>
      </w:r>
      <w:r w:rsidR="00612356">
        <w:rPr>
          <w:lang w:val="en-GB"/>
        </w:rPr>
        <w:t xml:space="preserve"> the Electricity Act </w:t>
      </w:r>
      <w:r w:rsidRPr="008E2A7B">
        <w:rPr>
          <w:lang w:val="en-GB"/>
        </w:rPr>
        <w:t xml:space="preserve">forces distribution system operators (DSOs) to inform customers who have not signed an electricity offer about the characteristics of the current default offer and how the customer can make an active choice. This may empower customers and hence lead to lower shares of customers with default offers. </w:t>
      </w:r>
    </w:p>
    <w:p w14:paraId="35184CF5" w14:textId="566B115E" w:rsidR="0044710E" w:rsidRPr="008E2A7B" w:rsidRDefault="0044710E" w:rsidP="0044710E">
      <w:pPr>
        <w:pStyle w:val="Brdtext"/>
        <w:rPr>
          <w:lang w:val="en-GB"/>
        </w:rPr>
      </w:pPr>
      <w:r w:rsidRPr="008E2A7B">
        <w:rPr>
          <w:lang w:val="en-GB"/>
        </w:rPr>
        <w:t xml:space="preserve">To further protect customers from being disconnected, e.g. due to unpaid invoices, the new proposed </w:t>
      </w:r>
      <w:r w:rsidR="00612356">
        <w:rPr>
          <w:lang w:val="en-GB"/>
        </w:rPr>
        <w:t>Electricity Market Act</w:t>
      </w:r>
      <w:r w:rsidRPr="008E2A7B">
        <w:rPr>
          <w:lang w:val="en-GB"/>
        </w:rPr>
        <w:t xml:space="preserve"> suggests that DSOs must report all disconnections to the Authority. The designated authority may monitor these disconnections.</w:t>
      </w:r>
    </w:p>
    <w:p w14:paraId="004D1C23" w14:textId="77777777" w:rsidR="0044710E" w:rsidRPr="008E2A7B" w:rsidRDefault="0044710E" w:rsidP="0044710E">
      <w:pPr>
        <w:pStyle w:val="i-lista"/>
        <w:numPr>
          <w:ilvl w:val="1"/>
          <w:numId w:val="20"/>
        </w:numPr>
        <w:rPr>
          <w:i/>
          <w:lang w:val="en-GB"/>
        </w:rPr>
      </w:pPr>
      <w:r w:rsidRPr="008E2A7B">
        <w:rPr>
          <w:i/>
          <w:lang w:val="en-GB"/>
        </w:rPr>
        <w:t xml:space="preserve">Description of measures to enable and develop demand response including those addressing tariffs to support dynamic pricing </w:t>
      </w:r>
    </w:p>
    <w:p w14:paraId="293D28FB" w14:textId="77777777" w:rsidR="0044710E" w:rsidRPr="008E2A7B" w:rsidRDefault="0044710E" w:rsidP="0044710E">
      <w:pPr>
        <w:pStyle w:val="Brdtext"/>
        <w:rPr>
          <w:lang w:val="en-GB"/>
        </w:rPr>
      </w:pPr>
      <w:r w:rsidRPr="008E2A7B">
        <w:rPr>
          <w:lang w:val="en-GB"/>
        </w:rPr>
        <w:t>The Swedish Energy Markets Inspectorate has developed an action plan in which a number of measures to achieve increased demand response are identified. The measures consist of proposals for new or amended regulations, knowledge-enhancing efforts, government assignments and cooperation between authorities and other stakeholders to create long-term conditions and rules. The measures focus primarily on household customers as they have a high potential for demand response that is not taken advantage of today.</w:t>
      </w:r>
    </w:p>
    <w:p w14:paraId="2A59FCDA" w14:textId="69407211" w:rsidR="0044710E" w:rsidRPr="008E2A7B" w:rsidRDefault="0044710E" w:rsidP="0044710E">
      <w:pPr>
        <w:pStyle w:val="Brdtext"/>
        <w:rPr>
          <w:lang w:val="en-GB"/>
        </w:rPr>
      </w:pPr>
      <w:r w:rsidRPr="008E2A7B">
        <w:rPr>
          <w:lang w:val="en-GB"/>
        </w:rPr>
        <w:t xml:space="preserve">Svenska kraftnät also works with these issues mainly through European and Nordic cooperation projects. Among these the following can be </w:t>
      </w:r>
      <w:r w:rsidR="00612356">
        <w:rPr>
          <w:lang w:val="en-GB"/>
        </w:rPr>
        <w:lastRenderedPageBreak/>
        <w:t>mentioned:</w:t>
      </w:r>
      <w:r w:rsidR="00612356">
        <w:rPr>
          <w:lang w:val="en-GB"/>
        </w:rPr>
        <w:br/>
        <w:t xml:space="preserve">- </w:t>
      </w:r>
      <w:r w:rsidRPr="008E2A7B">
        <w:rPr>
          <w:lang w:val="en-GB"/>
        </w:rPr>
        <w:t>Adapting the mFRR market to better fit consumption flexibility (e.g. in terms of bid size)</w:t>
      </w:r>
      <w:r w:rsidR="00612356">
        <w:rPr>
          <w:lang w:val="en-GB"/>
        </w:rPr>
        <w:t>.</w:t>
      </w:r>
      <w:r w:rsidRPr="008E2A7B">
        <w:rPr>
          <w:lang w:val="en-GB"/>
        </w:rPr>
        <w:br/>
        <w:t>- Active cooperation with Nordic TSOs to review the price signals that the regulatory framework for the balancing market and imbalance fees give to market participants</w:t>
      </w:r>
      <w:r w:rsidR="00612356">
        <w:rPr>
          <w:lang w:val="en-GB"/>
        </w:rPr>
        <w:t>.</w:t>
      </w:r>
    </w:p>
    <w:p w14:paraId="59460CFD" w14:textId="77777777" w:rsidR="0044710E" w:rsidRPr="008E2A7B" w:rsidRDefault="0044710E" w:rsidP="0044710E">
      <w:pPr>
        <w:pStyle w:val="Rubrik3"/>
        <w:rPr>
          <w:lang w:val="en-GB"/>
        </w:rPr>
      </w:pPr>
      <w:r w:rsidRPr="008E2A7B">
        <w:rPr>
          <w:lang w:val="en-GB"/>
        </w:rPr>
        <w:t>Energy Poverty</w:t>
      </w:r>
    </w:p>
    <w:p w14:paraId="6F6D1EEC" w14:textId="77777777" w:rsidR="0044710E" w:rsidRPr="008E2A7B" w:rsidRDefault="0044710E" w:rsidP="0044710E">
      <w:pPr>
        <w:pStyle w:val="i-lista"/>
        <w:numPr>
          <w:ilvl w:val="1"/>
          <w:numId w:val="21"/>
        </w:numPr>
        <w:rPr>
          <w:i/>
          <w:lang w:val="en-GB"/>
        </w:rPr>
      </w:pPr>
      <w:r w:rsidRPr="008E2A7B">
        <w:rPr>
          <w:i/>
          <w:lang w:val="en-GB"/>
        </w:rPr>
        <w:t>Policies and measures to achieve the objectives set out in 2.4.4</w:t>
      </w:r>
    </w:p>
    <w:p w14:paraId="48483BD8" w14:textId="6FBE2817" w:rsidR="0044710E" w:rsidRPr="008E2A7B" w:rsidRDefault="0044710E" w:rsidP="0044710E">
      <w:pPr>
        <w:pStyle w:val="Brdtext"/>
        <w:rPr>
          <w:lang w:val="en-GB"/>
        </w:rPr>
      </w:pPr>
      <w:r w:rsidRPr="008E2A7B">
        <w:rPr>
          <w:lang w:val="en-GB"/>
        </w:rPr>
        <w:t xml:space="preserve">Energy poverty is not treated as a part of energy policy. With regard to the ability to pay, social legislation allows vulnerable customers to seek financial assistance for their energy consumption. According to </w:t>
      </w:r>
      <w:r w:rsidR="001504AD" w:rsidRPr="008E2A7B">
        <w:rPr>
          <w:lang w:val="en-GB"/>
        </w:rPr>
        <w:t>the Swedish Energy Markets Inspectorate</w:t>
      </w:r>
      <w:r w:rsidRPr="008E2A7B">
        <w:rPr>
          <w:lang w:val="en-GB"/>
        </w:rPr>
        <w:t>’s instructions, the Authority should in particular take the vulnerable customers' position in the energy markets into account when the Authority carries out its supervisory duties. "Vulnerable customers" refers to persons who are permanently unable to pay for the electricity or natural gas transferred or delivered to them for non-commercial purposes.</w:t>
      </w:r>
    </w:p>
    <w:p w14:paraId="42E5EA24" w14:textId="53F0A814" w:rsidR="00D90290" w:rsidRPr="008E2A7B" w:rsidRDefault="006F7EC4" w:rsidP="0044710E">
      <w:pPr>
        <w:pStyle w:val="Brdtext"/>
        <w:rPr>
          <w:i/>
          <w:lang w:val="en-GB"/>
        </w:rPr>
      </w:pPr>
      <w:r w:rsidRPr="008E2A7B">
        <w:rPr>
          <w:i/>
          <w:lang w:val="en-GB"/>
        </w:rPr>
        <w:t xml:space="preserve">                 </w:t>
      </w:r>
    </w:p>
    <w:p w14:paraId="162CADE8" w14:textId="77777777" w:rsidR="0044710E" w:rsidRPr="008E2A7B" w:rsidRDefault="0044710E" w:rsidP="0044710E">
      <w:pPr>
        <w:pStyle w:val="Rubrik2"/>
        <w:rPr>
          <w:lang w:val="en-GB"/>
        </w:rPr>
      </w:pPr>
      <w:bookmarkStart w:id="35" w:name="_Toc499285552"/>
      <w:r w:rsidRPr="008E2A7B">
        <w:rPr>
          <w:lang w:val="en-GB"/>
        </w:rPr>
        <w:t>Dimension Research, innovation and competitiveness</w:t>
      </w:r>
      <w:bookmarkEnd w:id="35"/>
    </w:p>
    <w:p w14:paraId="4B1847FD" w14:textId="77777777" w:rsidR="0044710E" w:rsidRPr="008E2A7B" w:rsidRDefault="0044710E" w:rsidP="0044710E">
      <w:pPr>
        <w:pStyle w:val="i-lista"/>
        <w:numPr>
          <w:ilvl w:val="1"/>
          <w:numId w:val="22"/>
        </w:numPr>
        <w:rPr>
          <w:i/>
          <w:lang w:val="en-GB"/>
        </w:rPr>
      </w:pPr>
      <w:r w:rsidRPr="008E2A7B">
        <w:rPr>
          <w:i/>
          <w:lang w:val="en-GB"/>
        </w:rPr>
        <w:t>Policies and measures including those to achieve the objectives set out in 2.5</w:t>
      </w:r>
    </w:p>
    <w:p w14:paraId="7D8EA347" w14:textId="77777777" w:rsidR="0044710E" w:rsidRPr="008E2A7B" w:rsidRDefault="0044710E" w:rsidP="0044710E">
      <w:pPr>
        <w:pStyle w:val="Brdtext"/>
        <w:rPr>
          <w:lang w:val="en-GB"/>
        </w:rPr>
      </w:pPr>
      <w:r w:rsidRPr="008E2A7B">
        <w:rPr>
          <w:lang w:val="en-GB"/>
        </w:rPr>
        <w:t>Sweden's ambition is that research and innovation in the field of energy will help to find solutions for five overall challenges:</w:t>
      </w:r>
    </w:p>
    <w:p w14:paraId="73D7B02D" w14:textId="77777777" w:rsidR="001A4009" w:rsidRPr="008E2A7B" w:rsidRDefault="0044710E" w:rsidP="001A4009">
      <w:pPr>
        <w:pStyle w:val="Brdtext"/>
        <w:numPr>
          <w:ilvl w:val="0"/>
          <w:numId w:val="50"/>
        </w:numPr>
        <w:contextualSpacing/>
        <w:rPr>
          <w:rFonts w:ascii="Arial" w:hAnsi="Arial" w:cs="Arial"/>
          <w:color w:val="222222"/>
          <w:lang w:val="en-GB"/>
        </w:rPr>
      </w:pPr>
      <w:r w:rsidRPr="008E2A7B">
        <w:rPr>
          <w:lang w:val="en-GB"/>
        </w:rPr>
        <w:t>To create a completely renewable energy system that meets the challenge of the energy system's impact on the climate, while considering the environmental impact of renewa</w:t>
      </w:r>
      <w:r w:rsidR="001A4009" w:rsidRPr="008E2A7B">
        <w:rPr>
          <w:lang w:val="en-GB"/>
        </w:rPr>
        <w:t>ble energy sources.</w:t>
      </w:r>
    </w:p>
    <w:p w14:paraId="1C4631D0" w14:textId="77777777" w:rsidR="001A4009" w:rsidRPr="008E2A7B" w:rsidRDefault="0044710E" w:rsidP="0044710E">
      <w:pPr>
        <w:pStyle w:val="Brdtext"/>
        <w:numPr>
          <w:ilvl w:val="0"/>
          <w:numId w:val="50"/>
        </w:numPr>
        <w:contextualSpacing/>
        <w:rPr>
          <w:rFonts w:ascii="Arial" w:hAnsi="Arial" w:cs="Arial"/>
          <w:color w:val="222222"/>
          <w:lang w:val="en-GB"/>
        </w:rPr>
      </w:pPr>
      <w:r w:rsidRPr="008E2A7B">
        <w:rPr>
          <w:lang w:val="en-GB"/>
        </w:rPr>
        <w:t>To ensure a flexible and robust energy system that provides a secure, fully renewable energy supply for the entire community.</w:t>
      </w:r>
    </w:p>
    <w:p w14:paraId="37EA28DE" w14:textId="77777777" w:rsidR="001A4009" w:rsidRPr="008E2A7B" w:rsidRDefault="0044710E" w:rsidP="0044710E">
      <w:pPr>
        <w:pStyle w:val="Brdtext"/>
        <w:numPr>
          <w:ilvl w:val="0"/>
          <w:numId w:val="50"/>
        </w:numPr>
        <w:contextualSpacing/>
        <w:rPr>
          <w:rFonts w:ascii="Arial" w:hAnsi="Arial" w:cs="Arial"/>
          <w:color w:val="222222"/>
          <w:lang w:val="en-GB"/>
        </w:rPr>
      </w:pPr>
      <w:r w:rsidRPr="008E2A7B">
        <w:rPr>
          <w:lang w:val="en-GB"/>
        </w:rPr>
        <w:t>To create a resource-efficient society that contributes to competitiveness, enables the transition to a renewable energy system and utilizes the ava</w:t>
      </w:r>
      <w:r w:rsidR="001A4009" w:rsidRPr="008E2A7B">
        <w:rPr>
          <w:lang w:val="en-GB"/>
        </w:rPr>
        <w:t>ilable resources effectively.</w:t>
      </w:r>
    </w:p>
    <w:p w14:paraId="08DB5F8A" w14:textId="77777777" w:rsidR="001A4009" w:rsidRPr="008E2A7B" w:rsidRDefault="0044710E" w:rsidP="0044710E">
      <w:pPr>
        <w:pStyle w:val="Brdtext"/>
        <w:numPr>
          <w:ilvl w:val="0"/>
          <w:numId w:val="50"/>
        </w:numPr>
        <w:contextualSpacing/>
        <w:rPr>
          <w:rFonts w:ascii="Arial" w:hAnsi="Arial" w:cs="Arial"/>
          <w:color w:val="222222"/>
          <w:lang w:val="en-GB"/>
        </w:rPr>
      </w:pPr>
      <w:r w:rsidRPr="008E2A7B">
        <w:rPr>
          <w:lang w:val="en-GB"/>
        </w:rPr>
        <w:t>To increase efforts for innovations for jobs and climate, so that Sweden can be a pioneering country in the transition to a sustainable energy system. The transition also provides an opportunity to develop the business community.</w:t>
      </w:r>
    </w:p>
    <w:p w14:paraId="2F5113E3" w14:textId="77777777" w:rsidR="001A4009" w:rsidRPr="008E2A7B" w:rsidRDefault="0044710E" w:rsidP="0044710E">
      <w:pPr>
        <w:pStyle w:val="Brdtext"/>
        <w:numPr>
          <w:ilvl w:val="0"/>
          <w:numId w:val="50"/>
        </w:numPr>
        <w:contextualSpacing/>
        <w:rPr>
          <w:rFonts w:ascii="Arial" w:hAnsi="Arial" w:cs="Arial"/>
          <w:color w:val="222222"/>
          <w:lang w:val="en-GB"/>
        </w:rPr>
      </w:pPr>
      <w:r w:rsidRPr="008E2A7B">
        <w:rPr>
          <w:lang w:val="en-GB"/>
        </w:rPr>
        <w:t xml:space="preserve">To enable </w:t>
      </w:r>
      <w:r w:rsidR="005844FB" w:rsidRPr="008E2A7B">
        <w:rPr>
          <w:lang w:val="en-GB"/>
        </w:rPr>
        <w:t>co-operation</w:t>
      </w:r>
      <w:r w:rsidRPr="008E2A7B">
        <w:rPr>
          <w:lang w:val="en-GB"/>
        </w:rPr>
        <w:t xml:space="preserve"> in the energy system between different actors, sectors, rules and business models with the purpose of creating opportunities for interaction and diversity, in order for the transition to accelerate.</w:t>
      </w:r>
    </w:p>
    <w:p w14:paraId="58443041" w14:textId="77777777" w:rsidR="001A4009" w:rsidRPr="008E2A7B" w:rsidRDefault="001A4009" w:rsidP="001A4009">
      <w:pPr>
        <w:pStyle w:val="Brdtext"/>
        <w:contextualSpacing/>
        <w:rPr>
          <w:rFonts w:ascii="Arial" w:hAnsi="Arial" w:cs="Arial"/>
          <w:color w:val="222222"/>
          <w:lang w:val="en-GB"/>
        </w:rPr>
      </w:pPr>
    </w:p>
    <w:p w14:paraId="4D4C9CB4" w14:textId="77777777" w:rsidR="0044710E" w:rsidRPr="008E2A7B" w:rsidRDefault="0044710E" w:rsidP="001A4009">
      <w:pPr>
        <w:pStyle w:val="Brdtext"/>
        <w:contextualSpacing/>
        <w:rPr>
          <w:lang w:val="en-GB"/>
        </w:rPr>
      </w:pPr>
      <w:r w:rsidRPr="008E2A7B">
        <w:rPr>
          <w:lang w:val="en-GB"/>
        </w:rPr>
        <w:lastRenderedPageBreak/>
        <w:t>Based on the challenges outlined above, Sweden will implement actions under the national energy research and innovation program in the field of energy for the years 2017–2020. The program enables research and innovation efforts in nine different themes:</w:t>
      </w:r>
    </w:p>
    <w:p w14:paraId="0ECD1FC9" w14:textId="77777777" w:rsidR="00DA3632" w:rsidRPr="008E2A7B" w:rsidRDefault="00DA3632" w:rsidP="001A4009">
      <w:pPr>
        <w:pStyle w:val="Brdtext"/>
        <w:contextualSpacing/>
        <w:rPr>
          <w:rFonts w:ascii="Arial" w:hAnsi="Arial" w:cs="Arial"/>
          <w:color w:val="222222"/>
          <w:lang w:val="en-GB"/>
        </w:rPr>
      </w:pPr>
    </w:p>
    <w:p w14:paraId="48675790" w14:textId="77777777" w:rsidR="001A4009" w:rsidRPr="008E2A7B" w:rsidRDefault="0044710E" w:rsidP="001A4009">
      <w:pPr>
        <w:pStyle w:val="Brdtext"/>
        <w:numPr>
          <w:ilvl w:val="0"/>
          <w:numId w:val="51"/>
        </w:numPr>
        <w:ind w:left="714" w:hanging="357"/>
        <w:contextualSpacing/>
        <w:rPr>
          <w:lang w:val="en-GB"/>
        </w:rPr>
      </w:pPr>
      <w:r w:rsidRPr="008E2A7B">
        <w:rPr>
          <w:lang w:val="en-GB"/>
        </w:rPr>
        <w:t xml:space="preserve">The transport </w:t>
      </w:r>
      <w:r w:rsidR="005844FB" w:rsidRPr="008E2A7B">
        <w:rPr>
          <w:lang w:val="en-GB"/>
        </w:rPr>
        <w:t>system</w:t>
      </w:r>
    </w:p>
    <w:p w14:paraId="6D5B0E2E" w14:textId="77777777" w:rsidR="001A4009" w:rsidRPr="008E2A7B" w:rsidRDefault="001A4009" w:rsidP="001A4009">
      <w:pPr>
        <w:pStyle w:val="Brdtext"/>
        <w:numPr>
          <w:ilvl w:val="0"/>
          <w:numId w:val="51"/>
        </w:numPr>
        <w:ind w:left="714" w:hanging="357"/>
        <w:contextualSpacing/>
        <w:rPr>
          <w:lang w:val="en-GB"/>
        </w:rPr>
      </w:pPr>
      <w:r w:rsidRPr="008E2A7B">
        <w:rPr>
          <w:lang w:val="en-GB"/>
        </w:rPr>
        <w:t>Bioenergy</w:t>
      </w:r>
    </w:p>
    <w:p w14:paraId="41F01B18" w14:textId="77777777" w:rsidR="001A4009" w:rsidRPr="008E2A7B" w:rsidRDefault="0044710E" w:rsidP="001A4009">
      <w:pPr>
        <w:pStyle w:val="Brdtext"/>
        <w:numPr>
          <w:ilvl w:val="0"/>
          <w:numId w:val="51"/>
        </w:numPr>
        <w:ind w:left="714" w:hanging="357"/>
        <w:contextualSpacing/>
        <w:rPr>
          <w:lang w:val="en-GB"/>
        </w:rPr>
      </w:pPr>
      <w:r w:rsidRPr="008E2A7B">
        <w:rPr>
          <w:lang w:val="en-GB"/>
        </w:rPr>
        <w:t>B</w:t>
      </w:r>
      <w:r w:rsidR="001A4009" w:rsidRPr="008E2A7B">
        <w:rPr>
          <w:lang w:val="en-GB"/>
        </w:rPr>
        <w:t>uildings in the energy system</w:t>
      </w:r>
    </w:p>
    <w:p w14:paraId="70003E0D" w14:textId="77777777" w:rsidR="001A4009" w:rsidRPr="008E2A7B" w:rsidRDefault="0044710E" w:rsidP="001A4009">
      <w:pPr>
        <w:pStyle w:val="Brdtext"/>
        <w:numPr>
          <w:ilvl w:val="0"/>
          <w:numId w:val="51"/>
        </w:numPr>
        <w:ind w:left="714" w:hanging="357"/>
        <w:contextualSpacing/>
        <w:rPr>
          <w:lang w:val="en-GB"/>
        </w:rPr>
      </w:pPr>
      <w:r w:rsidRPr="008E2A7B">
        <w:rPr>
          <w:lang w:val="en-GB"/>
        </w:rPr>
        <w:t xml:space="preserve">Electricity generation and </w:t>
      </w:r>
      <w:r w:rsidR="001A4009" w:rsidRPr="008E2A7B">
        <w:rPr>
          <w:lang w:val="en-GB"/>
        </w:rPr>
        <w:t>power system</w:t>
      </w:r>
    </w:p>
    <w:p w14:paraId="229707A5" w14:textId="77777777" w:rsidR="001A4009" w:rsidRPr="008E2A7B" w:rsidRDefault="005844FB" w:rsidP="001A4009">
      <w:pPr>
        <w:pStyle w:val="Brdtext"/>
        <w:numPr>
          <w:ilvl w:val="0"/>
          <w:numId w:val="51"/>
        </w:numPr>
        <w:ind w:left="714" w:hanging="357"/>
        <w:contextualSpacing/>
        <w:rPr>
          <w:lang w:val="en-GB"/>
        </w:rPr>
      </w:pPr>
      <w:r w:rsidRPr="008E2A7B">
        <w:rPr>
          <w:lang w:val="en-GB"/>
        </w:rPr>
        <w:t>Industry</w:t>
      </w:r>
    </w:p>
    <w:p w14:paraId="03466858" w14:textId="77777777" w:rsidR="001A4009" w:rsidRPr="008E2A7B" w:rsidRDefault="001A4009" w:rsidP="001A4009">
      <w:pPr>
        <w:pStyle w:val="Brdtext"/>
        <w:numPr>
          <w:ilvl w:val="0"/>
          <w:numId w:val="51"/>
        </w:numPr>
        <w:ind w:left="714" w:hanging="357"/>
        <w:contextualSpacing/>
        <w:rPr>
          <w:lang w:val="en-GB"/>
        </w:rPr>
      </w:pPr>
      <w:r w:rsidRPr="008E2A7B">
        <w:rPr>
          <w:lang w:val="en-GB"/>
        </w:rPr>
        <w:t>Sustainable society</w:t>
      </w:r>
    </w:p>
    <w:p w14:paraId="087226B4" w14:textId="77777777" w:rsidR="001A4009" w:rsidRPr="008E2A7B" w:rsidRDefault="0044710E" w:rsidP="001A4009">
      <w:pPr>
        <w:pStyle w:val="Brdtext"/>
        <w:numPr>
          <w:ilvl w:val="0"/>
          <w:numId w:val="51"/>
        </w:numPr>
        <w:ind w:left="714" w:hanging="357"/>
        <w:contextualSpacing/>
        <w:rPr>
          <w:lang w:val="en-GB"/>
        </w:rPr>
      </w:pPr>
      <w:r w:rsidRPr="008E2A7B">
        <w:rPr>
          <w:lang w:val="en-GB"/>
        </w:rPr>
        <w:t>G</w:t>
      </w:r>
      <w:r w:rsidR="001A4009" w:rsidRPr="008E2A7B">
        <w:rPr>
          <w:lang w:val="en-GB"/>
        </w:rPr>
        <w:t>eneral energy systems studies</w:t>
      </w:r>
    </w:p>
    <w:p w14:paraId="3ADE06D6" w14:textId="77777777" w:rsidR="001A4009" w:rsidRPr="008E2A7B" w:rsidRDefault="0044710E" w:rsidP="001A4009">
      <w:pPr>
        <w:pStyle w:val="Brdtext"/>
        <w:numPr>
          <w:ilvl w:val="0"/>
          <w:numId w:val="51"/>
        </w:numPr>
        <w:ind w:left="714" w:hanging="357"/>
        <w:contextualSpacing/>
        <w:rPr>
          <w:lang w:val="en-GB"/>
        </w:rPr>
      </w:pPr>
      <w:r w:rsidRPr="008E2A7B">
        <w:rPr>
          <w:lang w:val="en-GB"/>
        </w:rPr>
        <w:t>Business deve</w:t>
      </w:r>
      <w:r w:rsidR="001A4009" w:rsidRPr="008E2A7B">
        <w:rPr>
          <w:lang w:val="en-GB"/>
        </w:rPr>
        <w:t>lopment and commercialization</w:t>
      </w:r>
    </w:p>
    <w:p w14:paraId="0F2478DD" w14:textId="664D3458" w:rsidR="0044710E" w:rsidRPr="008E2A7B" w:rsidRDefault="0044710E" w:rsidP="001A4009">
      <w:pPr>
        <w:pStyle w:val="Brdtext"/>
        <w:numPr>
          <w:ilvl w:val="0"/>
          <w:numId w:val="51"/>
        </w:numPr>
        <w:ind w:left="714" w:hanging="357"/>
        <w:contextualSpacing/>
        <w:rPr>
          <w:lang w:val="en-GB"/>
        </w:rPr>
      </w:pPr>
      <w:r w:rsidRPr="008E2A7B">
        <w:rPr>
          <w:lang w:val="en-GB"/>
        </w:rPr>
        <w:t>International cooperation.</w:t>
      </w:r>
    </w:p>
    <w:p w14:paraId="1F837C88" w14:textId="77777777" w:rsidR="00DA3632" w:rsidRPr="008E2A7B" w:rsidRDefault="00DA3632" w:rsidP="00DA3632">
      <w:pPr>
        <w:pStyle w:val="Brdtext"/>
        <w:ind w:left="714"/>
        <w:contextualSpacing/>
        <w:rPr>
          <w:lang w:val="en-GB"/>
        </w:rPr>
      </w:pPr>
    </w:p>
    <w:p w14:paraId="053D771A" w14:textId="77777777" w:rsidR="0044710E" w:rsidRPr="008E2A7B" w:rsidRDefault="0044710E" w:rsidP="0044710E">
      <w:pPr>
        <w:pStyle w:val="Brdtext"/>
        <w:rPr>
          <w:lang w:val="en-GB"/>
        </w:rPr>
      </w:pPr>
      <w:r w:rsidRPr="008E2A7B">
        <w:rPr>
          <w:lang w:val="en-GB"/>
        </w:rPr>
        <w:t>In addition to the national energy research and innovation programme there is also a 10-year national research programme for climate. This programme will contribute to achieving Sweden's objective to become a fossil-free society and the ambition to be a leading participant in global efforts to achieve the goals of the Paris Agreement. Reducing the climate impact of humans necessitates comprehensive transitions and adaptations in Sweden, in the EU and globally. Tackling climate challenges therefore requires research within several different subject areas, as well as interdisciplinary and intersectoral research and innovation.</w:t>
      </w:r>
      <w:r w:rsidRPr="008E2A7B">
        <w:rPr>
          <w:rStyle w:val="Fotnotsreferens"/>
          <w:lang w:val="en-GB"/>
        </w:rPr>
        <w:footnoteReference w:id="30"/>
      </w:r>
    </w:p>
    <w:p w14:paraId="22B33823" w14:textId="6F7B51F5" w:rsidR="002E4B1C" w:rsidRPr="008E2A7B" w:rsidRDefault="00AA0A7E" w:rsidP="0044710E">
      <w:pPr>
        <w:pStyle w:val="Brdtext"/>
        <w:rPr>
          <w:lang w:val="en-GB"/>
        </w:rPr>
      </w:pPr>
      <w:r w:rsidRPr="008E2A7B">
        <w:rPr>
          <w:lang w:val="en-GB"/>
        </w:rPr>
        <w:t>For examples of specific research programmes, read more in 4.6.</w:t>
      </w:r>
    </w:p>
    <w:p w14:paraId="220ED87E" w14:textId="77777777" w:rsidR="0044710E" w:rsidRPr="008E2A7B" w:rsidRDefault="0044710E" w:rsidP="0044710E">
      <w:pPr>
        <w:pStyle w:val="i-lista"/>
        <w:numPr>
          <w:ilvl w:val="1"/>
          <w:numId w:val="22"/>
        </w:numPr>
        <w:rPr>
          <w:i/>
          <w:lang w:val="en-GB"/>
        </w:rPr>
      </w:pPr>
      <w:r w:rsidRPr="008E2A7B">
        <w:rPr>
          <w:i/>
          <w:lang w:val="en-GB"/>
        </w:rPr>
        <w:t xml:space="preserve">Cooperation with other Member States in this area, including information on how the SET Plan objectives and policies are being translated to a national context </w:t>
      </w:r>
    </w:p>
    <w:p w14:paraId="2E942E85" w14:textId="7BAE0B53" w:rsidR="0044710E" w:rsidRPr="008E2A7B" w:rsidRDefault="0044710E" w:rsidP="0044710E">
      <w:pPr>
        <w:pStyle w:val="Brdtext"/>
        <w:rPr>
          <w:lang w:val="en-GB"/>
        </w:rPr>
      </w:pPr>
      <w:r w:rsidRPr="008E2A7B">
        <w:rPr>
          <w:lang w:val="en-GB"/>
        </w:rPr>
        <w:t>The SET plan contains four core priorities and ten actions to accelerate the transition of the energy system. Each action area has developed or is about to set targets at EU level. In addition, efforts are being made to develop an implementation plan. Participation is voluntary, but Sweden participates in relevant and national</w:t>
      </w:r>
      <w:r w:rsidR="008119F8" w:rsidRPr="008E2A7B">
        <w:rPr>
          <w:lang w:val="en-GB"/>
        </w:rPr>
        <w:t>ly prioritised</w:t>
      </w:r>
      <w:r w:rsidRPr="008E2A7B">
        <w:rPr>
          <w:lang w:val="en-GB"/>
        </w:rPr>
        <w:t xml:space="preserve"> areas to best link national goals to the EU goals. Sweden participates to a higher or lower degree in work in the following temporary working groups: </w:t>
      </w:r>
      <w:r w:rsidR="008119F8" w:rsidRPr="008E2A7B">
        <w:rPr>
          <w:lang w:val="en-GB"/>
        </w:rPr>
        <w:t>Ocean Energy, Smart Solutions</w:t>
      </w:r>
      <w:r w:rsidRPr="008E2A7B">
        <w:rPr>
          <w:lang w:val="en-GB"/>
        </w:rPr>
        <w:t xml:space="preserve"> for </w:t>
      </w:r>
      <w:r w:rsidR="008119F8" w:rsidRPr="008E2A7B">
        <w:rPr>
          <w:lang w:val="en-GB"/>
        </w:rPr>
        <w:t>Consumers, Smart C</w:t>
      </w:r>
      <w:r w:rsidRPr="008E2A7B">
        <w:rPr>
          <w:lang w:val="en-GB"/>
        </w:rPr>
        <w:t>ities</w:t>
      </w:r>
      <w:r w:rsidR="008119F8" w:rsidRPr="008E2A7B">
        <w:rPr>
          <w:lang w:val="en-GB"/>
        </w:rPr>
        <w:t xml:space="preserve"> and Communities, Energy Systems, Energy Efficiency</w:t>
      </w:r>
      <w:r w:rsidRPr="008E2A7B">
        <w:rPr>
          <w:lang w:val="en-GB"/>
        </w:rPr>
        <w:t xml:space="preserve"> in </w:t>
      </w:r>
      <w:r w:rsidR="008119F8" w:rsidRPr="008E2A7B">
        <w:rPr>
          <w:lang w:val="en-GB"/>
        </w:rPr>
        <w:t>Buildings, Energy Efficiency</w:t>
      </w:r>
      <w:r w:rsidRPr="008E2A7B">
        <w:rPr>
          <w:lang w:val="en-GB"/>
        </w:rPr>
        <w:t xml:space="preserve"> in </w:t>
      </w:r>
      <w:r w:rsidR="008119F8" w:rsidRPr="008E2A7B">
        <w:rPr>
          <w:lang w:val="en-GB"/>
        </w:rPr>
        <w:t>I</w:t>
      </w:r>
      <w:r w:rsidRPr="008E2A7B">
        <w:rPr>
          <w:lang w:val="en-GB"/>
        </w:rPr>
        <w:t xml:space="preserve">ndustry, </w:t>
      </w:r>
      <w:r w:rsidR="008119F8" w:rsidRPr="008E2A7B">
        <w:rPr>
          <w:lang w:val="en-GB"/>
        </w:rPr>
        <w:t xml:space="preserve">Batteries and </w:t>
      </w:r>
      <w:r w:rsidRPr="008E2A7B">
        <w:rPr>
          <w:lang w:val="en-GB"/>
        </w:rPr>
        <w:t xml:space="preserve">e-mobility batteries, </w:t>
      </w:r>
      <w:r w:rsidR="008119F8" w:rsidRPr="008E2A7B">
        <w:rPr>
          <w:lang w:val="en-GB"/>
        </w:rPr>
        <w:t>R</w:t>
      </w:r>
      <w:r w:rsidRPr="008E2A7B">
        <w:rPr>
          <w:lang w:val="en-GB"/>
        </w:rPr>
        <w:t xml:space="preserve">enewable fuels and </w:t>
      </w:r>
      <w:r w:rsidR="008119F8" w:rsidRPr="008E2A7B">
        <w:rPr>
          <w:lang w:val="en-GB"/>
        </w:rPr>
        <w:t>Bioenergy</w:t>
      </w:r>
      <w:r w:rsidRPr="008E2A7B">
        <w:rPr>
          <w:lang w:val="en-GB"/>
        </w:rPr>
        <w:t xml:space="preserve">, and </w:t>
      </w:r>
      <w:r w:rsidR="008119F8" w:rsidRPr="008E2A7B">
        <w:rPr>
          <w:lang w:val="en-GB"/>
        </w:rPr>
        <w:t>Carbon Capture Utilization and Storage</w:t>
      </w:r>
      <w:r w:rsidRPr="008E2A7B">
        <w:rPr>
          <w:lang w:val="en-GB"/>
        </w:rPr>
        <w:t xml:space="preserve">. The work involves linking parts of the national research program, i.e. our thematic and strategic research and innovation efforts, to carry out the efforts and </w:t>
      </w:r>
      <w:r w:rsidRPr="008E2A7B">
        <w:rPr>
          <w:lang w:val="en-GB"/>
        </w:rPr>
        <w:lastRenderedPageBreak/>
        <w:t>achieve the goals that are jointly developed within the current action areas of the SET plan.</w:t>
      </w:r>
    </w:p>
    <w:p w14:paraId="05C96881" w14:textId="23B49502" w:rsidR="0044710E" w:rsidRPr="008E2A7B" w:rsidRDefault="0044710E" w:rsidP="0044710E">
      <w:pPr>
        <w:pStyle w:val="Brdtext"/>
        <w:rPr>
          <w:lang w:val="en-GB"/>
        </w:rPr>
      </w:pPr>
      <w:r w:rsidRPr="008E2A7B">
        <w:rPr>
          <w:lang w:val="en-GB"/>
        </w:rPr>
        <w:t xml:space="preserve">ERA-NET is an instrument of Horizon 2020 for cooperation on joint </w:t>
      </w:r>
      <w:r w:rsidR="008119F8" w:rsidRPr="008E2A7B">
        <w:rPr>
          <w:lang w:val="en-GB"/>
        </w:rPr>
        <w:t>calls</w:t>
      </w:r>
      <w:r w:rsidRPr="008E2A7B">
        <w:rPr>
          <w:lang w:val="en-GB"/>
        </w:rPr>
        <w:t xml:space="preserve"> and project funding between research financiers in the EU. In order to supplement national initiatives within a certain area, increasing knowledge dissemination and drawing lessons from various research and development initiatives, Sweden participates in several of these co-operations. These include bioenergy, </w:t>
      </w:r>
      <w:r w:rsidR="008119F8" w:rsidRPr="008E2A7B">
        <w:rPr>
          <w:lang w:val="en-GB"/>
        </w:rPr>
        <w:t>ocean</w:t>
      </w:r>
      <w:r w:rsidRPr="008E2A7B">
        <w:rPr>
          <w:lang w:val="en-GB"/>
        </w:rPr>
        <w:t xml:space="preserve"> energy, solar energy, smart cities and communities, sustainable urban development, smart </w:t>
      </w:r>
      <w:r w:rsidR="008119F8" w:rsidRPr="008E2A7B">
        <w:rPr>
          <w:lang w:val="en-GB"/>
        </w:rPr>
        <w:t>grids</w:t>
      </w:r>
      <w:r w:rsidRPr="008E2A7B">
        <w:rPr>
          <w:lang w:val="en-GB"/>
        </w:rPr>
        <w:t>, wind power, transport and adaptation to climate change.</w:t>
      </w:r>
    </w:p>
    <w:p w14:paraId="1ABADB95" w14:textId="77777777" w:rsidR="0044710E" w:rsidRPr="008E2A7B" w:rsidRDefault="0044710E" w:rsidP="0044710E">
      <w:pPr>
        <w:pStyle w:val="Brdtext"/>
        <w:rPr>
          <w:lang w:val="en-GB"/>
        </w:rPr>
      </w:pPr>
      <w:r w:rsidRPr="008E2A7B">
        <w:rPr>
          <w:lang w:val="en-GB"/>
        </w:rPr>
        <w:t>In addition, Sweden collaborates with the other Nordic countries on research and innovation. The main objective of the Nordic Energy Research (NEF)</w:t>
      </w:r>
      <w:r w:rsidRPr="008E2A7B">
        <w:rPr>
          <w:rStyle w:val="Fotnotsreferens"/>
          <w:lang w:val="en-GB"/>
        </w:rPr>
        <w:footnoteReference w:id="31"/>
      </w:r>
      <w:r w:rsidRPr="008E2A7B">
        <w:rPr>
          <w:lang w:val="en-GB"/>
        </w:rPr>
        <w:t xml:space="preserve"> is to support Nordic energy cooperation. NEF supports areas of energy research that are of common interest to Nordic stakeholders and have potential for cross-border research cooperation. NEF finances and coordinates research, as well as provides administrative expertise, networking and guidance.</w:t>
      </w:r>
    </w:p>
    <w:p w14:paraId="0D8697E2" w14:textId="77777777" w:rsidR="0044710E" w:rsidRPr="008E2A7B" w:rsidRDefault="0044710E" w:rsidP="0044710E">
      <w:pPr>
        <w:pStyle w:val="i-lista"/>
        <w:numPr>
          <w:ilvl w:val="1"/>
          <w:numId w:val="22"/>
        </w:numPr>
        <w:rPr>
          <w:i/>
          <w:lang w:val="en-GB"/>
        </w:rPr>
      </w:pPr>
      <w:r w:rsidRPr="008E2A7B">
        <w:rPr>
          <w:i/>
          <w:lang w:val="en-GB"/>
        </w:rPr>
        <w:t>If applicable, financing measures in this area at national level, including EU support and the use of EU funds</w:t>
      </w:r>
    </w:p>
    <w:p w14:paraId="7F7D67C7" w14:textId="51270E64" w:rsidR="0044710E" w:rsidRPr="008E2A7B" w:rsidRDefault="0044710E" w:rsidP="0044710E">
      <w:pPr>
        <w:pStyle w:val="Brdtext"/>
        <w:rPr>
          <w:lang w:val="en-GB"/>
        </w:rPr>
      </w:pPr>
      <w:r w:rsidRPr="008E2A7B">
        <w:rPr>
          <w:lang w:val="en-GB"/>
        </w:rPr>
        <w:t>Sweden supports the Mission Innovation</w:t>
      </w:r>
      <w:r w:rsidRPr="008E2A7B">
        <w:rPr>
          <w:rStyle w:val="Fotnotsreferens"/>
          <w:lang w:val="en-GB"/>
        </w:rPr>
        <w:footnoteReference w:id="32"/>
      </w:r>
      <w:r w:rsidRPr="008E2A7B">
        <w:rPr>
          <w:lang w:val="en-GB"/>
        </w:rPr>
        <w:t xml:space="preserve"> initiative and has chosen to double the funding for those initiatives in the energy research and innovation program that are </w:t>
      </w:r>
      <w:r w:rsidR="008119F8" w:rsidRPr="008E2A7B">
        <w:rPr>
          <w:lang w:val="en-GB"/>
        </w:rPr>
        <w:t>stakeholder</w:t>
      </w:r>
      <w:r w:rsidRPr="008E2A7B">
        <w:rPr>
          <w:lang w:val="en-GB"/>
        </w:rPr>
        <w:t xml:space="preserve">-initiated through open calls. The doubling </w:t>
      </w:r>
      <w:r w:rsidR="008119F8" w:rsidRPr="008E2A7B">
        <w:rPr>
          <w:lang w:val="en-GB"/>
        </w:rPr>
        <w:t>is based on</w:t>
      </w:r>
      <w:r w:rsidRPr="008E2A7B">
        <w:rPr>
          <w:lang w:val="en-GB"/>
        </w:rPr>
        <w:t xml:space="preserve"> the average of the budget allocated for such operations during the period 2013-2015 and valid until 2020. </w:t>
      </w:r>
    </w:p>
    <w:p w14:paraId="090343B8" w14:textId="77777777" w:rsidR="0044710E" w:rsidRPr="008E2A7B" w:rsidRDefault="0044710E" w:rsidP="0044710E">
      <w:pPr>
        <w:pStyle w:val="Brdtext"/>
        <w:rPr>
          <w:lang w:val="en-GB"/>
        </w:rPr>
      </w:pPr>
      <w:r w:rsidRPr="008E2A7B">
        <w:rPr>
          <w:lang w:val="en-GB"/>
        </w:rPr>
        <w:t> </w:t>
      </w:r>
    </w:p>
    <w:p w14:paraId="5D499839" w14:textId="77777777" w:rsidR="0044710E" w:rsidRPr="008E2A7B" w:rsidRDefault="0044710E" w:rsidP="0044710E">
      <w:pPr>
        <w:spacing w:after="160" w:line="0" w:lineRule="auto"/>
        <w:rPr>
          <w:rFonts w:asciiTheme="majorHAnsi" w:hAnsiTheme="majorHAnsi" w:cstheme="majorHAnsi"/>
          <w:color w:val="389066"/>
          <w:spacing w:val="5"/>
          <w:sz w:val="44"/>
          <w:szCs w:val="44"/>
          <w:lang w:val="en-GB"/>
        </w:rPr>
      </w:pPr>
      <w:r w:rsidRPr="008E2A7B">
        <w:rPr>
          <w:rFonts w:asciiTheme="majorHAnsi" w:hAnsiTheme="majorHAnsi" w:cstheme="majorHAnsi"/>
          <w:color w:val="389066"/>
          <w:sz w:val="44"/>
          <w:szCs w:val="44"/>
          <w:lang w:val="en-GB"/>
        </w:rPr>
        <w:br w:type="page"/>
      </w:r>
    </w:p>
    <w:p w14:paraId="6B61AD41" w14:textId="77777777" w:rsidR="0044710E" w:rsidRPr="008E2A7B" w:rsidRDefault="0044710E" w:rsidP="0044710E">
      <w:pPr>
        <w:pStyle w:val="Rubrik1"/>
        <w:rPr>
          <w:lang w:val="en-GB"/>
        </w:rPr>
      </w:pPr>
      <w:bookmarkStart w:id="36" w:name="_Toc499285553"/>
      <w:r w:rsidRPr="008E2A7B">
        <w:rPr>
          <w:lang w:val="en-GB"/>
        </w:rPr>
        <w:lastRenderedPageBreak/>
        <w:t>Current situation and projections with existing policies and measures</w:t>
      </w:r>
      <w:bookmarkEnd w:id="36"/>
    </w:p>
    <w:p w14:paraId="1D407BB2" w14:textId="42DB6574" w:rsidR="0044710E" w:rsidRPr="008E2A7B" w:rsidRDefault="0044710E" w:rsidP="0044710E">
      <w:pPr>
        <w:pStyle w:val="Brdtext"/>
        <w:rPr>
          <w:lang w:val="en-GB"/>
        </w:rPr>
      </w:pPr>
      <w:r w:rsidRPr="008E2A7B">
        <w:rPr>
          <w:lang w:val="en-GB"/>
        </w:rPr>
        <w:t>Sweden developed several energy scenarios in 2016</w:t>
      </w:r>
      <w:r w:rsidR="00242775">
        <w:rPr>
          <w:rStyle w:val="Fotnotsreferens"/>
          <w:lang w:val="en-GB"/>
        </w:rPr>
        <w:footnoteReference w:id="33"/>
      </w:r>
      <w:r w:rsidRPr="008E2A7B">
        <w:rPr>
          <w:lang w:val="en-GB"/>
        </w:rPr>
        <w:t xml:space="preserve"> that are used as the basis for the climate scenarios for European climate reporting. The reference scenario, presented here unless stated otherwise, is based on the Commission's assumptions about the future prices of fossil fuels and EU ETS allowances. In that scenario, policies and measures that were valid in Sweden in 30 June 2016 have been included.</w:t>
      </w:r>
    </w:p>
    <w:p w14:paraId="4DD6107D" w14:textId="77777777" w:rsidR="0044710E" w:rsidRPr="008E2A7B" w:rsidRDefault="0044710E" w:rsidP="0044710E">
      <w:pPr>
        <w:pStyle w:val="Rubrik2"/>
        <w:rPr>
          <w:lang w:val="en-GB"/>
        </w:rPr>
      </w:pPr>
      <w:bookmarkStart w:id="37" w:name="_Toc499285554"/>
      <w:r w:rsidRPr="008E2A7B">
        <w:rPr>
          <w:lang w:val="en-GB"/>
        </w:rPr>
        <w:t>Projected evolution of main exogenous factors influencing energy system and GHG emission developments</w:t>
      </w:r>
      <w:bookmarkEnd w:id="37"/>
      <w:r w:rsidRPr="008E2A7B">
        <w:rPr>
          <w:lang w:val="en-GB"/>
        </w:rPr>
        <w:t xml:space="preserve"> </w:t>
      </w:r>
    </w:p>
    <w:p w14:paraId="2843676D" w14:textId="77777777" w:rsidR="0044710E" w:rsidRPr="008E2A7B" w:rsidRDefault="0044710E" w:rsidP="0044710E">
      <w:pPr>
        <w:pStyle w:val="i-lista"/>
        <w:numPr>
          <w:ilvl w:val="1"/>
          <w:numId w:val="24"/>
        </w:numPr>
        <w:rPr>
          <w:i/>
          <w:lang w:val="en-GB"/>
        </w:rPr>
      </w:pPr>
      <w:r w:rsidRPr="008E2A7B">
        <w:rPr>
          <w:i/>
          <w:lang w:val="en-GB"/>
        </w:rPr>
        <w:t>Macroeconomic forecasts (GDP and population growth)</w:t>
      </w:r>
    </w:p>
    <w:p w14:paraId="3CE3762C" w14:textId="69671F21" w:rsidR="0044710E" w:rsidRPr="008E2A7B" w:rsidRDefault="0044710E" w:rsidP="0044710E">
      <w:pPr>
        <w:pStyle w:val="Brdtext"/>
        <w:rPr>
          <w:lang w:val="en-GB"/>
        </w:rPr>
      </w:pPr>
      <w:r w:rsidRPr="008E2A7B">
        <w:rPr>
          <w:lang w:val="en-GB"/>
        </w:rPr>
        <w:t xml:space="preserve">The development of GDP is modelled in the macroeconomic model EMEC, which is the basis for the energy and climate scenarios. </w:t>
      </w:r>
      <w:r w:rsidRPr="008E2A7B">
        <w:rPr>
          <w:lang w:val="en-GB"/>
        </w:rPr>
        <w:fldChar w:fldCharType="begin"/>
      </w:r>
      <w:r w:rsidRPr="008E2A7B">
        <w:rPr>
          <w:lang w:val="en-GB"/>
        </w:rPr>
        <w:instrText xml:space="preserve"> REF _Ref496263516 \h </w:instrText>
      </w:r>
      <w:r w:rsidRPr="008E2A7B">
        <w:rPr>
          <w:lang w:val="en-GB"/>
        </w:rPr>
      </w:r>
      <w:r w:rsidRPr="008E2A7B">
        <w:rPr>
          <w:lang w:val="en-GB"/>
        </w:rPr>
        <w:fldChar w:fldCharType="separate"/>
      </w:r>
      <w:r w:rsidR="008D103C" w:rsidRPr="008E2A7B">
        <w:rPr>
          <w:lang w:val="en-GB"/>
        </w:rPr>
        <w:t xml:space="preserve">Table </w:t>
      </w:r>
      <w:r w:rsidR="008D103C" w:rsidRPr="008E2A7B">
        <w:rPr>
          <w:noProof/>
          <w:lang w:val="en-GB"/>
        </w:rPr>
        <w:t>3</w:t>
      </w:r>
      <w:r w:rsidRPr="008E2A7B">
        <w:rPr>
          <w:lang w:val="en-GB"/>
        </w:rPr>
        <w:fldChar w:fldCharType="end"/>
      </w:r>
      <w:r w:rsidRPr="008E2A7B">
        <w:rPr>
          <w:lang w:val="en-GB"/>
        </w:rPr>
        <w:t xml:space="preserve"> presents developments from 2013 to 2050.</w:t>
      </w:r>
    </w:p>
    <w:p w14:paraId="7D394AF3" w14:textId="31DEB084" w:rsidR="0044710E" w:rsidRPr="008E2A7B" w:rsidRDefault="0044710E" w:rsidP="0044710E">
      <w:pPr>
        <w:pStyle w:val="Beskrivning"/>
        <w:rPr>
          <w:rStyle w:val="shorttext"/>
          <w:szCs w:val="20"/>
          <w:lang w:val="en-GB"/>
        </w:rPr>
      </w:pPr>
      <w:bookmarkStart w:id="38" w:name="_Ref496263516"/>
      <w:bookmarkStart w:id="39" w:name="_Ref496263507"/>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3</w:t>
      </w:r>
      <w:r w:rsidRPr="008E2A7B">
        <w:rPr>
          <w:lang w:val="en-GB"/>
        </w:rPr>
        <w:fldChar w:fldCharType="end"/>
      </w:r>
      <w:bookmarkEnd w:id="38"/>
      <w:r w:rsidRPr="008E2A7B">
        <w:rPr>
          <w:rStyle w:val="shorttext"/>
          <w:szCs w:val="20"/>
          <w:lang w:val="en-GB"/>
        </w:rPr>
        <w:t xml:space="preserve"> Development of GDP in economic scenarios from EMEC</w:t>
      </w:r>
      <w:bookmarkEnd w:id="39"/>
    </w:p>
    <w:tbl>
      <w:tblPr>
        <w:tblStyle w:val="Enkeltabell1"/>
        <w:tblW w:w="3287" w:type="dxa"/>
        <w:tblLayout w:type="fixed"/>
        <w:tblLook w:val="04A0" w:firstRow="1" w:lastRow="0" w:firstColumn="1" w:lastColumn="0" w:noHBand="0" w:noVBand="1"/>
      </w:tblPr>
      <w:tblGrid>
        <w:gridCol w:w="1551"/>
        <w:gridCol w:w="1736"/>
      </w:tblGrid>
      <w:tr w:rsidR="0044710E" w:rsidRPr="008E2A7B" w14:paraId="67342569" w14:textId="77777777" w:rsidTr="0044710E">
        <w:trPr>
          <w:cnfStyle w:val="100000000000" w:firstRow="1" w:lastRow="0" w:firstColumn="0" w:lastColumn="0" w:oddVBand="0" w:evenVBand="0" w:oddHBand="0" w:evenHBand="0" w:firstRowFirstColumn="0" w:firstRowLastColumn="0" w:lastRowFirstColumn="0" w:lastRowLastColumn="0"/>
          <w:trHeight w:val="510"/>
        </w:trPr>
        <w:tc>
          <w:tcPr>
            <w:tcW w:w="1551" w:type="dxa"/>
          </w:tcPr>
          <w:p w14:paraId="19FD4BBC" w14:textId="77777777" w:rsidR="0044710E" w:rsidRPr="008E2A7B" w:rsidRDefault="0044710E" w:rsidP="0044710E">
            <w:pPr>
              <w:keepNext/>
              <w:rPr>
                <w:rFonts w:cstheme="minorHAnsi"/>
                <w:b/>
                <w:i/>
                <w:sz w:val="20"/>
                <w:lang w:val="en-GB"/>
              </w:rPr>
            </w:pPr>
            <w:r w:rsidRPr="008E2A7B">
              <w:rPr>
                <w:rFonts w:cstheme="minorHAnsi"/>
                <w:b/>
                <w:sz w:val="20"/>
                <w:lang w:val="en-GB"/>
              </w:rPr>
              <w:t>2013-2035</w:t>
            </w:r>
          </w:p>
        </w:tc>
        <w:tc>
          <w:tcPr>
            <w:tcW w:w="1736" w:type="dxa"/>
            <w:noWrap/>
          </w:tcPr>
          <w:p w14:paraId="254F1DBA" w14:textId="77777777" w:rsidR="0044710E" w:rsidRPr="008E2A7B" w:rsidRDefault="0044710E" w:rsidP="0044710E">
            <w:pPr>
              <w:keepNext/>
              <w:rPr>
                <w:rFonts w:cstheme="minorHAnsi"/>
                <w:b/>
                <w:i/>
                <w:sz w:val="20"/>
                <w:lang w:val="en-GB"/>
              </w:rPr>
            </w:pPr>
            <w:r w:rsidRPr="008E2A7B">
              <w:rPr>
                <w:rFonts w:cstheme="minorHAnsi"/>
                <w:b/>
                <w:sz w:val="20"/>
                <w:lang w:val="en-GB"/>
              </w:rPr>
              <w:t>2036-2050</w:t>
            </w:r>
          </w:p>
        </w:tc>
      </w:tr>
      <w:tr w:rsidR="0044710E" w:rsidRPr="008E2A7B" w14:paraId="5A42512E" w14:textId="77777777" w:rsidTr="0044710E">
        <w:trPr>
          <w:trHeight w:val="291"/>
        </w:trPr>
        <w:tc>
          <w:tcPr>
            <w:tcW w:w="1551" w:type="dxa"/>
          </w:tcPr>
          <w:p w14:paraId="568C19DD" w14:textId="77777777" w:rsidR="0044710E" w:rsidRPr="008E2A7B" w:rsidRDefault="0044710E" w:rsidP="0044710E">
            <w:pPr>
              <w:keepNext/>
              <w:rPr>
                <w:rFonts w:cstheme="minorHAnsi"/>
                <w:sz w:val="20"/>
                <w:lang w:val="en-GB"/>
              </w:rPr>
            </w:pPr>
            <w:r w:rsidRPr="008E2A7B">
              <w:rPr>
                <w:rFonts w:cstheme="minorHAnsi"/>
                <w:sz w:val="20"/>
                <w:lang w:val="en-GB"/>
              </w:rPr>
              <w:t>2.28</w:t>
            </w:r>
          </w:p>
        </w:tc>
        <w:tc>
          <w:tcPr>
            <w:tcW w:w="1736" w:type="dxa"/>
            <w:noWrap/>
          </w:tcPr>
          <w:p w14:paraId="57C922A1" w14:textId="77777777" w:rsidR="0044710E" w:rsidRPr="008E2A7B" w:rsidRDefault="0044710E" w:rsidP="0044710E">
            <w:pPr>
              <w:keepNext/>
              <w:rPr>
                <w:rFonts w:cstheme="minorHAnsi"/>
                <w:sz w:val="20"/>
                <w:lang w:val="en-GB"/>
              </w:rPr>
            </w:pPr>
            <w:r w:rsidRPr="008E2A7B">
              <w:rPr>
                <w:rFonts w:cstheme="minorHAnsi"/>
                <w:sz w:val="20"/>
                <w:lang w:val="en-GB"/>
              </w:rPr>
              <w:t>1.99</w:t>
            </w:r>
          </w:p>
        </w:tc>
      </w:tr>
    </w:tbl>
    <w:p w14:paraId="533EE618" w14:textId="77777777" w:rsidR="00E73343" w:rsidRDefault="00E73343" w:rsidP="0044710E">
      <w:pPr>
        <w:pStyle w:val="Brdtext"/>
        <w:rPr>
          <w:lang w:val="en-GB"/>
        </w:rPr>
      </w:pPr>
    </w:p>
    <w:p w14:paraId="2349676C" w14:textId="170C5EE8" w:rsidR="0044710E" w:rsidRPr="008E2A7B" w:rsidRDefault="0044710E" w:rsidP="0044710E">
      <w:pPr>
        <w:pStyle w:val="Brdtext"/>
        <w:rPr>
          <w:lang w:val="en-GB"/>
        </w:rPr>
      </w:pPr>
      <w:r w:rsidRPr="008E2A7B">
        <w:rPr>
          <w:lang w:val="en-GB"/>
        </w:rPr>
        <w:t xml:space="preserve">Population development for the period 2014–2040 is developed by Statistics Sweden and presented in </w:t>
      </w:r>
      <w:r w:rsidR="00970043" w:rsidRPr="008E2A7B">
        <w:rPr>
          <w:lang w:val="en-GB"/>
        </w:rPr>
        <w:fldChar w:fldCharType="begin"/>
      </w:r>
      <w:r w:rsidR="00970043" w:rsidRPr="008E2A7B">
        <w:rPr>
          <w:lang w:val="en-GB"/>
        </w:rPr>
        <w:instrText xml:space="preserve"> REF _Ref496263606 \h </w:instrText>
      </w:r>
      <w:r w:rsidR="00970043" w:rsidRPr="008E2A7B">
        <w:rPr>
          <w:lang w:val="en-GB"/>
        </w:rPr>
      </w:r>
      <w:r w:rsidR="00970043" w:rsidRPr="008E2A7B">
        <w:rPr>
          <w:lang w:val="en-GB"/>
        </w:rPr>
        <w:fldChar w:fldCharType="separate"/>
      </w:r>
      <w:r w:rsidR="008D103C" w:rsidRPr="008E2A7B">
        <w:rPr>
          <w:lang w:val="en-GB"/>
        </w:rPr>
        <w:t xml:space="preserve">Table </w:t>
      </w:r>
      <w:r w:rsidR="008D103C" w:rsidRPr="008E2A7B">
        <w:rPr>
          <w:noProof/>
          <w:lang w:val="en-GB"/>
        </w:rPr>
        <w:t>4</w:t>
      </w:r>
      <w:r w:rsidR="00970043" w:rsidRPr="008E2A7B">
        <w:rPr>
          <w:lang w:val="en-GB"/>
        </w:rPr>
        <w:fldChar w:fldCharType="end"/>
      </w:r>
      <w:r w:rsidRPr="008E2A7B">
        <w:rPr>
          <w:lang w:val="en-GB"/>
        </w:rPr>
        <w:t>.</w:t>
      </w:r>
    </w:p>
    <w:p w14:paraId="521158B9" w14:textId="072F1CED" w:rsidR="0044710E" w:rsidRPr="008E2A7B" w:rsidRDefault="0044710E" w:rsidP="0044710E">
      <w:pPr>
        <w:pStyle w:val="Beskrivning"/>
        <w:rPr>
          <w:szCs w:val="20"/>
          <w:lang w:val="en-GB"/>
        </w:rPr>
      </w:pPr>
      <w:bookmarkStart w:id="40" w:name="_Ref496263606"/>
      <w:r w:rsidRPr="008E2A7B">
        <w:rPr>
          <w:lang w:val="en-GB"/>
        </w:rPr>
        <w:t xml:space="preserve">Table </w:t>
      </w:r>
      <w:r w:rsidR="00722FEC" w:rsidRPr="008E2A7B">
        <w:rPr>
          <w:lang w:val="en-GB"/>
        </w:rPr>
        <w:fldChar w:fldCharType="begin"/>
      </w:r>
      <w:r w:rsidR="00722FEC" w:rsidRPr="008E2A7B">
        <w:rPr>
          <w:lang w:val="en-GB"/>
        </w:rPr>
        <w:instrText xml:space="preserve"> SEQ Table \* ARABIC </w:instrText>
      </w:r>
      <w:r w:rsidR="00722FEC" w:rsidRPr="008E2A7B">
        <w:rPr>
          <w:lang w:val="en-GB"/>
        </w:rPr>
        <w:fldChar w:fldCharType="separate"/>
      </w:r>
      <w:r w:rsidR="00CC3565">
        <w:rPr>
          <w:noProof/>
          <w:lang w:val="en-GB"/>
        </w:rPr>
        <w:t>4</w:t>
      </w:r>
      <w:r w:rsidR="00722FEC" w:rsidRPr="008E2A7B">
        <w:rPr>
          <w:noProof/>
          <w:lang w:val="en-GB"/>
        </w:rPr>
        <w:fldChar w:fldCharType="end"/>
      </w:r>
      <w:bookmarkEnd w:id="40"/>
      <w:r w:rsidRPr="008E2A7B">
        <w:rPr>
          <w:rStyle w:val="shorttext"/>
          <w:szCs w:val="20"/>
          <w:lang w:val="en-GB"/>
        </w:rPr>
        <w:t xml:space="preserve"> Population development</w:t>
      </w:r>
    </w:p>
    <w:tbl>
      <w:tblPr>
        <w:tblStyle w:val="Enkeltabell1"/>
        <w:tblW w:w="6976" w:type="dxa"/>
        <w:tblLook w:val="04A0" w:firstRow="1" w:lastRow="0" w:firstColumn="1" w:lastColumn="0" w:noHBand="0" w:noVBand="1"/>
      </w:tblPr>
      <w:tblGrid>
        <w:gridCol w:w="1379"/>
        <w:gridCol w:w="1411"/>
        <w:gridCol w:w="1411"/>
        <w:gridCol w:w="1364"/>
        <w:gridCol w:w="1411"/>
      </w:tblGrid>
      <w:tr w:rsidR="0044710E" w:rsidRPr="008E2A7B" w14:paraId="53259577" w14:textId="77777777" w:rsidTr="0044710E">
        <w:trPr>
          <w:cnfStyle w:val="100000000000" w:firstRow="1" w:lastRow="0" w:firstColumn="0" w:lastColumn="0" w:oddVBand="0" w:evenVBand="0" w:oddHBand="0" w:evenHBand="0" w:firstRowFirstColumn="0" w:firstRowLastColumn="0" w:lastRowFirstColumn="0" w:lastRowLastColumn="0"/>
          <w:trHeight w:val="203"/>
        </w:trPr>
        <w:tc>
          <w:tcPr>
            <w:tcW w:w="1379" w:type="dxa"/>
          </w:tcPr>
          <w:p w14:paraId="7E859DC6" w14:textId="77777777" w:rsidR="0044710E" w:rsidRPr="008E2A7B" w:rsidRDefault="0044710E" w:rsidP="0044710E">
            <w:pPr>
              <w:pStyle w:val="Brdtext"/>
              <w:rPr>
                <w:rFonts w:cstheme="minorHAnsi"/>
                <w:b/>
                <w:sz w:val="20"/>
                <w:lang w:val="en-GB"/>
              </w:rPr>
            </w:pPr>
            <w:r w:rsidRPr="008E2A7B">
              <w:rPr>
                <w:rFonts w:cstheme="minorHAnsi"/>
                <w:b/>
                <w:sz w:val="20"/>
                <w:lang w:val="en-GB"/>
              </w:rPr>
              <w:t>2014</w:t>
            </w:r>
          </w:p>
        </w:tc>
        <w:tc>
          <w:tcPr>
            <w:tcW w:w="1411" w:type="dxa"/>
          </w:tcPr>
          <w:p w14:paraId="6702BCB3" w14:textId="77777777" w:rsidR="0044710E" w:rsidRPr="008E2A7B" w:rsidRDefault="0044710E" w:rsidP="0044710E">
            <w:pPr>
              <w:pStyle w:val="Brdtext"/>
              <w:rPr>
                <w:rFonts w:cstheme="minorHAnsi"/>
                <w:b/>
                <w:sz w:val="20"/>
                <w:lang w:val="en-GB"/>
              </w:rPr>
            </w:pPr>
            <w:r w:rsidRPr="008E2A7B">
              <w:rPr>
                <w:rFonts w:cstheme="minorHAnsi"/>
                <w:b/>
                <w:sz w:val="20"/>
                <w:lang w:val="en-GB"/>
              </w:rPr>
              <w:t>2020</w:t>
            </w:r>
          </w:p>
        </w:tc>
        <w:tc>
          <w:tcPr>
            <w:tcW w:w="1411" w:type="dxa"/>
          </w:tcPr>
          <w:p w14:paraId="6F0DFDF5" w14:textId="77777777" w:rsidR="0044710E" w:rsidRPr="008E2A7B" w:rsidRDefault="0044710E" w:rsidP="0044710E">
            <w:pPr>
              <w:pStyle w:val="Brdtext"/>
              <w:rPr>
                <w:rFonts w:cstheme="minorHAnsi"/>
                <w:b/>
                <w:sz w:val="20"/>
                <w:lang w:val="en-GB"/>
              </w:rPr>
            </w:pPr>
            <w:r w:rsidRPr="008E2A7B">
              <w:rPr>
                <w:rFonts w:cstheme="minorHAnsi"/>
                <w:b/>
                <w:sz w:val="20"/>
                <w:lang w:val="en-GB"/>
              </w:rPr>
              <w:t>2030</w:t>
            </w:r>
          </w:p>
        </w:tc>
        <w:tc>
          <w:tcPr>
            <w:tcW w:w="1364" w:type="dxa"/>
          </w:tcPr>
          <w:p w14:paraId="06D4A588" w14:textId="77777777" w:rsidR="0044710E" w:rsidRPr="008E2A7B" w:rsidRDefault="0044710E" w:rsidP="0044710E">
            <w:pPr>
              <w:pStyle w:val="Brdtext"/>
              <w:rPr>
                <w:rFonts w:cstheme="minorHAnsi"/>
                <w:b/>
                <w:sz w:val="20"/>
                <w:lang w:val="en-GB"/>
              </w:rPr>
            </w:pPr>
            <w:r w:rsidRPr="008E2A7B">
              <w:rPr>
                <w:rFonts w:cstheme="minorHAnsi"/>
                <w:b/>
                <w:sz w:val="20"/>
                <w:lang w:val="en-GB"/>
              </w:rPr>
              <w:t>2035</w:t>
            </w:r>
          </w:p>
        </w:tc>
        <w:tc>
          <w:tcPr>
            <w:tcW w:w="1411" w:type="dxa"/>
          </w:tcPr>
          <w:p w14:paraId="26DEF9E5" w14:textId="77777777" w:rsidR="0044710E" w:rsidRPr="008E2A7B" w:rsidRDefault="0044710E" w:rsidP="0044710E">
            <w:pPr>
              <w:pStyle w:val="Brdtext"/>
              <w:rPr>
                <w:rFonts w:cstheme="minorHAnsi"/>
                <w:b/>
                <w:sz w:val="20"/>
                <w:lang w:val="en-GB"/>
              </w:rPr>
            </w:pPr>
            <w:r w:rsidRPr="008E2A7B">
              <w:rPr>
                <w:rFonts w:cstheme="minorHAnsi"/>
                <w:b/>
                <w:sz w:val="20"/>
                <w:lang w:val="en-GB"/>
              </w:rPr>
              <w:t>2040</w:t>
            </w:r>
          </w:p>
        </w:tc>
      </w:tr>
      <w:tr w:rsidR="0044710E" w:rsidRPr="008E2A7B" w14:paraId="16405340" w14:textId="77777777" w:rsidTr="0044710E">
        <w:trPr>
          <w:trHeight w:val="303"/>
        </w:trPr>
        <w:tc>
          <w:tcPr>
            <w:tcW w:w="1379" w:type="dxa"/>
          </w:tcPr>
          <w:p w14:paraId="63E3D6D0" w14:textId="77777777" w:rsidR="0044710E" w:rsidRPr="008E2A7B" w:rsidRDefault="0044710E" w:rsidP="0044710E">
            <w:pPr>
              <w:pStyle w:val="Brdtext"/>
              <w:rPr>
                <w:rFonts w:cstheme="minorHAnsi"/>
                <w:sz w:val="20"/>
                <w:lang w:val="en-GB"/>
              </w:rPr>
            </w:pPr>
            <w:r w:rsidRPr="008E2A7B">
              <w:rPr>
                <w:rFonts w:cstheme="minorHAnsi"/>
                <w:sz w:val="20"/>
                <w:lang w:val="en-GB"/>
              </w:rPr>
              <w:t>9,747,355</w:t>
            </w:r>
          </w:p>
        </w:tc>
        <w:tc>
          <w:tcPr>
            <w:tcW w:w="1411" w:type="dxa"/>
          </w:tcPr>
          <w:p w14:paraId="36B4C893" w14:textId="77777777" w:rsidR="0044710E" w:rsidRPr="008E2A7B" w:rsidRDefault="0044710E" w:rsidP="0044710E">
            <w:pPr>
              <w:pStyle w:val="Brdtext"/>
              <w:rPr>
                <w:rFonts w:cstheme="minorHAnsi"/>
                <w:sz w:val="20"/>
                <w:lang w:val="en-GB"/>
              </w:rPr>
            </w:pPr>
            <w:r w:rsidRPr="008E2A7B">
              <w:rPr>
                <w:rFonts w:cstheme="minorHAnsi"/>
                <w:sz w:val="20"/>
                <w:lang w:val="en-GB"/>
              </w:rPr>
              <w:t>10,589,867</w:t>
            </w:r>
          </w:p>
        </w:tc>
        <w:tc>
          <w:tcPr>
            <w:tcW w:w="1411" w:type="dxa"/>
          </w:tcPr>
          <w:p w14:paraId="507F6F2A" w14:textId="77777777" w:rsidR="0044710E" w:rsidRPr="008E2A7B" w:rsidRDefault="0044710E" w:rsidP="0044710E">
            <w:pPr>
              <w:pStyle w:val="Brdtext"/>
              <w:rPr>
                <w:rFonts w:cstheme="minorHAnsi"/>
                <w:sz w:val="20"/>
                <w:lang w:val="en-GB"/>
              </w:rPr>
            </w:pPr>
            <w:r w:rsidRPr="008E2A7B">
              <w:rPr>
                <w:rFonts w:cstheme="minorHAnsi"/>
                <w:sz w:val="20"/>
                <w:lang w:val="en-GB"/>
              </w:rPr>
              <w:t>11,480,303</w:t>
            </w:r>
          </w:p>
        </w:tc>
        <w:tc>
          <w:tcPr>
            <w:tcW w:w="1364" w:type="dxa"/>
          </w:tcPr>
          <w:p w14:paraId="43D88E33" w14:textId="77777777" w:rsidR="0044710E" w:rsidRPr="008E2A7B" w:rsidRDefault="0044710E" w:rsidP="0044710E">
            <w:pPr>
              <w:pStyle w:val="Brdtext"/>
              <w:rPr>
                <w:rFonts w:cstheme="minorHAnsi"/>
                <w:sz w:val="20"/>
                <w:lang w:val="en-GB"/>
              </w:rPr>
            </w:pPr>
            <w:r w:rsidRPr="008E2A7B">
              <w:rPr>
                <w:rFonts w:cstheme="minorHAnsi"/>
                <w:sz w:val="20"/>
                <w:lang w:val="en-GB"/>
              </w:rPr>
              <w:t>11,779,103</w:t>
            </w:r>
          </w:p>
        </w:tc>
        <w:tc>
          <w:tcPr>
            <w:tcW w:w="1411" w:type="dxa"/>
          </w:tcPr>
          <w:p w14:paraId="65D4229A" w14:textId="77777777" w:rsidR="0044710E" w:rsidRPr="008E2A7B" w:rsidRDefault="0044710E" w:rsidP="0044710E">
            <w:pPr>
              <w:pStyle w:val="Brdtext"/>
              <w:rPr>
                <w:rFonts w:cstheme="minorHAnsi"/>
                <w:sz w:val="20"/>
                <w:lang w:val="en-GB"/>
              </w:rPr>
            </w:pPr>
            <w:r w:rsidRPr="008E2A7B">
              <w:rPr>
                <w:rFonts w:cstheme="minorHAnsi"/>
                <w:sz w:val="20"/>
                <w:lang w:val="en-GB"/>
              </w:rPr>
              <w:t>12,039,748</w:t>
            </w:r>
          </w:p>
        </w:tc>
      </w:tr>
    </w:tbl>
    <w:p w14:paraId="3CC687E8" w14:textId="77777777" w:rsidR="0044710E" w:rsidRPr="008E2A7B" w:rsidRDefault="0044710E" w:rsidP="0044710E">
      <w:pPr>
        <w:pStyle w:val="i-lista"/>
        <w:numPr>
          <w:ilvl w:val="1"/>
          <w:numId w:val="24"/>
        </w:numPr>
        <w:rPr>
          <w:i/>
          <w:lang w:val="en-GB"/>
        </w:rPr>
      </w:pPr>
      <w:r w:rsidRPr="008E2A7B">
        <w:rPr>
          <w:i/>
          <w:lang w:val="en-GB"/>
        </w:rPr>
        <w:t>Sectorial changes expected to impact the energy system and GHG emissions</w:t>
      </w:r>
    </w:p>
    <w:p w14:paraId="275897F7" w14:textId="77777777" w:rsidR="0044710E" w:rsidRPr="008E2A7B" w:rsidRDefault="0044710E" w:rsidP="0044710E">
      <w:pPr>
        <w:pStyle w:val="Brdtext"/>
        <w:rPr>
          <w:i/>
          <w:lang w:val="en-GB"/>
        </w:rPr>
      </w:pPr>
      <w:r w:rsidRPr="008E2A7B">
        <w:rPr>
          <w:lang w:val="en-GB"/>
        </w:rPr>
        <w:t>In the scenarios, the four oldest nuclear reactors are taken out of service by 2020. The other six reactors are in operation for 60 years, which means that there is production from nuclear power until 2045. Of course, this can change if the owners decide to take the reactors out of operation earlier.</w:t>
      </w:r>
    </w:p>
    <w:p w14:paraId="0CCA998D" w14:textId="77777777" w:rsidR="0044710E" w:rsidRPr="008E2A7B" w:rsidRDefault="0044710E" w:rsidP="0044710E">
      <w:pPr>
        <w:pStyle w:val="i-lista"/>
        <w:numPr>
          <w:ilvl w:val="1"/>
          <w:numId w:val="24"/>
        </w:numPr>
        <w:rPr>
          <w:i/>
          <w:lang w:val="en-GB"/>
        </w:rPr>
      </w:pPr>
      <w:r w:rsidRPr="008E2A7B">
        <w:rPr>
          <w:i/>
          <w:lang w:val="en-GB"/>
        </w:rPr>
        <w:lastRenderedPageBreak/>
        <w:t>Global energy trends, international fossil fuel prices, EU ETS carbon price</w:t>
      </w:r>
    </w:p>
    <w:p w14:paraId="53718040" w14:textId="12A32BBA" w:rsidR="0044710E" w:rsidRPr="008E2A7B" w:rsidRDefault="0044710E" w:rsidP="0044710E">
      <w:pPr>
        <w:pStyle w:val="Brdtext"/>
        <w:rPr>
          <w:lang w:val="en-GB"/>
        </w:rPr>
      </w:pPr>
      <w:r w:rsidRPr="008E2A7B">
        <w:rPr>
          <w:lang w:val="en-GB"/>
        </w:rPr>
        <w:t xml:space="preserve">International fossil fuel prices used in the reference scenario come from the Commission projections and are </w:t>
      </w:r>
      <w:r w:rsidR="00970043" w:rsidRPr="008E2A7B">
        <w:rPr>
          <w:lang w:val="en-GB"/>
        </w:rPr>
        <w:t>presented below in Table 5-7</w:t>
      </w:r>
      <w:r w:rsidRPr="008E2A7B">
        <w:rPr>
          <w:lang w:val="en-GB"/>
        </w:rPr>
        <w:t xml:space="preserve">. </w:t>
      </w:r>
    </w:p>
    <w:p w14:paraId="445202C6" w14:textId="69DF6457"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5</w:t>
      </w:r>
      <w:r w:rsidRPr="008E2A7B">
        <w:rPr>
          <w:lang w:val="en-GB"/>
        </w:rPr>
        <w:fldChar w:fldCharType="end"/>
      </w:r>
      <w:r w:rsidRPr="008E2A7B">
        <w:rPr>
          <w:szCs w:val="20"/>
          <w:lang w:val="en-GB"/>
        </w:rPr>
        <w:t xml:space="preserve"> Assumed world market prices for crude oil, USD/barrel</w:t>
      </w:r>
    </w:p>
    <w:tbl>
      <w:tblPr>
        <w:tblStyle w:val="Enkeltabell1"/>
        <w:tblW w:w="5000" w:type="pct"/>
        <w:tblLook w:val="04A0" w:firstRow="1" w:lastRow="0" w:firstColumn="1" w:lastColumn="0" w:noHBand="0" w:noVBand="1"/>
      </w:tblPr>
      <w:tblGrid>
        <w:gridCol w:w="1396"/>
        <w:gridCol w:w="1840"/>
        <w:gridCol w:w="1840"/>
        <w:gridCol w:w="1840"/>
      </w:tblGrid>
      <w:tr w:rsidR="0044710E" w:rsidRPr="008E2A7B" w14:paraId="3D2CB938" w14:textId="77777777" w:rsidTr="0044710E">
        <w:trPr>
          <w:cnfStyle w:val="100000000000" w:firstRow="1" w:lastRow="0" w:firstColumn="0" w:lastColumn="0" w:oddVBand="0" w:evenVBand="0" w:oddHBand="0" w:evenHBand="0" w:firstRowFirstColumn="0" w:firstRowLastColumn="0" w:lastRowFirstColumn="0" w:lastRowLastColumn="0"/>
          <w:trHeight w:val="348"/>
        </w:trPr>
        <w:tc>
          <w:tcPr>
            <w:tcW w:w="599" w:type="pct"/>
          </w:tcPr>
          <w:p w14:paraId="19413282"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789" w:type="pct"/>
          </w:tcPr>
          <w:p w14:paraId="753B7120"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789" w:type="pct"/>
          </w:tcPr>
          <w:p w14:paraId="046FD8E8"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789" w:type="pct"/>
          </w:tcPr>
          <w:p w14:paraId="51E0EE8F"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64160FB8" w14:textId="77777777" w:rsidTr="0044710E">
        <w:trPr>
          <w:trHeight w:val="394"/>
        </w:trPr>
        <w:tc>
          <w:tcPr>
            <w:tcW w:w="599" w:type="pct"/>
          </w:tcPr>
          <w:p w14:paraId="77CA67F1" w14:textId="77777777" w:rsidR="0044710E" w:rsidRPr="008E2A7B" w:rsidRDefault="0044710E" w:rsidP="0044710E">
            <w:pPr>
              <w:keepNext/>
              <w:jc w:val="center"/>
              <w:rPr>
                <w:rFonts w:cstheme="minorHAnsi"/>
                <w:sz w:val="20"/>
                <w:lang w:val="en-GB"/>
              </w:rPr>
            </w:pPr>
            <w:r w:rsidRPr="008E2A7B">
              <w:rPr>
                <w:rFonts w:cstheme="minorHAnsi"/>
                <w:sz w:val="20"/>
                <w:lang w:val="en-GB"/>
              </w:rPr>
              <w:t>54</w:t>
            </w:r>
          </w:p>
        </w:tc>
        <w:tc>
          <w:tcPr>
            <w:tcW w:w="789" w:type="pct"/>
          </w:tcPr>
          <w:p w14:paraId="2B027726" w14:textId="77777777" w:rsidR="0044710E" w:rsidRPr="008E2A7B" w:rsidRDefault="0044710E" w:rsidP="0044710E">
            <w:pPr>
              <w:keepNext/>
              <w:jc w:val="center"/>
              <w:rPr>
                <w:rFonts w:cstheme="minorHAnsi"/>
                <w:sz w:val="20"/>
                <w:lang w:val="en-GB"/>
              </w:rPr>
            </w:pPr>
            <w:r w:rsidRPr="008E2A7B">
              <w:rPr>
                <w:rFonts w:cstheme="minorHAnsi"/>
                <w:sz w:val="20"/>
                <w:lang w:val="en-GB"/>
              </w:rPr>
              <w:t>87</w:t>
            </w:r>
          </w:p>
        </w:tc>
        <w:tc>
          <w:tcPr>
            <w:tcW w:w="789" w:type="pct"/>
          </w:tcPr>
          <w:p w14:paraId="18A1A42E" w14:textId="77777777" w:rsidR="0044710E" w:rsidRPr="008E2A7B" w:rsidRDefault="0044710E" w:rsidP="0044710E">
            <w:pPr>
              <w:keepNext/>
              <w:jc w:val="center"/>
              <w:rPr>
                <w:rFonts w:cstheme="minorHAnsi"/>
                <w:sz w:val="20"/>
                <w:lang w:val="en-GB"/>
              </w:rPr>
            </w:pPr>
            <w:r w:rsidRPr="008E2A7B">
              <w:rPr>
                <w:rFonts w:cstheme="minorHAnsi"/>
                <w:sz w:val="20"/>
                <w:lang w:val="en-GB"/>
              </w:rPr>
              <w:t>113</w:t>
            </w:r>
          </w:p>
        </w:tc>
        <w:tc>
          <w:tcPr>
            <w:tcW w:w="789" w:type="pct"/>
          </w:tcPr>
          <w:p w14:paraId="0C24351B" w14:textId="77777777" w:rsidR="0044710E" w:rsidRPr="008E2A7B" w:rsidRDefault="0044710E" w:rsidP="0044710E">
            <w:pPr>
              <w:keepNext/>
              <w:jc w:val="center"/>
              <w:rPr>
                <w:rFonts w:cstheme="minorHAnsi"/>
                <w:sz w:val="20"/>
                <w:lang w:val="en-GB"/>
              </w:rPr>
            </w:pPr>
            <w:r w:rsidRPr="008E2A7B">
              <w:rPr>
                <w:rFonts w:cstheme="minorHAnsi"/>
                <w:sz w:val="20"/>
                <w:lang w:val="en-GB"/>
              </w:rPr>
              <w:t>124</w:t>
            </w:r>
          </w:p>
        </w:tc>
      </w:tr>
    </w:tbl>
    <w:p w14:paraId="3D65E78D" w14:textId="77777777" w:rsidR="0044710E" w:rsidRPr="008E2A7B" w:rsidRDefault="0044710E" w:rsidP="0044710E">
      <w:pPr>
        <w:pStyle w:val="Brdtext"/>
        <w:rPr>
          <w:lang w:val="en-GB"/>
        </w:rPr>
      </w:pPr>
    </w:p>
    <w:p w14:paraId="0970E0AC" w14:textId="57D7A62A"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6</w:t>
      </w:r>
      <w:r w:rsidRPr="008E2A7B">
        <w:rPr>
          <w:lang w:val="en-GB"/>
        </w:rPr>
        <w:fldChar w:fldCharType="end"/>
      </w:r>
      <w:r w:rsidRPr="008E2A7B">
        <w:rPr>
          <w:szCs w:val="20"/>
          <w:lang w:val="en-GB"/>
        </w:rPr>
        <w:t xml:space="preserve"> Assumed world market prices for coal USD/tonne</w:t>
      </w:r>
    </w:p>
    <w:tbl>
      <w:tblPr>
        <w:tblStyle w:val="Enkeltabell1"/>
        <w:tblW w:w="5000" w:type="pct"/>
        <w:tblLook w:val="04A0" w:firstRow="1" w:lastRow="0" w:firstColumn="1" w:lastColumn="0" w:noHBand="0" w:noVBand="1"/>
      </w:tblPr>
      <w:tblGrid>
        <w:gridCol w:w="1396"/>
        <w:gridCol w:w="1840"/>
        <w:gridCol w:w="1840"/>
        <w:gridCol w:w="1840"/>
      </w:tblGrid>
      <w:tr w:rsidR="0044710E" w:rsidRPr="008E2A7B" w14:paraId="15F1E08E" w14:textId="77777777" w:rsidTr="0044710E">
        <w:trPr>
          <w:cnfStyle w:val="100000000000" w:firstRow="1" w:lastRow="0" w:firstColumn="0" w:lastColumn="0" w:oddVBand="0" w:evenVBand="0" w:oddHBand="0" w:evenHBand="0" w:firstRowFirstColumn="0" w:firstRowLastColumn="0" w:lastRowFirstColumn="0" w:lastRowLastColumn="0"/>
          <w:trHeight w:val="347"/>
        </w:trPr>
        <w:tc>
          <w:tcPr>
            <w:tcW w:w="599" w:type="pct"/>
          </w:tcPr>
          <w:p w14:paraId="4A67CECC"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789" w:type="pct"/>
          </w:tcPr>
          <w:p w14:paraId="0B753750"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789" w:type="pct"/>
          </w:tcPr>
          <w:p w14:paraId="2AD7AB51"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789" w:type="pct"/>
          </w:tcPr>
          <w:p w14:paraId="2ED3FF32"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6964AED3" w14:textId="77777777" w:rsidTr="0044710E">
        <w:trPr>
          <w:trHeight w:val="411"/>
        </w:trPr>
        <w:tc>
          <w:tcPr>
            <w:tcW w:w="599" w:type="pct"/>
          </w:tcPr>
          <w:p w14:paraId="7B4074AF" w14:textId="77777777" w:rsidR="0044710E" w:rsidRPr="008E2A7B" w:rsidRDefault="0044710E" w:rsidP="0044710E">
            <w:pPr>
              <w:keepNext/>
              <w:jc w:val="center"/>
              <w:rPr>
                <w:rFonts w:cstheme="minorHAnsi"/>
                <w:sz w:val="20"/>
                <w:lang w:val="en-GB"/>
              </w:rPr>
            </w:pPr>
            <w:r w:rsidRPr="008E2A7B">
              <w:rPr>
                <w:rFonts w:cstheme="minorHAnsi"/>
                <w:sz w:val="20"/>
                <w:lang w:val="en-GB"/>
              </w:rPr>
              <w:t>54</w:t>
            </w:r>
          </w:p>
        </w:tc>
        <w:tc>
          <w:tcPr>
            <w:tcW w:w="789" w:type="pct"/>
          </w:tcPr>
          <w:p w14:paraId="72C95A41" w14:textId="77777777" w:rsidR="0044710E" w:rsidRPr="008E2A7B" w:rsidRDefault="0044710E" w:rsidP="0044710E">
            <w:pPr>
              <w:keepNext/>
              <w:jc w:val="center"/>
              <w:rPr>
                <w:rFonts w:cstheme="minorHAnsi"/>
                <w:sz w:val="20"/>
                <w:lang w:val="en-GB"/>
              </w:rPr>
            </w:pPr>
            <w:r w:rsidRPr="008E2A7B">
              <w:rPr>
                <w:rFonts w:cstheme="minorHAnsi"/>
                <w:sz w:val="20"/>
                <w:lang w:val="en-GB"/>
              </w:rPr>
              <w:t>70</w:t>
            </w:r>
          </w:p>
        </w:tc>
        <w:tc>
          <w:tcPr>
            <w:tcW w:w="789" w:type="pct"/>
          </w:tcPr>
          <w:p w14:paraId="3198530B" w14:textId="77777777" w:rsidR="0044710E" w:rsidRPr="008E2A7B" w:rsidRDefault="0044710E" w:rsidP="0044710E">
            <w:pPr>
              <w:keepNext/>
              <w:jc w:val="center"/>
              <w:rPr>
                <w:rFonts w:cstheme="minorHAnsi"/>
                <w:sz w:val="20"/>
                <w:lang w:val="en-GB"/>
              </w:rPr>
            </w:pPr>
            <w:r w:rsidRPr="008E2A7B">
              <w:rPr>
                <w:rFonts w:cstheme="minorHAnsi"/>
                <w:sz w:val="20"/>
                <w:lang w:val="en-GB"/>
              </w:rPr>
              <w:t>104</w:t>
            </w:r>
          </w:p>
        </w:tc>
        <w:tc>
          <w:tcPr>
            <w:tcW w:w="789" w:type="pct"/>
          </w:tcPr>
          <w:p w14:paraId="3BB6A856" w14:textId="77777777" w:rsidR="0044710E" w:rsidRPr="008E2A7B" w:rsidRDefault="0044710E" w:rsidP="0044710E">
            <w:pPr>
              <w:keepNext/>
              <w:jc w:val="center"/>
              <w:rPr>
                <w:rFonts w:cstheme="minorHAnsi"/>
                <w:sz w:val="20"/>
                <w:lang w:val="en-GB"/>
              </w:rPr>
            </w:pPr>
            <w:r w:rsidRPr="008E2A7B">
              <w:rPr>
                <w:rFonts w:cstheme="minorHAnsi"/>
                <w:sz w:val="20"/>
                <w:lang w:val="en-GB"/>
              </w:rPr>
              <w:t>114</w:t>
            </w:r>
          </w:p>
        </w:tc>
      </w:tr>
    </w:tbl>
    <w:p w14:paraId="5693CEB6" w14:textId="77777777" w:rsidR="0044710E" w:rsidRPr="008E2A7B" w:rsidRDefault="0044710E" w:rsidP="0044710E">
      <w:pPr>
        <w:pStyle w:val="Brdtext"/>
        <w:rPr>
          <w:lang w:val="en-GB"/>
        </w:rPr>
      </w:pPr>
    </w:p>
    <w:p w14:paraId="7F6DF1D5" w14:textId="3E65244E"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7</w:t>
      </w:r>
      <w:r w:rsidRPr="008E2A7B">
        <w:rPr>
          <w:lang w:val="en-GB"/>
        </w:rPr>
        <w:fldChar w:fldCharType="end"/>
      </w:r>
      <w:r w:rsidRPr="008E2A7B">
        <w:rPr>
          <w:szCs w:val="20"/>
          <w:lang w:val="en-GB"/>
        </w:rPr>
        <w:t xml:space="preserve"> Assumed world market prices for natural gas, USD/mmBTU</w:t>
      </w:r>
    </w:p>
    <w:tbl>
      <w:tblPr>
        <w:tblStyle w:val="Enkeltabell1"/>
        <w:tblW w:w="5000" w:type="pct"/>
        <w:tblLook w:val="04A0" w:firstRow="1" w:lastRow="0" w:firstColumn="1" w:lastColumn="0" w:noHBand="0" w:noVBand="1"/>
      </w:tblPr>
      <w:tblGrid>
        <w:gridCol w:w="1396"/>
        <w:gridCol w:w="1840"/>
        <w:gridCol w:w="1840"/>
        <w:gridCol w:w="1840"/>
      </w:tblGrid>
      <w:tr w:rsidR="0044710E" w:rsidRPr="008E2A7B" w14:paraId="6DA2852B" w14:textId="77777777" w:rsidTr="0044710E">
        <w:trPr>
          <w:cnfStyle w:val="100000000000" w:firstRow="1" w:lastRow="0" w:firstColumn="0" w:lastColumn="0" w:oddVBand="0" w:evenVBand="0" w:oddHBand="0" w:evenHBand="0" w:firstRowFirstColumn="0" w:firstRowLastColumn="0" w:lastRowFirstColumn="0" w:lastRowLastColumn="0"/>
          <w:trHeight w:val="334"/>
        </w:trPr>
        <w:tc>
          <w:tcPr>
            <w:tcW w:w="599" w:type="pct"/>
          </w:tcPr>
          <w:p w14:paraId="37E370CA"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789" w:type="pct"/>
          </w:tcPr>
          <w:p w14:paraId="2B6ACB54"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789" w:type="pct"/>
          </w:tcPr>
          <w:p w14:paraId="3B07161B"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789" w:type="pct"/>
          </w:tcPr>
          <w:p w14:paraId="19E7D351"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5D4DD1FC" w14:textId="77777777" w:rsidTr="0044710E">
        <w:trPr>
          <w:trHeight w:val="424"/>
        </w:trPr>
        <w:tc>
          <w:tcPr>
            <w:tcW w:w="599" w:type="pct"/>
          </w:tcPr>
          <w:p w14:paraId="0EDBAC0C" w14:textId="77777777" w:rsidR="0044710E" w:rsidRPr="008E2A7B" w:rsidRDefault="0044710E" w:rsidP="0044710E">
            <w:pPr>
              <w:keepNext/>
              <w:jc w:val="center"/>
              <w:rPr>
                <w:rFonts w:cstheme="minorHAnsi"/>
                <w:sz w:val="20"/>
                <w:lang w:val="en-GB"/>
              </w:rPr>
            </w:pPr>
            <w:r w:rsidRPr="008E2A7B">
              <w:rPr>
                <w:rFonts w:cstheme="minorHAnsi"/>
                <w:sz w:val="20"/>
                <w:lang w:val="en-GB"/>
              </w:rPr>
              <w:t>7</w:t>
            </w:r>
          </w:p>
        </w:tc>
        <w:tc>
          <w:tcPr>
            <w:tcW w:w="789" w:type="pct"/>
          </w:tcPr>
          <w:p w14:paraId="1C6411B7" w14:textId="77777777" w:rsidR="0044710E" w:rsidRPr="008E2A7B" w:rsidRDefault="0044710E" w:rsidP="0044710E">
            <w:pPr>
              <w:keepNext/>
              <w:jc w:val="center"/>
              <w:rPr>
                <w:rFonts w:cstheme="minorHAnsi"/>
                <w:sz w:val="20"/>
                <w:lang w:val="en-GB"/>
              </w:rPr>
            </w:pPr>
            <w:r w:rsidRPr="008E2A7B">
              <w:rPr>
                <w:rFonts w:cstheme="minorHAnsi"/>
                <w:sz w:val="20"/>
                <w:lang w:val="en-GB"/>
              </w:rPr>
              <w:t>9</w:t>
            </w:r>
          </w:p>
        </w:tc>
        <w:tc>
          <w:tcPr>
            <w:tcW w:w="789" w:type="pct"/>
          </w:tcPr>
          <w:p w14:paraId="46086CA7" w14:textId="77777777" w:rsidR="0044710E" w:rsidRPr="008E2A7B" w:rsidRDefault="0044710E" w:rsidP="0044710E">
            <w:pPr>
              <w:keepNext/>
              <w:jc w:val="center"/>
              <w:rPr>
                <w:rFonts w:cstheme="minorHAnsi"/>
                <w:sz w:val="20"/>
                <w:lang w:val="en-GB"/>
              </w:rPr>
            </w:pPr>
            <w:r w:rsidRPr="008E2A7B">
              <w:rPr>
                <w:rFonts w:cstheme="minorHAnsi"/>
                <w:sz w:val="20"/>
                <w:lang w:val="en-GB"/>
              </w:rPr>
              <w:t>11</w:t>
            </w:r>
          </w:p>
        </w:tc>
        <w:tc>
          <w:tcPr>
            <w:tcW w:w="789" w:type="pct"/>
          </w:tcPr>
          <w:p w14:paraId="4C3D0DF8" w14:textId="77777777" w:rsidR="0044710E" w:rsidRPr="008E2A7B" w:rsidRDefault="0044710E" w:rsidP="0044710E">
            <w:pPr>
              <w:keepNext/>
              <w:jc w:val="center"/>
              <w:rPr>
                <w:rFonts w:cstheme="minorHAnsi"/>
                <w:sz w:val="20"/>
                <w:lang w:val="en-GB"/>
              </w:rPr>
            </w:pPr>
            <w:r w:rsidRPr="008E2A7B">
              <w:rPr>
                <w:rFonts w:cstheme="minorHAnsi"/>
                <w:sz w:val="20"/>
                <w:lang w:val="en-GB"/>
              </w:rPr>
              <w:t>12</w:t>
            </w:r>
          </w:p>
        </w:tc>
      </w:tr>
    </w:tbl>
    <w:p w14:paraId="0D7DAA29" w14:textId="77777777" w:rsidR="0044710E" w:rsidRPr="008E2A7B" w:rsidRDefault="0044710E" w:rsidP="0044710E">
      <w:pPr>
        <w:pStyle w:val="Brdtext"/>
        <w:rPr>
          <w:lang w:val="en-GB"/>
        </w:rPr>
      </w:pPr>
    </w:p>
    <w:p w14:paraId="28F592CE" w14:textId="452F53C1" w:rsidR="0044710E" w:rsidRPr="008E2A7B" w:rsidRDefault="0044710E" w:rsidP="0044710E">
      <w:pPr>
        <w:pStyle w:val="Brdtext"/>
        <w:rPr>
          <w:lang w:val="en-GB"/>
        </w:rPr>
      </w:pPr>
      <w:r w:rsidRPr="008E2A7B">
        <w:rPr>
          <w:lang w:val="en-GB"/>
        </w:rPr>
        <w:t xml:space="preserve">EU ETS carbon prices used in the reference scenario also come from the Commission projections and are presented in </w:t>
      </w:r>
      <w:r w:rsidR="00970043" w:rsidRPr="008E2A7B">
        <w:rPr>
          <w:lang w:val="en-GB"/>
        </w:rPr>
        <w:fldChar w:fldCharType="begin"/>
      </w:r>
      <w:r w:rsidR="00970043" w:rsidRPr="008E2A7B">
        <w:rPr>
          <w:lang w:val="en-GB"/>
        </w:rPr>
        <w:instrText xml:space="preserve"> REF _Ref496263926 \h </w:instrText>
      </w:r>
      <w:r w:rsidR="00970043" w:rsidRPr="008E2A7B">
        <w:rPr>
          <w:lang w:val="en-GB"/>
        </w:rPr>
      </w:r>
      <w:r w:rsidR="00970043" w:rsidRPr="008E2A7B">
        <w:rPr>
          <w:lang w:val="en-GB"/>
        </w:rPr>
        <w:fldChar w:fldCharType="separate"/>
      </w:r>
      <w:r w:rsidR="008D103C" w:rsidRPr="008E2A7B">
        <w:rPr>
          <w:lang w:val="en-GB"/>
        </w:rPr>
        <w:t xml:space="preserve">Table </w:t>
      </w:r>
      <w:r w:rsidR="008D103C" w:rsidRPr="008E2A7B">
        <w:rPr>
          <w:noProof/>
          <w:lang w:val="en-GB"/>
        </w:rPr>
        <w:t>8</w:t>
      </w:r>
      <w:r w:rsidR="00970043" w:rsidRPr="008E2A7B">
        <w:rPr>
          <w:lang w:val="en-GB"/>
        </w:rPr>
        <w:fldChar w:fldCharType="end"/>
      </w:r>
      <w:r w:rsidR="00F9029E">
        <w:rPr>
          <w:lang w:val="en-GB"/>
        </w:rPr>
        <w:t>.</w:t>
      </w:r>
    </w:p>
    <w:p w14:paraId="700DAD3E" w14:textId="537A72EE" w:rsidR="0044710E" w:rsidRPr="008E2A7B" w:rsidRDefault="0044710E" w:rsidP="0044710E">
      <w:pPr>
        <w:pStyle w:val="Beskrivning"/>
        <w:rPr>
          <w:szCs w:val="20"/>
          <w:lang w:val="en-GB"/>
        </w:rPr>
      </w:pPr>
      <w:bookmarkStart w:id="41" w:name="_Ref496263926"/>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8</w:t>
      </w:r>
      <w:r w:rsidRPr="008E2A7B">
        <w:rPr>
          <w:lang w:val="en-GB"/>
        </w:rPr>
        <w:fldChar w:fldCharType="end"/>
      </w:r>
      <w:bookmarkEnd w:id="41"/>
      <w:r w:rsidRPr="008E2A7B">
        <w:rPr>
          <w:szCs w:val="20"/>
          <w:lang w:val="en-GB"/>
        </w:rPr>
        <w:t xml:space="preserve"> Assumed price of EU ETS allowances, EUR/tonne CO2</w:t>
      </w:r>
    </w:p>
    <w:tbl>
      <w:tblPr>
        <w:tblStyle w:val="Enkeltabell1"/>
        <w:tblpPr w:leftFromText="141" w:rightFromText="141" w:vertAnchor="text" w:tblpY="80"/>
        <w:tblW w:w="5000" w:type="pct"/>
        <w:tblLook w:val="04A0" w:firstRow="1" w:lastRow="0" w:firstColumn="1" w:lastColumn="0" w:noHBand="0" w:noVBand="1"/>
      </w:tblPr>
      <w:tblGrid>
        <w:gridCol w:w="1460"/>
        <w:gridCol w:w="1819"/>
        <w:gridCol w:w="1819"/>
        <w:gridCol w:w="1818"/>
      </w:tblGrid>
      <w:tr w:rsidR="0044710E" w:rsidRPr="008E2A7B" w14:paraId="11677BED" w14:textId="77777777" w:rsidTr="0044710E">
        <w:trPr>
          <w:cnfStyle w:val="100000000000" w:firstRow="1" w:lastRow="0" w:firstColumn="0" w:lastColumn="0" w:oddVBand="0" w:evenVBand="0" w:oddHBand="0" w:evenHBand="0" w:firstRowFirstColumn="0" w:firstRowLastColumn="0" w:lastRowFirstColumn="0" w:lastRowLastColumn="0"/>
          <w:trHeight w:val="399"/>
        </w:trPr>
        <w:tc>
          <w:tcPr>
            <w:tcW w:w="1056" w:type="pct"/>
          </w:tcPr>
          <w:p w14:paraId="57BC1D81"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1315" w:type="pct"/>
          </w:tcPr>
          <w:p w14:paraId="66C4D2F9"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1315" w:type="pct"/>
          </w:tcPr>
          <w:p w14:paraId="27DE96FD"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1315" w:type="pct"/>
          </w:tcPr>
          <w:p w14:paraId="21533D68"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586FCAFB" w14:textId="77777777" w:rsidTr="0044710E">
        <w:trPr>
          <w:trHeight w:val="405"/>
        </w:trPr>
        <w:tc>
          <w:tcPr>
            <w:tcW w:w="1056" w:type="pct"/>
          </w:tcPr>
          <w:p w14:paraId="4A09EEF7" w14:textId="77777777" w:rsidR="0044710E" w:rsidRPr="008E2A7B" w:rsidRDefault="0044710E" w:rsidP="0044710E">
            <w:pPr>
              <w:keepNext/>
              <w:jc w:val="center"/>
              <w:rPr>
                <w:rFonts w:cstheme="minorHAnsi"/>
                <w:sz w:val="20"/>
                <w:lang w:val="en-GB"/>
              </w:rPr>
            </w:pPr>
            <w:r w:rsidRPr="008E2A7B">
              <w:rPr>
                <w:rFonts w:cstheme="minorHAnsi"/>
                <w:sz w:val="20"/>
                <w:lang w:val="en-GB"/>
              </w:rPr>
              <w:t>7.5</w:t>
            </w:r>
          </w:p>
        </w:tc>
        <w:tc>
          <w:tcPr>
            <w:tcW w:w="1315" w:type="pct"/>
          </w:tcPr>
          <w:p w14:paraId="7A215896" w14:textId="77777777" w:rsidR="0044710E" w:rsidRPr="008E2A7B" w:rsidRDefault="0044710E" w:rsidP="0044710E">
            <w:pPr>
              <w:keepNext/>
              <w:jc w:val="center"/>
              <w:rPr>
                <w:rFonts w:cstheme="minorHAnsi"/>
                <w:sz w:val="20"/>
                <w:lang w:val="en-GB"/>
              </w:rPr>
            </w:pPr>
            <w:r w:rsidRPr="008E2A7B">
              <w:rPr>
                <w:rFonts w:cstheme="minorHAnsi"/>
                <w:sz w:val="20"/>
                <w:lang w:val="en-GB"/>
              </w:rPr>
              <w:t>15</w:t>
            </w:r>
          </w:p>
        </w:tc>
        <w:tc>
          <w:tcPr>
            <w:tcW w:w="1315" w:type="pct"/>
          </w:tcPr>
          <w:p w14:paraId="6C50710B" w14:textId="77777777" w:rsidR="0044710E" w:rsidRPr="008E2A7B" w:rsidRDefault="0044710E" w:rsidP="0044710E">
            <w:pPr>
              <w:keepNext/>
              <w:jc w:val="center"/>
              <w:rPr>
                <w:rFonts w:cstheme="minorHAnsi"/>
                <w:sz w:val="20"/>
                <w:lang w:val="en-GB"/>
              </w:rPr>
            </w:pPr>
            <w:r w:rsidRPr="008E2A7B">
              <w:rPr>
                <w:rFonts w:cstheme="minorHAnsi"/>
                <w:sz w:val="20"/>
                <w:lang w:val="en-GB"/>
              </w:rPr>
              <w:t>33</w:t>
            </w:r>
          </w:p>
        </w:tc>
        <w:tc>
          <w:tcPr>
            <w:tcW w:w="1315" w:type="pct"/>
          </w:tcPr>
          <w:p w14:paraId="650DAB41" w14:textId="77777777" w:rsidR="0044710E" w:rsidRPr="008E2A7B" w:rsidRDefault="0044710E" w:rsidP="0044710E">
            <w:pPr>
              <w:keepNext/>
              <w:jc w:val="center"/>
              <w:rPr>
                <w:rFonts w:cstheme="minorHAnsi"/>
                <w:sz w:val="20"/>
                <w:lang w:val="en-GB"/>
              </w:rPr>
            </w:pPr>
            <w:r w:rsidRPr="008E2A7B">
              <w:rPr>
                <w:rFonts w:cstheme="minorHAnsi"/>
                <w:sz w:val="20"/>
                <w:lang w:val="en-GB"/>
              </w:rPr>
              <w:t>50</w:t>
            </w:r>
          </w:p>
        </w:tc>
      </w:tr>
    </w:tbl>
    <w:p w14:paraId="53CAEE60" w14:textId="77777777" w:rsidR="0044710E" w:rsidRPr="008E2A7B" w:rsidRDefault="0044710E" w:rsidP="0044710E">
      <w:pPr>
        <w:pStyle w:val="i-lista"/>
        <w:numPr>
          <w:ilvl w:val="1"/>
          <w:numId w:val="24"/>
        </w:numPr>
        <w:rPr>
          <w:i/>
          <w:lang w:val="en-GB"/>
        </w:rPr>
      </w:pPr>
      <w:r w:rsidRPr="008E2A7B">
        <w:rPr>
          <w:i/>
          <w:lang w:val="en-GB"/>
        </w:rPr>
        <w:t>Technology cost developments</w:t>
      </w:r>
    </w:p>
    <w:p w14:paraId="2B27C7FF" w14:textId="77777777" w:rsidR="0044710E" w:rsidRPr="008E2A7B" w:rsidRDefault="0044710E" w:rsidP="0044710E">
      <w:pPr>
        <w:pStyle w:val="Brdtext"/>
        <w:rPr>
          <w:lang w:val="en-GB"/>
        </w:rPr>
      </w:pPr>
      <w:r w:rsidRPr="008E2A7B">
        <w:rPr>
          <w:lang w:val="en-GB"/>
        </w:rPr>
        <w:t>In the Swedish energy scenarios, a cost for each energy technology is assumed.  The most profitable technology, based on these assumptions, is then chosen in the future energy system. The assumed technology costs do not change over time in the model, except for solar power costs because rapid cost development is expected. The assumed technology costs are presented below.</w:t>
      </w:r>
    </w:p>
    <w:p w14:paraId="3030436D" w14:textId="750AC3D4" w:rsidR="00970043" w:rsidRPr="008E2A7B" w:rsidRDefault="0044710E" w:rsidP="00CC3565">
      <w:pPr>
        <w:pStyle w:val="Brdtext"/>
        <w:rPr>
          <w:lang w:val="en-GB"/>
        </w:rPr>
      </w:pPr>
      <w:r w:rsidRPr="008E2A7B">
        <w:rPr>
          <w:u w:val="single"/>
          <w:lang w:val="en-GB"/>
        </w:rPr>
        <w:t>Nuclear power</w:t>
      </w:r>
      <w:r w:rsidRPr="008E2A7B">
        <w:rPr>
          <w:lang w:val="en-GB"/>
        </w:rPr>
        <w:br/>
        <w:t>Estimated costs for new</w:t>
      </w:r>
      <w:r w:rsidR="00F9029E">
        <w:rPr>
          <w:lang w:val="en-GB"/>
        </w:rPr>
        <w:t xml:space="preserve"> nuclear power are presented in</w:t>
      </w:r>
      <w:bookmarkStart w:id="42" w:name="_Ref496263976"/>
      <w:r w:rsidR="00CC3565">
        <w:rPr>
          <w:lang w:val="en-GB"/>
        </w:rPr>
        <w:t xml:space="preserve"> </w:t>
      </w:r>
      <w:r w:rsidR="00CC3565">
        <w:rPr>
          <w:lang w:val="en-GB"/>
        </w:rPr>
        <w:fldChar w:fldCharType="begin"/>
      </w:r>
      <w:r w:rsidR="00CC3565">
        <w:rPr>
          <w:lang w:val="en-GB"/>
        </w:rPr>
        <w:instrText xml:space="preserve"> REF _Ref499210393 \h </w:instrText>
      </w:r>
      <w:r w:rsidR="00CC3565">
        <w:rPr>
          <w:lang w:val="en-GB"/>
        </w:rPr>
      </w:r>
      <w:r w:rsidR="00CC3565">
        <w:rPr>
          <w:lang w:val="en-GB"/>
        </w:rPr>
        <w:fldChar w:fldCharType="separate"/>
      </w:r>
      <w:r w:rsidR="00CC3565" w:rsidRPr="008E2A7B">
        <w:rPr>
          <w:lang w:val="en-GB"/>
        </w:rPr>
        <w:t xml:space="preserve">Table </w:t>
      </w:r>
      <w:r w:rsidR="00CC3565">
        <w:rPr>
          <w:noProof/>
          <w:lang w:val="en-GB"/>
        </w:rPr>
        <w:t>9</w:t>
      </w:r>
      <w:r w:rsidR="00CC3565">
        <w:rPr>
          <w:lang w:val="en-GB"/>
        </w:rPr>
        <w:fldChar w:fldCharType="end"/>
      </w:r>
      <w:r w:rsidR="00CC3565">
        <w:rPr>
          <w:lang w:val="en-GB"/>
        </w:rPr>
        <w:t>.</w:t>
      </w:r>
    </w:p>
    <w:p w14:paraId="22A14DF1" w14:textId="77777777" w:rsidR="00DF6C1F" w:rsidRDefault="00DF6C1F">
      <w:pPr>
        <w:spacing w:after="160" w:line="0" w:lineRule="auto"/>
        <w:rPr>
          <w:b/>
          <w:iCs/>
          <w:sz w:val="20"/>
          <w:szCs w:val="18"/>
          <w:lang w:val="en-GB"/>
        </w:rPr>
      </w:pPr>
      <w:r>
        <w:rPr>
          <w:lang w:val="en-GB"/>
        </w:rPr>
        <w:br w:type="page"/>
      </w:r>
    </w:p>
    <w:p w14:paraId="46977281" w14:textId="6978250C" w:rsidR="0044710E" w:rsidRPr="00CC3565" w:rsidRDefault="0044710E" w:rsidP="00CC3565">
      <w:pPr>
        <w:pStyle w:val="Beskrivning"/>
        <w:keepNext/>
        <w:rPr>
          <w:rStyle w:val="shorttext"/>
          <w:lang w:val="en-US"/>
        </w:rPr>
      </w:pPr>
      <w:bookmarkStart w:id="43" w:name="_Ref499210393"/>
      <w:r w:rsidRPr="008E2A7B">
        <w:rPr>
          <w:lang w:val="en-GB"/>
        </w:rPr>
        <w:lastRenderedPageBreak/>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CC3565">
        <w:rPr>
          <w:noProof/>
          <w:lang w:val="en-GB"/>
        </w:rPr>
        <w:t>9</w:t>
      </w:r>
      <w:r w:rsidRPr="008E2A7B">
        <w:rPr>
          <w:lang w:val="en-GB"/>
        </w:rPr>
        <w:fldChar w:fldCharType="end"/>
      </w:r>
      <w:bookmarkEnd w:id="42"/>
      <w:bookmarkEnd w:id="43"/>
      <w:r w:rsidR="00CC3565">
        <w:rPr>
          <w:lang w:val="en-US"/>
        </w:rPr>
        <w:t xml:space="preserve"> </w:t>
      </w:r>
      <w:r w:rsidRPr="008E2A7B">
        <w:rPr>
          <w:rStyle w:val="shorttext"/>
          <w:szCs w:val="20"/>
          <w:lang w:val="en-GB"/>
        </w:rPr>
        <w:t>Estimated costs for new nuclear power</w:t>
      </w:r>
    </w:p>
    <w:tbl>
      <w:tblPr>
        <w:tblStyle w:val="Enkeltabell1"/>
        <w:tblW w:w="7434" w:type="dxa"/>
        <w:jc w:val="center"/>
        <w:tblLayout w:type="fixed"/>
        <w:tblLook w:val="01E0" w:firstRow="1" w:lastRow="1" w:firstColumn="1" w:lastColumn="1" w:noHBand="0" w:noVBand="0"/>
      </w:tblPr>
      <w:tblGrid>
        <w:gridCol w:w="1850"/>
        <w:gridCol w:w="1156"/>
        <w:gridCol w:w="1589"/>
        <w:gridCol w:w="1622"/>
        <w:gridCol w:w="1217"/>
      </w:tblGrid>
      <w:tr w:rsidR="0044710E" w:rsidRPr="008E2A7B" w14:paraId="4C8B4324" w14:textId="77777777" w:rsidTr="0044710E">
        <w:trPr>
          <w:cnfStyle w:val="100000000000" w:firstRow="1" w:lastRow="0" w:firstColumn="0" w:lastColumn="0" w:oddVBand="0" w:evenVBand="0" w:oddHBand="0" w:evenHBand="0" w:firstRowFirstColumn="0" w:firstRowLastColumn="0" w:lastRowFirstColumn="0" w:lastRowLastColumn="0"/>
          <w:trHeight w:val="783"/>
          <w:jc w:val="center"/>
        </w:trPr>
        <w:tc>
          <w:tcPr>
            <w:tcW w:w="1850" w:type="dxa"/>
          </w:tcPr>
          <w:p w14:paraId="3B10AAC3" w14:textId="77777777" w:rsidR="0044710E" w:rsidRPr="008E2A7B" w:rsidRDefault="0044710E" w:rsidP="0044710E">
            <w:pPr>
              <w:keepNext/>
              <w:rPr>
                <w:b/>
                <w:sz w:val="20"/>
                <w:lang w:val="en-GB"/>
              </w:rPr>
            </w:pPr>
            <w:r w:rsidRPr="008E2A7B">
              <w:rPr>
                <w:b/>
                <w:sz w:val="20"/>
                <w:lang w:val="en-GB"/>
              </w:rPr>
              <w:t>Investment cost</w:t>
            </w:r>
          </w:p>
          <w:p w14:paraId="0973C3E6" w14:textId="77777777" w:rsidR="0044710E" w:rsidRPr="008E2A7B" w:rsidRDefault="0044710E" w:rsidP="0044710E">
            <w:pPr>
              <w:keepNext/>
              <w:rPr>
                <w:b/>
                <w:sz w:val="20"/>
                <w:lang w:val="en-GB"/>
              </w:rPr>
            </w:pPr>
            <w:r w:rsidRPr="008E2A7B">
              <w:rPr>
                <w:b/>
                <w:sz w:val="20"/>
                <w:lang w:val="en-GB"/>
              </w:rPr>
              <w:t>(SEK/kW el)</w:t>
            </w:r>
          </w:p>
        </w:tc>
        <w:tc>
          <w:tcPr>
            <w:tcW w:w="1156" w:type="dxa"/>
          </w:tcPr>
          <w:p w14:paraId="392F05DA" w14:textId="77777777" w:rsidR="0044710E" w:rsidRPr="008E2A7B" w:rsidRDefault="0044710E" w:rsidP="0044710E">
            <w:pPr>
              <w:keepNext/>
              <w:rPr>
                <w:b/>
                <w:sz w:val="20"/>
                <w:lang w:val="en-GB"/>
              </w:rPr>
            </w:pPr>
            <w:r w:rsidRPr="008E2A7B">
              <w:rPr>
                <w:b/>
                <w:sz w:val="20"/>
                <w:lang w:val="en-GB"/>
              </w:rPr>
              <w:t>Fixed O&amp;M (SEK/kW el)</w:t>
            </w:r>
          </w:p>
        </w:tc>
        <w:tc>
          <w:tcPr>
            <w:tcW w:w="1589" w:type="dxa"/>
          </w:tcPr>
          <w:p w14:paraId="5C0057FB" w14:textId="77777777" w:rsidR="0044710E" w:rsidRPr="008E2A7B" w:rsidRDefault="0044710E" w:rsidP="0044710E">
            <w:pPr>
              <w:keepNext/>
              <w:rPr>
                <w:b/>
                <w:sz w:val="20"/>
                <w:lang w:val="en-GB"/>
              </w:rPr>
            </w:pPr>
            <w:r w:rsidRPr="008E2A7B">
              <w:rPr>
                <w:b/>
                <w:sz w:val="20"/>
                <w:lang w:val="en-GB"/>
              </w:rPr>
              <w:t>Variable O&amp;M and fuel cost</w:t>
            </w:r>
          </w:p>
          <w:p w14:paraId="143C2595" w14:textId="77777777" w:rsidR="0044710E" w:rsidRPr="008E2A7B" w:rsidRDefault="0044710E" w:rsidP="0044710E">
            <w:pPr>
              <w:keepNext/>
              <w:rPr>
                <w:b/>
                <w:sz w:val="20"/>
                <w:lang w:val="en-GB"/>
              </w:rPr>
            </w:pPr>
            <w:r w:rsidRPr="008E2A7B">
              <w:rPr>
                <w:b/>
                <w:sz w:val="20"/>
                <w:lang w:val="en-GB"/>
              </w:rPr>
              <w:t>(SEK/MWh el)</w:t>
            </w:r>
          </w:p>
        </w:tc>
        <w:tc>
          <w:tcPr>
            <w:tcW w:w="1622" w:type="dxa"/>
          </w:tcPr>
          <w:p w14:paraId="627A8018" w14:textId="77777777" w:rsidR="0044710E" w:rsidRPr="008E2A7B" w:rsidRDefault="0044710E" w:rsidP="0044710E">
            <w:pPr>
              <w:keepNext/>
              <w:rPr>
                <w:b/>
                <w:sz w:val="20"/>
                <w:lang w:val="en-GB"/>
              </w:rPr>
            </w:pPr>
            <w:r w:rsidRPr="008E2A7B">
              <w:rPr>
                <w:b/>
                <w:sz w:val="20"/>
                <w:lang w:val="en-GB"/>
              </w:rPr>
              <w:t>Production tax</w:t>
            </w:r>
          </w:p>
          <w:p w14:paraId="1091170D" w14:textId="77777777" w:rsidR="0044710E" w:rsidRPr="008E2A7B" w:rsidRDefault="0044710E" w:rsidP="0044710E">
            <w:pPr>
              <w:keepNext/>
              <w:rPr>
                <w:b/>
                <w:sz w:val="20"/>
                <w:lang w:val="en-GB"/>
              </w:rPr>
            </w:pPr>
            <w:r w:rsidRPr="008E2A7B">
              <w:rPr>
                <w:b/>
                <w:sz w:val="20"/>
                <w:lang w:val="en-GB"/>
              </w:rPr>
              <w:t>(SEK/MWh el)</w:t>
            </w:r>
          </w:p>
        </w:tc>
        <w:tc>
          <w:tcPr>
            <w:tcW w:w="1217" w:type="dxa"/>
          </w:tcPr>
          <w:p w14:paraId="292E0AA4" w14:textId="77777777" w:rsidR="0044710E" w:rsidRPr="008E2A7B" w:rsidRDefault="0044710E" w:rsidP="0044710E">
            <w:pPr>
              <w:keepNext/>
              <w:rPr>
                <w:b/>
                <w:sz w:val="20"/>
                <w:lang w:val="en-GB"/>
              </w:rPr>
            </w:pPr>
            <w:r w:rsidRPr="008E2A7B">
              <w:rPr>
                <w:b/>
                <w:sz w:val="20"/>
                <w:lang w:val="en-GB"/>
              </w:rPr>
              <w:t xml:space="preserve">Service life </w:t>
            </w:r>
          </w:p>
          <w:p w14:paraId="665B02E7" w14:textId="77777777" w:rsidR="0044710E" w:rsidRPr="008E2A7B" w:rsidRDefault="0044710E" w:rsidP="0044710E">
            <w:pPr>
              <w:keepNext/>
              <w:rPr>
                <w:b/>
                <w:sz w:val="20"/>
                <w:lang w:val="en-GB"/>
              </w:rPr>
            </w:pPr>
            <w:r w:rsidRPr="008E2A7B">
              <w:rPr>
                <w:b/>
                <w:sz w:val="20"/>
                <w:lang w:val="en-GB"/>
              </w:rPr>
              <w:t>(year)</w:t>
            </w:r>
          </w:p>
        </w:tc>
      </w:tr>
      <w:tr w:rsidR="0044710E" w:rsidRPr="008E2A7B" w14:paraId="3A70A807" w14:textId="77777777" w:rsidTr="0044710E">
        <w:trPr>
          <w:cnfStyle w:val="010000000000" w:firstRow="0" w:lastRow="1" w:firstColumn="0" w:lastColumn="0" w:oddVBand="0" w:evenVBand="0" w:oddHBand="0" w:evenHBand="0" w:firstRowFirstColumn="0" w:firstRowLastColumn="0" w:lastRowFirstColumn="0" w:lastRowLastColumn="0"/>
          <w:trHeight w:val="261"/>
          <w:jc w:val="center"/>
        </w:trPr>
        <w:tc>
          <w:tcPr>
            <w:tcW w:w="1850" w:type="dxa"/>
          </w:tcPr>
          <w:p w14:paraId="159B9326" w14:textId="77777777" w:rsidR="0044710E" w:rsidRPr="008E2A7B" w:rsidRDefault="0044710E" w:rsidP="0044710E">
            <w:pPr>
              <w:keepNext/>
              <w:jc w:val="both"/>
              <w:rPr>
                <w:sz w:val="20"/>
                <w:lang w:val="en-GB"/>
              </w:rPr>
            </w:pPr>
            <w:r w:rsidRPr="008E2A7B">
              <w:rPr>
                <w:sz w:val="20"/>
                <w:lang w:val="en-GB"/>
              </w:rPr>
              <w:t>50,000</w:t>
            </w:r>
          </w:p>
        </w:tc>
        <w:tc>
          <w:tcPr>
            <w:tcW w:w="1156" w:type="dxa"/>
          </w:tcPr>
          <w:p w14:paraId="0C68CED5" w14:textId="77777777" w:rsidR="0044710E" w:rsidRPr="008E2A7B" w:rsidRDefault="0044710E" w:rsidP="0044710E">
            <w:pPr>
              <w:keepNext/>
              <w:jc w:val="both"/>
              <w:rPr>
                <w:sz w:val="20"/>
                <w:lang w:val="en-GB"/>
              </w:rPr>
            </w:pPr>
            <w:r w:rsidRPr="008E2A7B">
              <w:rPr>
                <w:sz w:val="20"/>
                <w:lang w:val="en-GB"/>
              </w:rPr>
              <w:t>550</w:t>
            </w:r>
          </w:p>
        </w:tc>
        <w:tc>
          <w:tcPr>
            <w:tcW w:w="1589" w:type="dxa"/>
          </w:tcPr>
          <w:p w14:paraId="2BD3736F" w14:textId="77777777" w:rsidR="0044710E" w:rsidRPr="008E2A7B" w:rsidRDefault="0044710E" w:rsidP="0044710E">
            <w:pPr>
              <w:keepNext/>
              <w:jc w:val="both"/>
              <w:rPr>
                <w:sz w:val="20"/>
                <w:lang w:val="en-GB"/>
              </w:rPr>
            </w:pPr>
            <w:r w:rsidRPr="008E2A7B">
              <w:rPr>
                <w:sz w:val="20"/>
                <w:lang w:val="en-GB"/>
              </w:rPr>
              <w:t>100</w:t>
            </w:r>
          </w:p>
        </w:tc>
        <w:tc>
          <w:tcPr>
            <w:tcW w:w="1622" w:type="dxa"/>
          </w:tcPr>
          <w:p w14:paraId="6A0029AF" w14:textId="77777777" w:rsidR="0044710E" w:rsidRPr="008E2A7B" w:rsidRDefault="0044710E" w:rsidP="0044710E">
            <w:pPr>
              <w:keepNext/>
              <w:jc w:val="both"/>
              <w:rPr>
                <w:sz w:val="20"/>
                <w:lang w:val="en-GB"/>
              </w:rPr>
            </w:pPr>
            <w:r w:rsidRPr="008E2A7B">
              <w:rPr>
                <w:sz w:val="20"/>
                <w:lang w:val="en-GB"/>
              </w:rPr>
              <w:t>115</w:t>
            </w:r>
            <w:r w:rsidRPr="008E2A7B">
              <w:rPr>
                <w:sz w:val="20"/>
                <w:vertAlign w:val="superscript"/>
                <w:lang w:val="en-GB"/>
              </w:rPr>
              <w:t>1)</w:t>
            </w:r>
          </w:p>
        </w:tc>
        <w:tc>
          <w:tcPr>
            <w:tcW w:w="1217" w:type="dxa"/>
          </w:tcPr>
          <w:p w14:paraId="234C1FE7" w14:textId="77777777" w:rsidR="0044710E" w:rsidRPr="008E2A7B" w:rsidRDefault="0044710E" w:rsidP="0044710E">
            <w:pPr>
              <w:keepNext/>
              <w:jc w:val="both"/>
              <w:rPr>
                <w:sz w:val="20"/>
                <w:lang w:val="en-GB"/>
              </w:rPr>
            </w:pPr>
            <w:r w:rsidRPr="008E2A7B">
              <w:rPr>
                <w:sz w:val="20"/>
                <w:lang w:val="en-GB"/>
              </w:rPr>
              <w:t>50</w:t>
            </w:r>
          </w:p>
        </w:tc>
      </w:tr>
    </w:tbl>
    <w:p w14:paraId="0EEAD67C" w14:textId="77777777" w:rsidR="0044710E" w:rsidRPr="008E2A7B" w:rsidRDefault="0044710E" w:rsidP="0044710E">
      <w:pPr>
        <w:pStyle w:val="Brdtext"/>
        <w:rPr>
          <w:u w:val="single"/>
          <w:lang w:val="en-GB"/>
        </w:rPr>
      </w:pPr>
    </w:p>
    <w:p w14:paraId="62330087" w14:textId="77777777" w:rsidR="0044710E" w:rsidRPr="008E2A7B" w:rsidRDefault="0044710E" w:rsidP="0044710E">
      <w:pPr>
        <w:pStyle w:val="Brdtext"/>
        <w:contextualSpacing/>
        <w:rPr>
          <w:u w:val="single"/>
          <w:lang w:val="en-GB"/>
        </w:rPr>
      </w:pPr>
      <w:r w:rsidRPr="008E2A7B">
        <w:rPr>
          <w:u w:val="single"/>
          <w:lang w:val="en-GB"/>
        </w:rPr>
        <w:t>Hydropower</w:t>
      </w:r>
    </w:p>
    <w:p w14:paraId="59A81EB2" w14:textId="77777777" w:rsidR="0044710E" w:rsidRPr="008E2A7B" w:rsidRDefault="0044710E" w:rsidP="0044710E">
      <w:pPr>
        <w:pStyle w:val="Brdtext"/>
        <w:contextualSpacing/>
        <w:rPr>
          <w:lang w:val="en-GB"/>
        </w:rPr>
      </w:pPr>
      <w:r w:rsidRPr="008E2A7B">
        <w:rPr>
          <w:lang w:val="en-GB"/>
        </w:rPr>
        <w:t>It is assumed that 0.5 TWh of new hydropower can be introduced in Sweden by 2020 and just over 1 TWh by 2030 at a cost of SEK 0.4-0.5/ kWh depending on the type of investment.</w:t>
      </w:r>
    </w:p>
    <w:p w14:paraId="21AE82D5" w14:textId="77777777" w:rsidR="0044710E" w:rsidRPr="008E2A7B" w:rsidRDefault="0044710E" w:rsidP="0044710E">
      <w:pPr>
        <w:pStyle w:val="Brdtext"/>
        <w:contextualSpacing/>
        <w:rPr>
          <w:lang w:val="en-GB"/>
        </w:rPr>
      </w:pPr>
    </w:p>
    <w:p w14:paraId="3EDDFBFF" w14:textId="77777777" w:rsidR="0044710E" w:rsidRPr="008E2A7B" w:rsidRDefault="0044710E" w:rsidP="0044710E">
      <w:pPr>
        <w:pStyle w:val="Brdtext"/>
        <w:contextualSpacing/>
        <w:rPr>
          <w:u w:val="single"/>
          <w:lang w:val="en-GB"/>
        </w:rPr>
      </w:pPr>
      <w:r w:rsidRPr="008E2A7B">
        <w:rPr>
          <w:u w:val="single"/>
          <w:lang w:val="en-GB"/>
        </w:rPr>
        <w:t>Wind power</w:t>
      </w:r>
    </w:p>
    <w:p w14:paraId="65193E93" w14:textId="12CDEDA7" w:rsidR="0044710E" w:rsidRPr="008E2A7B" w:rsidRDefault="0044710E" w:rsidP="0044710E">
      <w:pPr>
        <w:pStyle w:val="Brdtext"/>
        <w:contextualSpacing/>
        <w:rPr>
          <w:lang w:val="en-GB"/>
        </w:rPr>
      </w:pPr>
      <w:r w:rsidRPr="008E2A7B">
        <w:rPr>
          <w:lang w:val="en-GB"/>
        </w:rPr>
        <w:t>Cost assumptions for wind power are based on information from the Swedish Energy Agency</w:t>
      </w:r>
      <w:r w:rsidRPr="008E2A7B">
        <w:rPr>
          <w:rStyle w:val="Fotnotsreferens"/>
          <w:lang w:val="en-GB"/>
        </w:rPr>
        <w:footnoteReference w:id="34"/>
      </w:r>
      <w:r w:rsidRPr="008E2A7B">
        <w:rPr>
          <w:lang w:val="en-GB"/>
        </w:rPr>
        <w:t xml:space="preserve">, in which almost 100 TWh of land-based wind power are expected to be available for expansion. The scenario model includes 12 different land-based classes and 9 different sea-based classes for wind power production in Sweden. Together, these classes provide the supply curve (total production cost and production potential) for wind power seen in </w:t>
      </w:r>
      <w:r w:rsidR="00970043" w:rsidRPr="008E2A7B">
        <w:rPr>
          <w:lang w:val="en-GB"/>
        </w:rPr>
        <w:fldChar w:fldCharType="begin"/>
      </w:r>
      <w:r w:rsidR="00970043" w:rsidRPr="008E2A7B">
        <w:rPr>
          <w:lang w:val="en-GB"/>
        </w:rPr>
        <w:instrText xml:space="preserve"> REF _Ref496264069 \h </w:instrText>
      </w:r>
      <w:r w:rsidR="00970043" w:rsidRPr="008E2A7B">
        <w:rPr>
          <w:lang w:val="en-GB"/>
        </w:rPr>
      </w:r>
      <w:r w:rsidR="00970043" w:rsidRPr="008E2A7B">
        <w:rPr>
          <w:lang w:val="en-GB"/>
        </w:rPr>
        <w:fldChar w:fldCharType="separate"/>
      </w:r>
      <w:r w:rsidR="008D103C" w:rsidRPr="008E2A7B">
        <w:rPr>
          <w:lang w:val="en-GB"/>
        </w:rPr>
        <w:t xml:space="preserve">Figure </w:t>
      </w:r>
      <w:r w:rsidR="008D103C" w:rsidRPr="008E2A7B">
        <w:rPr>
          <w:noProof/>
          <w:lang w:val="en-GB"/>
        </w:rPr>
        <w:t>4</w:t>
      </w:r>
      <w:r w:rsidR="00970043" w:rsidRPr="008E2A7B">
        <w:rPr>
          <w:lang w:val="en-GB"/>
        </w:rPr>
        <w:fldChar w:fldCharType="end"/>
      </w:r>
      <w:r w:rsidRPr="008E2A7B">
        <w:rPr>
          <w:lang w:val="en-GB"/>
        </w:rPr>
        <w:t>, assuming 25 years of service life and 7% real interest rate. The model does not include system integration costs, such as for reserve capacity and network expansion which are needed especially at very large volumes of wind power.</w:t>
      </w:r>
    </w:p>
    <w:p w14:paraId="14827E8C" w14:textId="053D0041" w:rsidR="0044710E" w:rsidRPr="008E2A7B" w:rsidRDefault="0044710E" w:rsidP="0044710E">
      <w:pPr>
        <w:pStyle w:val="Beskrivning"/>
        <w:rPr>
          <w:szCs w:val="20"/>
          <w:lang w:val="en-GB"/>
        </w:rPr>
      </w:pPr>
      <w:bookmarkStart w:id="44" w:name="_Ref496264069"/>
      <w:bookmarkStart w:id="45" w:name="_Ref496264050"/>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4</w:t>
      </w:r>
      <w:r w:rsidRPr="008E2A7B">
        <w:rPr>
          <w:lang w:val="en-GB"/>
        </w:rPr>
        <w:fldChar w:fldCharType="end"/>
      </w:r>
      <w:bookmarkEnd w:id="44"/>
      <w:r w:rsidRPr="008E2A7B">
        <w:rPr>
          <w:szCs w:val="20"/>
          <w:lang w:val="en-GB"/>
        </w:rPr>
        <w:t xml:space="preserve"> Supply curve for new wind power in Sweden, SEK/MWh electricity</w:t>
      </w:r>
      <w:bookmarkEnd w:id="45"/>
    </w:p>
    <w:p w14:paraId="6D3D7EF9" w14:textId="77777777" w:rsidR="0044710E" w:rsidRPr="008E2A7B" w:rsidRDefault="0044710E" w:rsidP="0044710E">
      <w:pPr>
        <w:pStyle w:val="Brdtext"/>
        <w:rPr>
          <w:lang w:val="en-GB"/>
        </w:rPr>
      </w:pPr>
      <w:r w:rsidRPr="008E2A7B">
        <w:rPr>
          <w:noProof/>
          <w:lang w:val="en-GB"/>
        </w:rPr>
        <w:drawing>
          <wp:inline distT="0" distB="0" distL="0" distR="0" wp14:anchorId="33E12B54" wp14:editId="60480922">
            <wp:extent cx="4391660" cy="3006738"/>
            <wp:effectExtent l="0" t="0" r="8890" b="3175"/>
            <wp:docPr id="50" name="Bildobjekt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91660" cy="3006738"/>
                    </a:xfrm>
                    <a:prstGeom prst="rect">
                      <a:avLst/>
                    </a:prstGeom>
                    <a:noFill/>
                    <a:ln>
                      <a:noFill/>
                    </a:ln>
                  </pic:spPr>
                </pic:pic>
              </a:graphicData>
            </a:graphic>
          </wp:inline>
        </w:drawing>
      </w:r>
    </w:p>
    <w:p w14:paraId="6B3D068C" w14:textId="77777777" w:rsidR="0044710E" w:rsidRPr="008E2A7B" w:rsidRDefault="0044710E" w:rsidP="0044710E">
      <w:pPr>
        <w:pStyle w:val="Brdtext"/>
        <w:rPr>
          <w:u w:val="single"/>
          <w:lang w:val="en-GB"/>
        </w:rPr>
      </w:pPr>
    </w:p>
    <w:p w14:paraId="1F311EE0" w14:textId="77777777" w:rsidR="0044710E" w:rsidRPr="008E2A7B" w:rsidRDefault="0044710E" w:rsidP="0044710E">
      <w:pPr>
        <w:pStyle w:val="Brdtext"/>
        <w:contextualSpacing/>
        <w:rPr>
          <w:u w:val="single"/>
          <w:lang w:val="en-GB"/>
        </w:rPr>
      </w:pPr>
      <w:r w:rsidRPr="008E2A7B">
        <w:rPr>
          <w:u w:val="single"/>
          <w:lang w:val="en-GB"/>
        </w:rPr>
        <w:lastRenderedPageBreak/>
        <w:t>Solar power</w:t>
      </w:r>
    </w:p>
    <w:p w14:paraId="3A7A2E26" w14:textId="7E3C69C0" w:rsidR="0044710E" w:rsidRPr="008E2A7B" w:rsidRDefault="0044710E" w:rsidP="0044710E">
      <w:pPr>
        <w:pStyle w:val="Brdtext"/>
        <w:contextualSpacing/>
        <w:rPr>
          <w:lang w:val="en-GB"/>
        </w:rPr>
      </w:pPr>
      <w:r w:rsidRPr="008E2A7B">
        <w:rPr>
          <w:lang w:val="en-GB"/>
        </w:rPr>
        <w:t xml:space="preserve">Solar power is described in the model using three different technology classes: installations on villa roofs with battery storage, installations on villa roofs without battery storage and large ground-mounted installations. Important assumptions for these technologies are shown below in </w:t>
      </w:r>
      <w:r w:rsidR="00970043" w:rsidRPr="008E2A7B">
        <w:rPr>
          <w:lang w:val="en-GB"/>
        </w:rPr>
        <w:fldChar w:fldCharType="begin"/>
      </w:r>
      <w:r w:rsidR="00970043" w:rsidRPr="008E2A7B">
        <w:rPr>
          <w:lang w:val="en-GB"/>
        </w:rPr>
        <w:instrText xml:space="preserve"> REF _Ref496264416 \h </w:instrText>
      </w:r>
      <w:r w:rsidR="00970043" w:rsidRPr="008E2A7B">
        <w:rPr>
          <w:lang w:val="en-GB"/>
        </w:rPr>
      </w:r>
      <w:r w:rsidR="00970043" w:rsidRPr="008E2A7B">
        <w:rPr>
          <w:lang w:val="en-GB"/>
        </w:rPr>
        <w:fldChar w:fldCharType="separate"/>
      </w:r>
      <w:r w:rsidR="008D103C" w:rsidRPr="008E2A7B">
        <w:rPr>
          <w:lang w:val="en-GB"/>
        </w:rPr>
        <w:t xml:space="preserve">Table </w:t>
      </w:r>
      <w:r w:rsidR="008D103C" w:rsidRPr="008E2A7B">
        <w:rPr>
          <w:noProof/>
          <w:lang w:val="en-GB"/>
        </w:rPr>
        <w:t>10</w:t>
      </w:r>
      <w:r w:rsidR="00970043" w:rsidRPr="008E2A7B">
        <w:rPr>
          <w:lang w:val="en-GB"/>
        </w:rPr>
        <w:fldChar w:fldCharType="end"/>
      </w:r>
      <w:r w:rsidRPr="008E2A7B">
        <w:rPr>
          <w:lang w:val="en-GB"/>
        </w:rPr>
        <w:t>. The cost of investment for the villa option with battery storage is typically 30% higher than the option without batteries but decreases over time due to relatively rapid cost reduction for batteries. A battery storage solution (solar cells plus batteries) results in a more even production throughout the day and thus a higher proportion of self-consumption. In general, however, the temporal resolution of the model specification is too low to fully reflect the various aspects of solar power production and battery storage.</w:t>
      </w:r>
    </w:p>
    <w:p w14:paraId="7C49392C" w14:textId="77777777" w:rsidR="0044710E" w:rsidRPr="008E2A7B" w:rsidRDefault="0044710E" w:rsidP="0044710E">
      <w:pPr>
        <w:pStyle w:val="Brdtext"/>
        <w:contextualSpacing/>
        <w:rPr>
          <w:lang w:val="en-GB"/>
        </w:rPr>
      </w:pPr>
    </w:p>
    <w:p w14:paraId="2023573B" w14:textId="78E4C062" w:rsidR="0044710E" w:rsidRPr="008E2A7B" w:rsidRDefault="0044710E" w:rsidP="0044710E">
      <w:pPr>
        <w:pStyle w:val="Brdtext"/>
        <w:rPr>
          <w:lang w:val="en-GB"/>
        </w:rPr>
      </w:pPr>
      <w:r w:rsidRPr="008E2A7B">
        <w:rPr>
          <w:lang w:val="en-GB"/>
        </w:rPr>
        <w:t>In the model calculations, a tax rebate of SEK 0.6/kWh of electricity sold is applied for the villa application. For self-use, there is no electricity tax and no variable network fee. For the villa application, a ROT-deduction</w:t>
      </w:r>
      <w:r w:rsidRPr="008E2A7B">
        <w:rPr>
          <w:rStyle w:val="Fotnotsreferens"/>
          <w:lang w:val="en-GB"/>
        </w:rPr>
        <w:footnoteReference w:id="35"/>
      </w:r>
      <w:r w:rsidRPr="008E2A7B">
        <w:rPr>
          <w:lang w:val="en-GB"/>
        </w:rPr>
        <w:t xml:space="preserve"> is included equal to 9% of the investment cost. For large-scale facilities, investment aid amounts to 30% or maximum SEK 1.2 million. The size of such facilities is assumed to be a relevant limitation, so the percentage support is as</w:t>
      </w:r>
      <w:r w:rsidR="00BB1579">
        <w:rPr>
          <w:lang w:val="en-GB"/>
        </w:rPr>
        <w:t>sumed to be less than 30%</w:t>
      </w:r>
      <w:r w:rsidRPr="008E2A7B">
        <w:rPr>
          <w:lang w:val="en-GB"/>
        </w:rPr>
        <w:t>.</w:t>
      </w:r>
    </w:p>
    <w:p w14:paraId="06D62ADC" w14:textId="41038FB8" w:rsidR="0044710E" w:rsidRPr="008E2A7B" w:rsidRDefault="0044710E" w:rsidP="0044710E">
      <w:pPr>
        <w:pStyle w:val="Beskrivning"/>
        <w:rPr>
          <w:szCs w:val="20"/>
          <w:lang w:val="en-GB"/>
        </w:rPr>
      </w:pPr>
      <w:bookmarkStart w:id="46" w:name="_Ref496264416"/>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10</w:t>
      </w:r>
      <w:r w:rsidRPr="008E2A7B">
        <w:rPr>
          <w:lang w:val="en-GB"/>
        </w:rPr>
        <w:fldChar w:fldCharType="end"/>
      </w:r>
      <w:bookmarkEnd w:id="46"/>
      <w:r w:rsidRPr="008E2A7B">
        <w:rPr>
          <w:szCs w:val="20"/>
          <w:lang w:val="en-GB"/>
        </w:rPr>
        <w:t xml:space="preserve"> Estimated cost data for solar power</w:t>
      </w:r>
    </w:p>
    <w:tbl>
      <w:tblPr>
        <w:tblStyle w:val="Enkeltabell1"/>
        <w:tblW w:w="7491" w:type="dxa"/>
        <w:tblLook w:val="06A0" w:firstRow="1" w:lastRow="0" w:firstColumn="1" w:lastColumn="0" w:noHBand="1" w:noVBand="1"/>
      </w:tblPr>
      <w:tblGrid>
        <w:gridCol w:w="2285"/>
        <w:gridCol w:w="2710"/>
        <w:gridCol w:w="1248"/>
        <w:gridCol w:w="1248"/>
      </w:tblGrid>
      <w:tr w:rsidR="0044710E" w:rsidRPr="008E2A7B" w14:paraId="0D2F698A" w14:textId="77777777" w:rsidTr="0044710E">
        <w:trPr>
          <w:cnfStyle w:val="100000000000" w:firstRow="1" w:lastRow="0" w:firstColumn="0" w:lastColumn="0" w:oddVBand="0" w:evenVBand="0" w:oddHBand="0" w:evenHBand="0" w:firstRowFirstColumn="0" w:firstRowLastColumn="0" w:lastRowFirstColumn="0" w:lastRowLastColumn="0"/>
          <w:trHeight w:val="127"/>
        </w:trPr>
        <w:tc>
          <w:tcPr>
            <w:tcW w:w="2285" w:type="dxa"/>
          </w:tcPr>
          <w:p w14:paraId="6136E4C7" w14:textId="77777777" w:rsidR="0044710E" w:rsidRPr="008E2A7B" w:rsidRDefault="0044710E" w:rsidP="0044710E">
            <w:pPr>
              <w:rPr>
                <w:rFonts w:cstheme="minorHAnsi"/>
                <w:b/>
                <w:sz w:val="20"/>
                <w:lang w:val="en-GB"/>
              </w:rPr>
            </w:pPr>
          </w:p>
        </w:tc>
        <w:tc>
          <w:tcPr>
            <w:tcW w:w="2710" w:type="dxa"/>
          </w:tcPr>
          <w:p w14:paraId="11F3A29A" w14:textId="77777777" w:rsidR="0044710E" w:rsidRPr="008E2A7B" w:rsidRDefault="0044710E" w:rsidP="0044710E">
            <w:pPr>
              <w:rPr>
                <w:rFonts w:cstheme="minorHAnsi"/>
                <w:b/>
                <w:sz w:val="20"/>
                <w:lang w:val="en-GB"/>
              </w:rPr>
            </w:pPr>
          </w:p>
        </w:tc>
        <w:tc>
          <w:tcPr>
            <w:tcW w:w="1248" w:type="dxa"/>
          </w:tcPr>
          <w:p w14:paraId="4AB1AE88" w14:textId="77777777" w:rsidR="0044710E" w:rsidRPr="008E2A7B" w:rsidRDefault="0044710E" w:rsidP="0044710E">
            <w:pPr>
              <w:rPr>
                <w:rFonts w:cstheme="minorHAnsi"/>
                <w:b/>
                <w:sz w:val="20"/>
                <w:lang w:val="en-GB"/>
              </w:rPr>
            </w:pPr>
            <w:r w:rsidRPr="008E2A7B">
              <w:rPr>
                <w:rFonts w:cstheme="minorHAnsi"/>
                <w:b/>
                <w:sz w:val="20"/>
                <w:lang w:val="en-GB"/>
              </w:rPr>
              <w:t>2015</w:t>
            </w:r>
          </w:p>
        </w:tc>
        <w:tc>
          <w:tcPr>
            <w:tcW w:w="1248" w:type="dxa"/>
          </w:tcPr>
          <w:p w14:paraId="1D818747" w14:textId="77777777" w:rsidR="0044710E" w:rsidRPr="008E2A7B" w:rsidRDefault="0044710E" w:rsidP="0044710E">
            <w:pPr>
              <w:rPr>
                <w:rFonts w:cstheme="minorHAnsi"/>
                <w:b/>
                <w:sz w:val="20"/>
                <w:lang w:val="en-GB"/>
              </w:rPr>
            </w:pPr>
            <w:r w:rsidRPr="008E2A7B">
              <w:rPr>
                <w:rFonts w:cstheme="minorHAnsi"/>
                <w:b/>
                <w:sz w:val="20"/>
                <w:lang w:val="en-GB"/>
              </w:rPr>
              <w:t>2030</w:t>
            </w:r>
          </w:p>
        </w:tc>
      </w:tr>
      <w:tr w:rsidR="0044710E" w:rsidRPr="008E2A7B" w14:paraId="7996C896" w14:textId="77777777" w:rsidTr="0044710E">
        <w:trPr>
          <w:trHeight w:val="261"/>
        </w:trPr>
        <w:tc>
          <w:tcPr>
            <w:tcW w:w="2285" w:type="dxa"/>
          </w:tcPr>
          <w:p w14:paraId="6EF09631" w14:textId="77777777" w:rsidR="0044710E" w:rsidRPr="008E2A7B" w:rsidRDefault="0044710E" w:rsidP="0044710E">
            <w:pPr>
              <w:keepNext/>
              <w:rPr>
                <w:rFonts w:cstheme="minorHAnsi"/>
                <w:b/>
                <w:sz w:val="20"/>
                <w:lang w:val="en-GB"/>
              </w:rPr>
            </w:pPr>
            <w:r w:rsidRPr="008E2A7B">
              <w:rPr>
                <w:rFonts w:cstheme="minorHAnsi"/>
                <w:sz w:val="20"/>
                <w:lang w:val="en-GB"/>
              </w:rPr>
              <w:t>Villa roof (without batteries)</w:t>
            </w:r>
          </w:p>
        </w:tc>
        <w:tc>
          <w:tcPr>
            <w:tcW w:w="2710" w:type="dxa"/>
          </w:tcPr>
          <w:p w14:paraId="1EBEC572" w14:textId="77777777" w:rsidR="0044710E" w:rsidRPr="008E2A7B" w:rsidRDefault="0044710E" w:rsidP="0044710E">
            <w:pPr>
              <w:keepNext/>
              <w:rPr>
                <w:rFonts w:cstheme="minorHAnsi"/>
                <w:i/>
                <w:sz w:val="20"/>
                <w:lang w:val="en-GB"/>
              </w:rPr>
            </w:pPr>
            <w:r w:rsidRPr="008E2A7B">
              <w:rPr>
                <w:rFonts w:cstheme="minorHAnsi"/>
                <w:i/>
                <w:sz w:val="20"/>
                <w:lang w:val="en-GB"/>
              </w:rPr>
              <w:t>Investment (SEK/kW)</w:t>
            </w:r>
          </w:p>
        </w:tc>
        <w:tc>
          <w:tcPr>
            <w:tcW w:w="1248" w:type="dxa"/>
          </w:tcPr>
          <w:p w14:paraId="17A972C5" w14:textId="77777777" w:rsidR="0044710E" w:rsidRPr="008E2A7B" w:rsidRDefault="0044710E" w:rsidP="0044710E">
            <w:pPr>
              <w:keepNext/>
              <w:rPr>
                <w:rFonts w:cstheme="minorHAnsi"/>
                <w:sz w:val="20"/>
                <w:lang w:val="en-GB"/>
              </w:rPr>
            </w:pPr>
            <w:r w:rsidRPr="008E2A7B">
              <w:rPr>
                <w:rFonts w:cstheme="minorHAnsi"/>
                <w:sz w:val="20"/>
                <w:lang w:val="en-GB"/>
              </w:rPr>
              <w:t>15,000</w:t>
            </w:r>
          </w:p>
        </w:tc>
        <w:tc>
          <w:tcPr>
            <w:tcW w:w="1248" w:type="dxa"/>
          </w:tcPr>
          <w:p w14:paraId="5AA4A690" w14:textId="77777777" w:rsidR="0044710E" w:rsidRPr="008E2A7B" w:rsidRDefault="0044710E" w:rsidP="0044710E">
            <w:pPr>
              <w:keepNext/>
              <w:rPr>
                <w:rFonts w:cstheme="minorHAnsi"/>
                <w:sz w:val="20"/>
                <w:lang w:val="en-GB"/>
              </w:rPr>
            </w:pPr>
            <w:r w:rsidRPr="008E2A7B">
              <w:rPr>
                <w:rFonts w:cstheme="minorHAnsi"/>
                <w:sz w:val="20"/>
                <w:lang w:val="en-GB"/>
              </w:rPr>
              <w:t>9,000</w:t>
            </w:r>
          </w:p>
        </w:tc>
      </w:tr>
      <w:tr w:rsidR="0044710E" w:rsidRPr="008E2A7B" w14:paraId="5BE62B94" w14:textId="77777777" w:rsidTr="0044710E">
        <w:trPr>
          <w:trHeight w:val="255"/>
        </w:trPr>
        <w:tc>
          <w:tcPr>
            <w:tcW w:w="2285" w:type="dxa"/>
          </w:tcPr>
          <w:p w14:paraId="289A2060" w14:textId="77777777" w:rsidR="0044710E" w:rsidRPr="008E2A7B" w:rsidRDefault="0044710E" w:rsidP="0044710E">
            <w:pPr>
              <w:keepNext/>
              <w:rPr>
                <w:rFonts w:cstheme="minorHAnsi"/>
                <w:b/>
                <w:sz w:val="20"/>
                <w:lang w:val="en-GB"/>
              </w:rPr>
            </w:pPr>
          </w:p>
        </w:tc>
        <w:tc>
          <w:tcPr>
            <w:tcW w:w="2710" w:type="dxa"/>
          </w:tcPr>
          <w:p w14:paraId="3BD8BC58" w14:textId="77777777" w:rsidR="0044710E" w:rsidRPr="008E2A7B" w:rsidRDefault="0044710E" w:rsidP="0044710E">
            <w:pPr>
              <w:keepNext/>
              <w:rPr>
                <w:rFonts w:cstheme="minorHAnsi"/>
                <w:i/>
                <w:sz w:val="20"/>
                <w:lang w:val="en-GB"/>
              </w:rPr>
            </w:pPr>
            <w:r w:rsidRPr="008E2A7B">
              <w:rPr>
                <w:rFonts w:cstheme="minorHAnsi"/>
                <w:i/>
                <w:sz w:val="20"/>
                <w:lang w:val="en-GB"/>
              </w:rPr>
              <w:t>O&amp;M (SEK/kW)</w:t>
            </w:r>
          </w:p>
        </w:tc>
        <w:tc>
          <w:tcPr>
            <w:tcW w:w="1248" w:type="dxa"/>
          </w:tcPr>
          <w:p w14:paraId="04BE6206" w14:textId="77777777" w:rsidR="0044710E" w:rsidRPr="008E2A7B" w:rsidRDefault="0044710E" w:rsidP="0044710E">
            <w:pPr>
              <w:keepNext/>
              <w:rPr>
                <w:rFonts w:cstheme="minorHAnsi"/>
                <w:sz w:val="20"/>
                <w:lang w:val="en-GB"/>
              </w:rPr>
            </w:pPr>
            <w:r w:rsidRPr="008E2A7B">
              <w:rPr>
                <w:rFonts w:cstheme="minorHAnsi"/>
                <w:sz w:val="20"/>
                <w:lang w:val="en-GB"/>
              </w:rPr>
              <w:t>50</w:t>
            </w:r>
          </w:p>
        </w:tc>
        <w:tc>
          <w:tcPr>
            <w:tcW w:w="1248" w:type="dxa"/>
          </w:tcPr>
          <w:p w14:paraId="16C342CB" w14:textId="77777777" w:rsidR="0044710E" w:rsidRPr="008E2A7B" w:rsidRDefault="0044710E" w:rsidP="0044710E">
            <w:pPr>
              <w:keepNext/>
              <w:rPr>
                <w:rFonts w:cstheme="minorHAnsi"/>
                <w:sz w:val="20"/>
                <w:lang w:val="en-GB"/>
              </w:rPr>
            </w:pPr>
            <w:r w:rsidRPr="008E2A7B">
              <w:rPr>
                <w:rFonts w:cstheme="minorHAnsi"/>
                <w:sz w:val="20"/>
                <w:lang w:val="en-GB"/>
              </w:rPr>
              <w:t>50</w:t>
            </w:r>
          </w:p>
        </w:tc>
      </w:tr>
      <w:tr w:rsidR="0044710E" w:rsidRPr="008E2A7B" w14:paraId="538332DA" w14:textId="77777777" w:rsidTr="0044710E">
        <w:trPr>
          <w:trHeight w:val="255"/>
        </w:trPr>
        <w:tc>
          <w:tcPr>
            <w:tcW w:w="2285" w:type="dxa"/>
          </w:tcPr>
          <w:p w14:paraId="2822B1B2" w14:textId="77777777" w:rsidR="0044710E" w:rsidRPr="008E2A7B" w:rsidRDefault="0044710E" w:rsidP="0044710E">
            <w:pPr>
              <w:keepNext/>
              <w:rPr>
                <w:rFonts w:cstheme="minorHAnsi"/>
                <w:b/>
                <w:sz w:val="20"/>
                <w:lang w:val="en-GB"/>
              </w:rPr>
            </w:pPr>
          </w:p>
        </w:tc>
        <w:tc>
          <w:tcPr>
            <w:tcW w:w="2710" w:type="dxa"/>
          </w:tcPr>
          <w:p w14:paraId="5607C6D7" w14:textId="77777777" w:rsidR="0044710E" w:rsidRPr="008E2A7B" w:rsidRDefault="0044710E" w:rsidP="0044710E">
            <w:pPr>
              <w:keepNext/>
              <w:rPr>
                <w:rFonts w:cstheme="minorHAnsi"/>
                <w:i/>
                <w:sz w:val="20"/>
                <w:lang w:val="en-GB"/>
              </w:rPr>
            </w:pPr>
            <w:r w:rsidRPr="008E2A7B">
              <w:rPr>
                <w:rFonts w:cstheme="minorHAnsi"/>
                <w:i/>
                <w:sz w:val="20"/>
                <w:lang w:val="en-GB"/>
              </w:rPr>
              <w:t>Service life (year)</w:t>
            </w:r>
          </w:p>
        </w:tc>
        <w:tc>
          <w:tcPr>
            <w:tcW w:w="1248" w:type="dxa"/>
          </w:tcPr>
          <w:p w14:paraId="03640365" w14:textId="77777777" w:rsidR="0044710E" w:rsidRPr="008E2A7B" w:rsidRDefault="0044710E" w:rsidP="0044710E">
            <w:pPr>
              <w:keepNext/>
              <w:rPr>
                <w:rFonts w:cstheme="minorHAnsi"/>
                <w:sz w:val="20"/>
                <w:lang w:val="en-GB"/>
              </w:rPr>
            </w:pPr>
            <w:r w:rsidRPr="008E2A7B">
              <w:rPr>
                <w:rFonts w:cstheme="minorHAnsi"/>
                <w:sz w:val="20"/>
                <w:lang w:val="en-GB"/>
              </w:rPr>
              <w:t>30</w:t>
            </w:r>
          </w:p>
        </w:tc>
        <w:tc>
          <w:tcPr>
            <w:tcW w:w="1248" w:type="dxa"/>
          </w:tcPr>
          <w:p w14:paraId="2EE2F2A3" w14:textId="77777777" w:rsidR="0044710E" w:rsidRPr="008E2A7B" w:rsidRDefault="0044710E" w:rsidP="0044710E">
            <w:pPr>
              <w:keepNext/>
              <w:rPr>
                <w:rFonts w:cstheme="minorHAnsi"/>
                <w:sz w:val="20"/>
                <w:lang w:val="en-GB"/>
              </w:rPr>
            </w:pPr>
            <w:r w:rsidRPr="008E2A7B">
              <w:rPr>
                <w:rFonts w:cstheme="minorHAnsi"/>
                <w:sz w:val="20"/>
                <w:lang w:val="en-GB"/>
              </w:rPr>
              <w:t>30</w:t>
            </w:r>
          </w:p>
        </w:tc>
      </w:tr>
      <w:tr w:rsidR="0044710E" w:rsidRPr="008E2A7B" w14:paraId="233A367C" w14:textId="77777777" w:rsidTr="0044710E">
        <w:trPr>
          <w:trHeight w:val="255"/>
        </w:trPr>
        <w:tc>
          <w:tcPr>
            <w:tcW w:w="2285" w:type="dxa"/>
          </w:tcPr>
          <w:p w14:paraId="6B42B4A7" w14:textId="77777777" w:rsidR="0044710E" w:rsidRPr="008E2A7B" w:rsidRDefault="0044710E" w:rsidP="0044710E">
            <w:pPr>
              <w:keepNext/>
              <w:rPr>
                <w:rFonts w:cstheme="minorHAnsi"/>
                <w:b/>
                <w:sz w:val="20"/>
                <w:lang w:val="en-GB"/>
              </w:rPr>
            </w:pPr>
          </w:p>
        </w:tc>
        <w:tc>
          <w:tcPr>
            <w:tcW w:w="2710" w:type="dxa"/>
          </w:tcPr>
          <w:p w14:paraId="7919543D" w14:textId="77777777" w:rsidR="0044710E" w:rsidRPr="008E2A7B" w:rsidRDefault="0044710E" w:rsidP="0044710E">
            <w:pPr>
              <w:keepNext/>
              <w:rPr>
                <w:rFonts w:cstheme="minorHAnsi"/>
                <w:i/>
                <w:sz w:val="20"/>
                <w:lang w:val="en-GB"/>
              </w:rPr>
            </w:pPr>
            <w:r w:rsidRPr="008E2A7B">
              <w:rPr>
                <w:rFonts w:cstheme="minorHAnsi"/>
                <w:i/>
                <w:sz w:val="20"/>
                <w:lang w:val="en-GB"/>
              </w:rPr>
              <w:t>Full load hours</w:t>
            </w:r>
          </w:p>
        </w:tc>
        <w:tc>
          <w:tcPr>
            <w:tcW w:w="1248" w:type="dxa"/>
          </w:tcPr>
          <w:p w14:paraId="5BC1A5D0" w14:textId="77777777" w:rsidR="0044710E" w:rsidRPr="008E2A7B" w:rsidRDefault="0044710E" w:rsidP="0044710E">
            <w:pPr>
              <w:keepNext/>
              <w:rPr>
                <w:rFonts w:cstheme="minorHAnsi"/>
                <w:sz w:val="20"/>
                <w:lang w:val="en-GB"/>
              </w:rPr>
            </w:pPr>
            <w:r w:rsidRPr="008E2A7B">
              <w:rPr>
                <w:rFonts w:cstheme="minorHAnsi"/>
                <w:sz w:val="20"/>
                <w:lang w:val="en-GB"/>
              </w:rPr>
              <w:t>900</w:t>
            </w:r>
          </w:p>
        </w:tc>
        <w:tc>
          <w:tcPr>
            <w:tcW w:w="1248" w:type="dxa"/>
          </w:tcPr>
          <w:p w14:paraId="2F030DEE" w14:textId="77777777" w:rsidR="0044710E" w:rsidRPr="008E2A7B" w:rsidRDefault="0044710E" w:rsidP="0044710E">
            <w:pPr>
              <w:keepNext/>
              <w:rPr>
                <w:rFonts w:cstheme="minorHAnsi"/>
                <w:sz w:val="20"/>
                <w:lang w:val="en-GB"/>
              </w:rPr>
            </w:pPr>
            <w:r w:rsidRPr="008E2A7B">
              <w:rPr>
                <w:rFonts w:cstheme="minorHAnsi"/>
                <w:sz w:val="20"/>
                <w:lang w:val="en-GB"/>
              </w:rPr>
              <w:t>900</w:t>
            </w:r>
          </w:p>
        </w:tc>
      </w:tr>
      <w:tr w:rsidR="0044710E" w:rsidRPr="008E2A7B" w14:paraId="3A4778CE" w14:textId="77777777" w:rsidTr="0044710E">
        <w:trPr>
          <w:trHeight w:val="389"/>
        </w:trPr>
        <w:tc>
          <w:tcPr>
            <w:tcW w:w="2285" w:type="dxa"/>
          </w:tcPr>
          <w:p w14:paraId="0B48F06B" w14:textId="77777777" w:rsidR="0044710E" w:rsidRPr="008E2A7B" w:rsidRDefault="0044710E" w:rsidP="0044710E">
            <w:pPr>
              <w:keepNext/>
              <w:rPr>
                <w:rFonts w:cstheme="minorHAnsi"/>
                <w:sz w:val="20"/>
                <w:lang w:val="en-GB"/>
              </w:rPr>
            </w:pPr>
          </w:p>
        </w:tc>
        <w:tc>
          <w:tcPr>
            <w:tcW w:w="2710" w:type="dxa"/>
          </w:tcPr>
          <w:p w14:paraId="083BE349" w14:textId="77777777" w:rsidR="0044710E" w:rsidRPr="008E2A7B" w:rsidRDefault="0044710E" w:rsidP="0044710E">
            <w:pPr>
              <w:keepNext/>
              <w:rPr>
                <w:rFonts w:cstheme="minorHAnsi"/>
                <w:i/>
                <w:sz w:val="20"/>
                <w:lang w:val="en-GB"/>
              </w:rPr>
            </w:pPr>
          </w:p>
        </w:tc>
        <w:tc>
          <w:tcPr>
            <w:tcW w:w="1248" w:type="dxa"/>
          </w:tcPr>
          <w:p w14:paraId="7C8B13A6" w14:textId="77777777" w:rsidR="0044710E" w:rsidRPr="008E2A7B" w:rsidRDefault="0044710E" w:rsidP="0044710E">
            <w:pPr>
              <w:keepNext/>
              <w:rPr>
                <w:rFonts w:cstheme="minorHAnsi"/>
                <w:sz w:val="20"/>
                <w:lang w:val="en-GB"/>
              </w:rPr>
            </w:pPr>
          </w:p>
        </w:tc>
        <w:tc>
          <w:tcPr>
            <w:tcW w:w="1248" w:type="dxa"/>
          </w:tcPr>
          <w:p w14:paraId="7E7DC6FB" w14:textId="77777777" w:rsidR="0044710E" w:rsidRPr="008E2A7B" w:rsidRDefault="0044710E" w:rsidP="0044710E">
            <w:pPr>
              <w:keepNext/>
              <w:rPr>
                <w:rFonts w:cstheme="minorHAnsi"/>
                <w:sz w:val="20"/>
                <w:lang w:val="en-GB"/>
              </w:rPr>
            </w:pPr>
          </w:p>
        </w:tc>
      </w:tr>
      <w:tr w:rsidR="0044710E" w:rsidRPr="008E2A7B" w14:paraId="1FCEBA3B" w14:textId="77777777" w:rsidTr="0044710E">
        <w:trPr>
          <w:trHeight w:val="389"/>
        </w:trPr>
        <w:tc>
          <w:tcPr>
            <w:tcW w:w="2285" w:type="dxa"/>
          </w:tcPr>
          <w:p w14:paraId="62F246C8" w14:textId="77777777" w:rsidR="0044710E" w:rsidRPr="008E2A7B" w:rsidRDefault="0044710E" w:rsidP="0044710E">
            <w:pPr>
              <w:keepNext/>
              <w:rPr>
                <w:rFonts w:cstheme="minorHAnsi"/>
                <w:b/>
                <w:sz w:val="20"/>
                <w:lang w:val="en-GB"/>
              </w:rPr>
            </w:pPr>
            <w:r w:rsidRPr="008E2A7B">
              <w:rPr>
                <w:rFonts w:cstheme="minorHAnsi"/>
                <w:sz w:val="20"/>
                <w:lang w:val="en-GB"/>
              </w:rPr>
              <w:t>Large plant (ground-mounted)</w:t>
            </w:r>
          </w:p>
        </w:tc>
        <w:tc>
          <w:tcPr>
            <w:tcW w:w="2710" w:type="dxa"/>
          </w:tcPr>
          <w:p w14:paraId="03925F98" w14:textId="77777777" w:rsidR="0044710E" w:rsidRPr="008E2A7B" w:rsidRDefault="0044710E" w:rsidP="0044710E">
            <w:pPr>
              <w:keepNext/>
              <w:rPr>
                <w:rFonts w:cstheme="minorHAnsi"/>
                <w:i/>
                <w:sz w:val="20"/>
                <w:lang w:val="en-GB"/>
              </w:rPr>
            </w:pPr>
            <w:r w:rsidRPr="008E2A7B">
              <w:rPr>
                <w:rFonts w:cstheme="minorHAnsi"/>
                <w:i/>
                <w:sz w:val="20"/>
                <w:lang w:val="en-GB"/>
              </w:rPr>
              <w:t>Investment (SEK/kW)</w:t>
            </w:r>
          </w:p>
        </w:tc>
        <w:tc>
          <w:tcPr>
            <w:tcW w:w="1248" w:type="dxa"/>
          </w:tcPr>
          <w:p w14:paraId="216A0424" w14:textId="77777777" w:rsidR="0044710E" w:rsidRPr="008E2A7B" w:rsidRDefault="0044710E" w:rsidP="0044710E">
            <w:pPr>
              <w:keepNext/>
              <w:rPr>
                <w:rFonts w:cstheme="minorHAnsi"/>
                <w:sz w:val="20"/>
                <w:lang w:val="en-GB"/>
              </w:rPr>
            </w:pPr>
            <w:r w:rsidRPr="008E2A7B">
              <w:rPr>
                <w:rFonts w:cstheme="minorHAnsi"/>
                <w:sz w:val="20"/>
                <w:lang w:val="en-GB"/>
              </w:rPr>
              <w:t>13,000</w:t>
            </w:r>
          </w:p>
        </w:tc>
        <w:tc>
          <w:tcPr>
            <w:tcW w:w="1248" w:type="dxa"/>
          </w:tcPr>
          <w:p w14:paraId="7B2D9C36" w14:textId="77777777" w:rsidR="0044710E" w:rsidRPr="008E2A7B" w:rsidRDefault="0044710E" w:rsidP="0044710E">
            <w:pPr>
              <w:keepNext/>
              <w:rPr>
                <w:rFonts w:cstheme="minorHAnsi"/>
                <w:sz w:val="20"/>
                <w:lang w:val="en-GB"/>
              </w:rPr>
            </w:pPr>
            <w:r w:rsidRPr="008E2A7B">
              <w:rPr>
                <w:rFonts w:cstheme="minorHAnsi"/>
                <w:sz w:val="20"/>
                <w:lang w:val="en-GB"/>
              </w:rPr>
              <w:t>8,000</w:t>
            </w:r>
          </w:p>
        </w:tc>
      </w:tr>
      <w:tr w:rsidR="0044710E" w:rsidRPr="008E2A7B" w14:paraId="65D0D9C3" w14:textId="77777777" w:rsidTr="0044710E">
        <w:trPr>
          <w:trHeight w:val="255"/>
        </w:trPr>
        <w:tc>
          <w:tcPr>
            <w:tcW w:w="2285" w:type="dxa"/>
          </w:tcPr>
          <w:p w14:paraId="58CB3197" w14:textId="77777777" w:rsidR="0044710E" w:rsidRPr="008E2A7B" w:rsidRDefault="0044710E" w:rsidP="0044710E">
            <w:pPr>
              <w:keepNext/>
              <w:rPr>
                <w:rFonts w:cstheme="minorHAnsi"/>
                <w:b/>
                <w:sz w:val="20"/>
                <w:lang w:val="en-GB"/>
              </w:rPr>
            </w:pPr>
          </w:p>
        </w:tc>
        <w:tc>
          <w:tcPr>
            <w:tcW w:w="2710" w:type="dxa"/>
          </w:tcPr>
          <w:p w14:paraId="063A44A0" w14:textId="77777777" w:rsidR="0044710E" w:rsidRPr="008E2A7B" w:rsidRDefault="0044710E" w:rsidP="0044710E">
            <w:pPr>
              <w:keepNext/>
              <w:rPr>
                <w:rFonts w:cstheme="minorHAnsi"/>
                <w:i/>
                <w:sz w:val="20"/>
                <w:lang w:val="en-GB"/>
              </w:rPr>
            </w:pPr>
            <w:r w:rsidRPr="008E2A7B">
              <w:rPr>
                <w:rFonts w:cstheme="minorHAnsi"/>
                <w:i/>
                <w:sz w:val="20"/>
                <w:lang w:val="en-GB"/>
              </w:rPr>
              <w:t>O&amp;M (SEK/kW)</w:t>
            </w:r>
          </w:p>
        </w:tc>
        <w:tc>
          <w:tcPr>
            <w:tcW w:w="1248" w:type="dxa"/>
          </w:tcPr>
          <w:p w14:paraId="04676EA4" w14:textId="77777777" w:rsidR="0044710E" w:rsidRPr="008E2A7B" w:rsidRDefault="0044710E" w:rsidP="0044710E">
            <w:pPr>
              <w:keepNext/>
              <w:rPr>
                <w:rFonts w:cstheme="minorHAnsi"/>
                <w:sz w:val="20"/>
                <w:lang w:val="en-GB"/>
              </w:rPr>
            </w:pPr>
            <w:r w:rsidRPr="008E2A7B">
              <w:rPr>
                <w:rFonts w:cstheme="minorHAnsi"/>
                <w:sz w:val="20"/>
                <w:lang w:val="en-GB"/>
              </w:rPr>
              <w:t>50</w:t>
            </w:r>
          </w:p>
        </w:tc>
        <w:tc>
          <w:tcPr>
            <w:tcW w:w="1248" w:type="dxa"/>
          </w:tcPr>
          <w:p w14:paraId="0F0C4C1E" w14:textId="77777777" w:rsidR="0044710E" w:rsidRPr="008E2A7B" w:rsidRDefault="0044710E" w:rsidP="0044710E">
            <w:pPr>
              <w:keepNext/>
              <w:rPr>
                <w:rFonts w:cstheme="minorHAnsi"/>
                <w:sz w:val="20"/>
                <w:lang w:val="en-GB"/>
              </w:rPr>
            </w:pPr>
            <w:r w:rsidRPr="008E2A7B">
              <w:rPr>
                <w:rFonts w:cstheme="minorHAnsi"/>
                <w:sz w:val="20"/>
                <w:lang w:val="en-GB"/>
              </w:rPr>
              <w:t>50</w:t>
            </w:r>
          </w:p>
        </w:tc>
      </w:tr>
      <w:tr w:rsidR="0044710E" w:rsidRPr="008E2A7B" w14:paraId="19313DAA" w14:textId="77777777" w:rsidTr="0044710E">
        <w:trPr>
          <w:trHeight w:val="255"/>
        </w:trPr>
        <w:tc>
          <w:tcPr>
            <w:tcW w:w="2285" w:type="dxa"/>
          </w:tcPr>
          <w:p w14:paraId="183EF6E4" w14:textId="77777777" w:rsidR="0044710E" w:rsidRPr="008E2A7B" w:rsidRDefault="0044710E" w:rsidP="0044710E">
            <w:pPr>
              <w:keepNext/>
              <w:rPr>
                <w:rFonts w:cstheme="minorHAnsi"/>
                <w:b/>
                <w:sz w:val="20"/>
                <w:lang w:val="en-GB"/>
              </w:rPr>
            </w:pPr>
          </w:p>
        </w:tc>
        <w:tc>
          <w:tcPr>
            <w:tcW w:w="2710" w:type="dxa"/>
          </w:tcPr>
          <w:p w14:paraId="429255A1" w14:textId="77777777" w:rsidR="0044710E" w:rsidRPr="008E2A7B" w:rsidRDefault="0044710E" w:rsidP="0044710E">
            <w:pPr>
              <w:keepNext/>
              <w:rPr>
                <w:rFonts w:cstheme="minorHAnsi"/>
                <w:i/>
                <w:sz w:val="20"/>
                <w:lang w:val="en-GB"/>
              </w:rPr>
            </w:pPr>
            <w:r w:rsidRPr="008E2A7B">
              <w:rPr>
                <w:rFonts w:cstheme="minorHAnsi"/>
                <w:i/>
                <w:sz w:val="20"/>
                <w:lang w:val="en-GB"/>
              </w:rPr>
              <w:t>Service life (year)</w:t>
            </w:r>
          </w:p>
        </w:tc>
        <w:tc>
          <w:tcPr>
            <w:tcW w:w="1248" w:type="dxa"/>
          </w:tcPr>
          <w:p w14:paraId="02EBE24D" w14:textId="77777777" w:rsidR="0044710E" w:rsidRPr="008E2A7B" w:rsidRDefault="0044710E" w:rsidP="0044710E">
            <w:pPr>
              <w:keepNext/>
              <w:rPr>
                <w:rFonts w:cstheme="minorHAnsi"/>
                <w:sz w:val="20"/>
                <w:lang w:val="en-GB"/>
              </w:rPr>
            </w:pPr>
            <w:r w:rsidRPr="008E2A7B">
              <w:rPr>
                <w:rFonts w:cstheme="minorHAnsi"/>
                <w:sz w:val="20"/>
                <w:lang w:val="en-GB"/>
              </w:rPr>
              <w:t>30</w:t>
            </w:r>
          </w:p>
        </w:tc>
        <w:tc>
          <w:tcPr>
            <w:tcW w:w="1248" w:type="dxa"/>
          </w:tcPr>
          <w:p w14:paraId="2E554B29" w14:textId="77777777" w:rsidR="0044710E" w:rsidRPr="008E2A7B" w:rsidRDefault="0044710E" w:rsidP="0044710E">
            <w:pPr>
              <w:keepNext/>
              <w:rPr>
                <w:rFonts w:cstheme="minorHAnsi"/>
                <w:sz w:val="20"/>
                <w:lang w:val="en-GB"/>
              </w:rPr>
            </w:pPr>
            <w:r w:rsidRPr="008E2A7B">
              <w:rPr>
                <w:rFonts w:cstheme="minorHAnsi"/>
                <w:sz w:val="20"/>
                <w:lang w:val="en-GB"/>
              </w:rPr>
              <w:t>30</w:t>
            </w:r>
          </w:p>
        </w:tc>
      </w:tr>
      <w:tr w:rsidR="0044710E" w:rsidRPr="008E2A7B" w14:paraId="358C2F6D" w14:textId="77777777" w:rsidTr="0044710E">
        <w:trPr>
          <w:trHeight w:val="531"/>
        </w:trPr>
        <w:tc>
          <w:tcPr>
            <w:tcW w:w="2285" w:type="dxa"/>
          </w:tcPr>
          <w:p w14:paraId="11175E1B" w14:textId="77777777" w:rsidR="0044710E" w:rsidRPr="008E2A7B" w:rsidRDefault="0044710E" w:rsidP="0044710E">
            <w:pPr>
              <w:keepNext/>
              <w:rPr>
                <w:rFonts w:cstheme="minorHAnsi"/>
                <w:b/>
                <w:sz w:val="20"/>
                <w:lang w:val="en-GB"/>
              </w:rPr>
            </w:pPr>
          </w:p>
        </w:tc>
        <w:tc>
          <w:tcPr>
            <w:tcW w:w="2710" w:type="dxa"/>
          </w:tcPr>
          <w:p w14:paraId="4881DFE4" w14:textId="77777777" w:rsidR="0044710E" w:rsidRPr="008E2A7B" w:rsidRDefault="0044710E" w:rsidP="0044710E">
            <w:pPr>
              <w:keepNext/>
              <w:rPr>
                <w:rFonts w:cstheme="minorHAnsi"/>
                <w:i/>
                <w:sz w:val="20"/>
                <w:lang w:val="en-GB"/>
              </w:rPr>
            </w:pPr>
            <w:r w:rsidRPr="008E2A7B">
              <w:rPr>
                <w:rFonts w:cstheme="minorHAnsi"/>
                <w:i/>
                <w:sz w:val="20"/>
                <w:lang w:val="en-GB"/>
              </w:rPr>
              <w:t>Full load hours</w:t>
            </w:r>
          </w:p>
        </w:tc>
        <w:tc>
          <w:tcPr>
            <w:tcW w:w="1248" w:type="dxa"/>
          </w:tcPr>
          <w:p w14:paraId="3976FC81" w14:textId="77777777" w:rsidR="0044710E" w:rsidRPr="008E2A7B" w:rsidRDefault="0044710E" w:rsidP="0044710E">
            <w:pPr>
              <w:pStyle w:val="Brdtext"/>
              <w:rPr>
                <w:rFonts w:cstheme="minorHAnsi"/>
                <w:sz w:val="20"/>
                <w:lang w:val="en-GB"/>
              </w:rPr>
            </w:pPr>
            <w:r w:rsidRPr="008E2A7B">
              <w:rPr>
                <w:rFonts w:cstheme="minorHAnsi"/>
                <w:sz w:val="20"/>
                <w:lang w:val="en-GB"/>
              </w:rPr>
              <w:t>1,050</w:t>
            </w:r>
          </w:p>
        </w:tc>
        <w:tc>
          <w:tcPr>
            <w:tcW w:w="1248" w:type="dxa"/>
          </w:tcPr>
          <w:p w14:paraId="24C1B011" w14:textId="77777777" w:rsidR="0044710E" w:rsidRPr="008E2A7B" w:rsidRDefault="0044710E" w:rsidP="0044710E">
            <w:pPr>
              <w:pStyle w:val="Brdtext"/>
              <w:rPr>
                <w:rFonts w:cstheme="minorHAnsi"/>
                <w:sz w:val="20"/>
                <w:lang w:val="en-GB"/>
              </w:rPr>
            </w:pPr>
            <w:r w:rsidRPr="008E2A7B">
              <w:rPr>
                <w:rFonts w:cstheme="minorHAnsi"/>
                <w:sz w:val="20"/>
                <w:lang w:val="en-GB"/>
              </w:rPr>
              <w:t>1,050</w:t>
            </w:r>
          </w:p>
        </w:tc>
      </w:tr>
    </w:tbl>
    <w:p w14:paraId="5E044BBA" w14:textId="77777777" w:rsidR="0044710E" w:rsidRPr="008E2A7B" w:rsidRDefault="0044710E" w:rsidP="0044710E">
      <w:pPr>
        <w:pStyle w:val="Brdtext"/>
        <w:rPr>
          <w:u w:val="single"/>
          <w:lang w:val="en-GB"/>
        </w:rPr>
      </w:pPr>
    </w:p>
    <w:p w14:paraId="3064B094" w14:textId="77777777" w:rsidR="00AB4342" w:rsidRDefault="00AB4342" w:rsidP="0044710E">
      <w:pPr>
        <w:pStyle w:val="Brdtext"/>
        <w:rPr>
          <w:u w:val="single"/>
          <w:lang w:val="en-GB"/>
        </w:rPr>
      </w:pPr>
    </w:p>
    <w:p w14:paraId="76CD17AD" w14:textId="77777777" w:rsidR="00AB4342" w:rsidRDefault="00AB4342" w:rsidP="0044710E">
      <w:pPr>
        <w:pStyle w:val="Brdtext"/>
        <w:rPr>
          <w:u w:val="single"/>
          <w:lang w:val="en-GB"/>
        </w:rPr>
      </w:pPr>
    </w:p>
    <w:p w14:paraId="638B953D" w14:textId="77777777" w:rsidR="00AB4342" w:rsidRDefault="00AB4342" w:rsidP="0044710E">
      <w:pPr>
        <w:pStyle w:val="Brdtext"/>
        <w:rPr>
          <w:u w:val="single"/>
          <w:lang w:val="en-GB"/>
        </w:rPr>
      </w:pPr>
    </w:p>
    <w:p w14:paraId="3B7A0DE5" w14:textId="77777777" w:rsidR="00AB4342" w:rsidRDefault="00AB4342" w:rsidP="0044710E">
      <w:pPr>
        <w:pStyle w:val="Brdtext"/>
        <w:rPr>
          <w:u w:val="single"/>
          <w:lang w:val="en-GB"/>
        </w:rPr>
      </w:pPr>
    </w:p>
    <w:p w14:paraId="65DA0452" w14:textId="77777777" w:rsidR="0044710E" w:rsidRPr="008E2A7B" w:rsidRDefault="0044710E" w:rsidP="0044710E">
      <w:pPr>
        <w:pStyle w:val="Brdtext"/>
        <w:rPr>
          <w:u w:val="single"/>
          <w:lang w:val="en-GB"/>
        </w:rPr>
      </w:pPr>
      <w:r w:rsidRPr="008E2A7B">
        <w:rPr>
          <w:u w:val="single"/>
          <w:lang w:val="en-GB"/>
        </w:rPr>
        <w:lastRenderedPageBreak/>
        <w:t>Biofuel power plants</w:t>
      </w:r>
    </w:p>
    <w:p w14:paraId="77E4B140" w14:textId="31C2954E"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11</w:t>
      </w:r>
      <w:r w:rsidRPr="008E2A7B">
        <w:rPr>
          <w:lang w:val="en-GB"/>
        </w:rPr>
        <w:fldChar w:fldCharType="end"/>
      </w:r>
      <w:r w:rsidRPr="008E2A7B">
        <w:rPr>
          <w:szCs w:val="20"/>
          <w:lang w:val="en-GB"/>
        </w:rPr>
        <w:t xml:space="preserve"> Typical data for a conventional biofuel power plant with flue gas condensation in three dimensions (certain parameters, such as efficiency and alpha value, are assumed to develop over time)</w:t>
      </w:r>
    </w:p>
    <w:tbl>
      <w:tblPr>
        <w:tblStyle w:val="Enkeltabell1"/>
        <w:tblW w:w="8738" w:type="dxa"/>
        <w:tblLayout w:type="fixed"/>
        <w:tblLook w:val="01E0" w:firstRow="1" w:lastRow="1" w:firstColumn="1" w:lastColumn="1" w:noHBand="0" w:noVBand="0"/>
      </w:tblPr>
      <w:tblGrid>
        <w:gridCol w:w="1751"/>
        <w:gridCol w:w="1199"/>
        <w:gridCol w:w="1199"/>
        <w:gridCol w:w="1449"/>
        <w:gridCol w:w="1092"/>
        <w:gridCol w:w="1057"/>
        <w:gridCol w:w="991"/>
      </w:tblGrid>
      <w:tr w:rsidR="0044710E" w:rsidRPr="008E2A7B" w14:paraId="5236E2FC" w14:textId="77777777" w:rsidTr="009C6D77">
        <w:trPr>
          <w:cnfStyle w:val="100000000000" w:firstRow="1" w:lastRow="0" w:firstColumn="0" w:lastColumn="0" w:oddVBand="0" w:evenVBand="0" w:oddHBand="0" w:evenHBand="0" w:firstRowFirstColumn="0" w:firstRowLastColumn="0" w:lastRowFirstColumn="0" w:lastRowLastColumn="0"/>
          <w:trHeight w:val="920"/>
        </w:trPr>
        <w:tc>
          <w:tcPr>
            <w:tcW w:w="1751" w:type="dxa"/>
            <w:shd w:val="clear" w:color="auto" w:fill="F2F2F2" w:themeFill="background1" w:themeFillShade="F2"/>
          </w:tcPr>
          <w:p w14:paraId="1B70E0EF" w14:textId="77777777" w:rsidR="0044710E" w:rsidRPr="008E2A7B" w:rsidRDefault="0044710E" w:rsidP="0044710E">
            <w:pPr>
              <w:keepNext/>
              <w:jc w:val="both"/>
              <w:rPr>
                <w:b/>
                <w:sz w:val="20"/>
                <w:lang w:val="en-GB"/>
              </w:rPr>
            </w:pPr>
          </w:p>
        </w:tc>
        <w:tc>
          <w:tcPr>
            <w:tcW w:w="1199" w:type="dxa"/>
            <w:shd w:val="clear" w:color="auto" w:fill="F2F2F2" w:themeFill="background1" w:themeFillShade="F2"/>
          </w:tcPr>
          <w:p w14:paraId="5471EDE4" w14:textId="77777777" w:rsidR="0044710E" w:rsidRPr="008E2A7B" w:rsidRDefault="0044710E" w:rsidP="0044710E">
            <w:pPr>
              <w:keepNext/>
              <w:jc w:val="both"/>
              <w:rPr>
                <w:b/>
                <w:sz w:val="20"/>
                <w:lang w:val="en-GB"/>
              </w:rPr>
            </w:pPr>
            <w:r w:rsidRPr="008E2A7B">
              <w:rPr>
                <w:b/>
                <w:sz w:val="20"/>
                <w:lang w:val="en-GB"/>
              </w:rPr>
              <w:t>Investment</w:t>
            </w:r>
          </w:p>
          <w:p w14:paraId="31C01F18" w14:textId="77777777" w:rsidR="0044710E" w:rsidRPr="008E2A7B" w:rsidRDefault="0044710E" w:rsidP="0044710E">
            <w:pPr>
              <w:keepNext/>
              <w:jc w:val="both"/>
              <w:rPr>
                <w:b/>
                <w:sz w:val="20"/>
                <w:lang w:val="en-GB"/>
              </w:rPr>
            </w:pPr>
            <w:r w:rsidRPr="008E2A7B">
              <w:rPr>
                <w:b/>
                <w:sz w:val="20"/>
                <w:lang w:val="en-GB"/>
              </w:rPr>
              <w:t xml:space="preserve">(SEK/kW el) </w:t>
            </w:r>
          </w:p>
          <w:p w14:paraId="32759856" w14:textId="77777777" w:rsidR="0044710E" w:rsidRPr="008E2A7B" w:rsidRDefault="0044710E" w:rsidP="0044710E">
            <w:pPr>
              <w:keepNext/>
              <w:jc w:val="both"/>
              <w:rPr>
                <w:b/>
                <w:sz w:val="20"/>
                <w:lang w:val="en-GB"/>
              </w:rPr>
            </w:pPr>
          </w:p>
        </w:tc>
        <w:tc>
          <w:tcPr>
            <w:tcW w:w="1199" w:type="dxa"/>
            <w:shd w:val="clear" w:color="auto" w:fill="F2F2F2" w:themeFill="background1" w:themeFillShade="F2"/>
          </w:tcPr>
          <w:p w14:paraId="6461F30E" w14:textId="77777777" w:rsidR="0044710E" w:rsidRPr="008E2A7B" w:rsidRDefault="0044710E" w:rsidP="0044710E">
            <w:pPr>
              <w:keepNext/>
              <w:jc w:val="both"/>
              <w:rPr>
                <w:b/>
                <w:sz w:val="20"/>
                <w:lang w:val="en-GB"/>
              </w:rPr>
            </w:pPr>
            <w:r w:rsidRPr="008E2A7B">
              <w:rPr>
                <w:b/>
                <w:sz w:val="20"/>
                <w:lang w:val="en-GB"/>
              </w:rPr>
              <w:t>Fixed O&amp;M</w:t>
            </w:r>
          </w:p>
          <w:p w14:paraId="1CB65BCC" w14:textId="77777777" w:rsidR="0044710E" w:rsidRPr="008E2A7B" w:rsidRDefault="0044710E" w:rsidP="0044710E">
            <w:pPr>
              <w:keepNext/>
              <w:jc w:val="both"/>
              <w:rPr>
                <w:b/>
                <w:sz w:val="20"/>
                <w:lang w:val="en-GB"/>
              </w:rPr>
            </w:pPr>
            <w:r w:rsidRPr="008E2A7B">
              <w:rPr>
                <w:b/>
                <w:sz w:val="20"/>
                <w:lang w:val="en-GB"/>
              </w:rPr>
              <w:t>(SEK/kW el)</w:t>
            </w:r>
          </w:p>
        </w:tc>
        <w:tc>
          <w:tcPr>
            <w:tcW w:w="1449" w:type="dxa"/>
            <w:shd w:val="clear" w:color="auto" w:fill="F2F2F2" w:themeFill="background1" w:themeFillShade="F2"/>
          </w:tcPr>
          <w:p w14:paraId="1AEC5051" w14:textId="77777777" w:rsidR="0044710E" w:rsidRPr="008E2A7B" w:rsidRDefault="0044710E" w:rsidP="0044710E">
            <w:pPr>
              <w:keepNext/>
              <w:jc w:val="both"/>
              <w:rPr>
                <w:b/>
                <w:sz w:val="20"/>
                <w:lang w:val="en-GB"/>
              </w:rPr>
            </w:pPr>
            <w:r w:rsidRPr="008E2A7B">
              <w:rPr>
                <w:b/>
                <w:sz w:val="20"/>
                <w:lang w:val="en-GB"/>
              </w:rPr>
              <w:t>Variable O&amp;M</w:t>
            </w:r>
          </w:p>
          <w:p w14:paraId="76D1F788" w14:textId="77777777" w:rsidR="0044710E" w:rsidRPr="008E2A7B" w:rsidRDefault="0044710E" w:rsidP="0044710E">
            <w:pPr>
              <w:keepNext/>
              <w:jc w:val="both"/>
              <w:rPr>
                <w:b/>
                <w:sz w:val="20"/>
                <w:lang w:val="en-GB"/>
              </w:rPr>
            </w:pPr>
            <w:r w:rsidRPr="008E2A7B">
              <w:rPr>
                <w:b/>
                <w:sz w:val="20"/>
                <w:lang w:val="en-GB"/>
              </w:rPr>
              <w:t>(SEK/MWh el)</w:t>
            </w:r>
          </w:p>
        </w:tc>
        <w:tc>
          <w:tcPr>
            <w:tcW w:w="1092" w:type="dxa"/>
            <w:shd w:val="clear" w:color="auto" w:fill="F2F2F2" w:themeFill="background1" w:themeFillShade="F2"/>
          </w:tcPr>
          <w:p w14:paraId="701220E0" w14:textId="77777777" w:rsidR="0044710E" w:rsidRPr="008E2A7B" w:rsidRDefault="0044710E" w:rsidP="0044710E">
            <w:pPr>
              <w:keepNext/>
              <w:jc w:val="both"/>
              <w:rPr>
                <w:b/>
                <w:sz w:val="20"/>
                <w:lang w:val="en-GB"/>
              </w:rPr>
            </w:pPr>
            <w:r w:rsidRPr="008E2A7B">
              <w:rPr>
                <w:b/>
                <w:sz w:val="20"/>
                <w:lang w:val="en-GB"/>
              </w:rPr>
              <w:t>Efficiency (%)</w:t>
            </w:r>
          </w:p>
        </w:tc>
        <w:tc>
          <w:tcPr>
            <w:tcW w:w="1057" w:type="dxa"/>
            <w:shd w:val="clear" w:color="auto" w:fill="F2F2F2" w:themeFill="background1" w:themeFillShade="F2"/>
          </w:tcPr>
          <w:p w14:paraId="028436FA" w14:textId="77777777" w:rsidR="0044710E" w:rsidRPr="008E2A7B" w:rsidRDefault="0044710E" w:rsidP="0044710E">
            <w:pPr>
              <w:keepNext/>
              <w:jc w:val="both"/>
              <w:rPr>
                <w:b/>
                <w:sz w:val="20"/>
                <w:lang w:val="en-GB"/>
              </w:rPr>
            </w:pPr>
            <w:r w:rsidRPr="008E2A7B">
              <w:rPr>
                <w:b/>
                <w:sz w:val="20"/>
                <w:lang w:val="en-GB"/>
              </w:rPr>
              <w:t>Alpha value</w:t>
            </w:r>
          </w:p>
        </w:tc>
        <w:tc>
          <w:tcPr>
            <w:tcW w:w="991" w:type="dxa"/>
            <w:shd w:val="clear" w:color="auto" w:fill="F2F2F2" w:themeFill="background1" w:themeFillShade="F2"/>
          </w:tcPr>
          <w:p w14:paraId="253DC334" w14:textId="77777777" w:rsidR="0044710E" w:rsidRPr="008E2A7B" w:rsidRDefault="0044710E" w:rsidP="0044710E">
            <w:pPr>
              <w:keepNext/>
              <w:jc w:val="both"/>
              <w:rPr>
                <w:b/>
                <w:sz w:val="20"/>
                <w:lang w:val="en-GB"/>
              </w:rPr>
            </w:pPr>
            <w:r w:rsidRPr="008E2A7B">
              <w:rPr>
                <w:b/>
                <w:sz w:val="20"/>
                <w:lang w:val="en-GB"/>
              </w:rPr>
              <w:t>Service life</w:t>
            </w:r>
          </w:p>
          <w:p w14:paraId="4D766614" w14:textId="77777777" w:rsidR="0044710E" w:rsidRPr="008E2A7B" w:rsidRDefault="0044710E" w:rsidP="0044710E">
            <w:pPr>
              <w:keepNext/>
              <w:jc w:val="both"/>
              <w:rPr>
                <w:b/>
                <w:sz w:val="20"/>
                <w:lang w:val="en-GB"/>
              </w:rPr>
            </w:pPr>
            <w:r w:rsidRPr="008E2A7B">
              <w:rPr>
                <w:b/>
                <w:sz w:val="20"/>
                <w:lang w:val="en-GB"/>
              </w:rPr>
              <w:t>(year)</w:t>
            </w:r>
          </w:p>
        </w:tc>
      </w:tr>
      <w:tr w:rsidR="0044710E" w:rsidRPr="008E2A7B" w14:paraId="0897A316" w14:textId="77777777" w:rsidTr="009C6D77">
        <w:trPr>
          <w:trHeight w:val="467"/>
        </w:trPr>
        <w:tc>
          <w:tcPr>
            <w:tcW w:w="1751" w:type="dxa"/>
          </w:tcPr>
          <w:p w14:paraId="1EAEAF99" w14:textId="77777777" w:rsidR="0044710E" w:rsidRPr="008E2A7B" w:rsidRDefault="0044710E" w:rsidP="0044710E">
            <w:pPr>
              <w:keepNext/>
              <w:rPr>
                <w:b/>
                <w:sz w:val="20"/>
                <w:lang w:val="en-GB"/>
              </w:rPr>
            </w:pPr>
            <w:r w:rsidRPr="008E2A7B">
              <w:rPr>
                <w:b/>
                <w:sz w:val="20"/>
                <w:lang w:val="en-GB"/>
              </w:rPr>
              <w:t xml:space="preserve">Large plant </w:t>
            </w:r>
          </w:p>
          <w:p w14:paraId="2E933017" w14:textId="77777777" w:rsidR="0044710E" w:rsidRPr="008E2A7B" w:rsidRDefault="0044710E" w:rsidP="0044710E">
            <w:pPr>
              <w:keepNext/>
              <w:rPr>
                <w:b/>
                <w:sz w:val="20"/>
                <w:lang w:val="en-GB"/>
              </w:rPr>
            </w:pPr>
            <w:r w:rsidRPr="008E2A7B">
              <w:rPr>
                <w:b/>
                <w:sz w:val="20"/>
                <w:lang w:val="en-GB"/>
              </w:rPr>
              <w:t>(app 80 MW el)</w:t>
            </w:r>
          </w:p>
        </w:tc>
        <w:tc>
          <w:tcPr>
            <w:tcW w:w="1199" w:type="dxa"/>
          </w:tcPr>
          <w:p w14:paraId="5FA89BF9" w14:textId="77777777" w:rsidR="0044710E" w:rsidRPr="008E2A7B" w:rsidRDefault="0044710E" w:rsidP="0044710E">
            <w:pPr>
              <w:keepNext/>
              <w:jc w:val="center"/>
              <w:rPr>
                <w:sz w:val="20"/>
                <w:lang w:val="en-GB"/>
              </w:rPr>
            </w:pPr>
            <w:r w:rsidRPr="008E2A7B">
              <w:rPr>
                <w:sz w:val="20"/>
                <w:lang w:val="en-GB"/>
              </w:rPr>
              <w:t>25,500</w:t>
            </w:r>
          </w:p>
          <w:p w14:paraId="62749372" w14:textId="77777777" w:rsidR="0044710E" w:rsidRPr="008E2A7B" w:rsidRDefault="0044710E" w:rsidP="0044710E">
            <w:pPr>
              <w:keepNext/>
              <w:jc w:val="center"/>
              <w:rPr>
                <w:sz w:val="20"/>
                <w:lang w:val="en-GB"/>
              </w:rPr>
            </w:pPr>
          </w:p>
        </w:tc>
        <w:tc>
          <w:tcPr>
            <w:tcW w:w="1199" w:type="dxa"/>
          </w:tcPr>
          <w:p w14:paraId="2D495D26" w14:textId="77777777" w:rsidR="0044710E" w:rsidRPr="008E2A7B" w:rsidRDefault="0044710E" w:rsidP="0044710E">
            <w:pPr>
              <w:keepNext/>
              <w:jc w:val="center"/>
              <w:rPr>
                <w:sz w:val="20"/>
                <w:lang w:val="en-GB"/>
              </w:rPr>
            </w:pPr>
            <w:r w:rsidRPr="008E2A7B">
              <w:rPr>
                <w:sz w:val="20"/>
                <w:lang w:val="en-GB"/>
              </w:rPr>
              <w:t>380</w:t>
            </w:r>
          </w:p>
          <w:p w14:paraId="72874162" w14:textId="77777777" w:rsidR="0044710E" w:rsidRPr="008E2A7B" w:rsidRDefault="0044710E" w:rsidP="0044710E">
            <w:pPr>
              <w:keepNext/>
              <w:jc w:val="center"/>
              <w:rPr>
                <w:sz w:val="20"/>
                <w:lang w:val="en-GB"/>
              </w:rPr>
            </w:pPr>
          </w:p>
        </w:tc>
        <w:tc>
          <w:tcPr>
            <w:tcW w:w="1449" w:type="dxa"/>
          </w:tcPr>
          <w:p w14:paraId="49E450DA" w14:textId="77777777" w:rsidR="0044710E" w:rsidRPr="008E2A7B" w:rsidRDefault="0044710E" w:rsidP="0044710E">
            <w:pPr>
              <w:keepNext/>
              <w:jc w:val="center"/>
              <w:rPr>
                <w:sz w:val="20"/>
                <w:lang w:val="en-GB"/>
              </w:rPr>
            </w:pPr>
            <w:r w:rsidRPr="008E2A7B">
              <w:rPr>
                <w:sz w:val="20"/>
                <w:lang w:val="en-GB"/>
              </w:rPr>
              <w:t>80</w:t>
            </w:r>
          </w:p>
        </w:tc>
        <w:tc>
          <w:tcPr>
            <w:tcW w:w="1092" w:type="dxa"/>
          </w:tcPr>
          <w:p w14:paraId="56FE8599" w14:textId="77777777" w:rsidR="0044710E" w:rsidRPr="008E2A7B" w:rsidRDefault="0044710E" w:rsidP="0044710E">
            <w:pPr>
              <w:keepNext/>
              <w:jc w:val="center"/>
              <w:rPr>
                <w:sz w:val="20"/>
                <w:lang w:val="en-GB"/>
              </w:rPr>
            </w:pPr>
            <w:r w:rsidRPr="008E2A7B">
              <w:rPr>
                <w:sz w:val="20"/>
                <w:lang w:val="en-GB"/>
              </w:rPr>
              <w:t>30-32 (el)</w:t>
            </w:r>
          </w:p>
        </w:tc>
        <w:tc>
          <w:tcPr>
            <w:tcW w:w="1057" w:type="dxa"/>
          </w:tcPr>
          <w:p w14:paraId="7D582694" w14:textId="77777777" w:rsidR="0044710E" w:rsidRPr="008E2A7B" w:rsidRDefault="0044710E" w:rsidP="0044710E">
            <w:pPr>
              <w:keepNext/>
              <w:jc w:val="center"/>
              <w:rPr>
                <w:sz w:val="20"/>
                <w:lang w:val="en-GB"/>
              </w:rPr>
            </w:pPr>
            <w:r w:rsidRPr="008E2A7B">
              <w:rPr>
                <w:sz w:val="20"/>
                <w:lang w:val="en-GB"/>
              </w:rPr>
              <w:t>0.38-0.41</w:t>
            </w:r>
          </w:p>
        </w:tc>
        <w:tc>
          <w:tcPr>
            <w:tcW w:w="991" w:type="dxa"/>
          </w:tcPr>
          <w:p w14:paraId="39CD0077" w14:textId="77777777" w:rsidR="0044710E" w:rsidRPr="008E2A7B" w:rsidRDefault="0044710E" w:rsidP="0044710E">
            <w:pPr>
              <w:keepNext/>
              <w:jc w:val="center"/>
              <w:rPr>
                <w:sz w:val="20"/>
                <w:lang w:val="en-GB"/>
              </w:rPr>
            </w:pPr>
            <w:r w:rsidRPr="008E2A7B">
              <w:rPr>
                <w:sz w:val="20"/>
                <w:lang w:val="en-GB"/>
              </w:rPr>
              <w:t>30</w:t>
            </w:r>
          </w:p>
        </w:tc>
      </w:tr>
      <w:tr w:rsidR="0044710E" w:rsidRPr="008E2A7B" w14:paraId="5C07B466" w14:textId="77777777" w:rsidTr="009C6D77">
        <w:trPr>
          <w:trHeight w:val="467"/>
        </w:trPr>
        <w:tc>
          <w:tcPr>
            <w:tcW w:w="1751" w:type="dxa"/>
            <w:tcBorders>
              <w:bottom w:val="nil"/>
            </w:tcBorders>
          </w:tcPr>
          <w:p w14:paraId="3C582BE7" w14:textId="77777777" w:rsidR="0044710E" w:rsidRPr="008E2A7B" w:rsidRDefault="0044710E" w:rsidP="0044710E">
            <w:pPr>
              <w:keepNext/>
              <w:rPr>
                <w:b/>
                <w:sz w:val="20"/>
                <w:lang w:val="en-GB"/>
              </w:rPr>
            </w:pPr>
            <w:r w:rsidRPr="008E2A7B">
              <w:rPr>
                <w:b/>
                <w:sz w:val="20"/>
                <w:lang w:val="en-GB"/>
              </w:rPr>
              <w:t>Medium plant</w:t>
            </w:r>
          </w:p>
          <w:p w14:paraId="1D991D81" w14:textId="77777777" w:rsidR="0044710E" w:rsidRPr="008E2A7B" w:rsidRDefault="0044710E" w:rsidP="0044710E">
            <w:pPr>
              <w:keepNext/>
              <w:rPr>
                <w:b/>
                <w:sz w:val="20"/>
                <w:lang w:val="en-GB"/>
              </w:rPr>
            </w:pPr>
            <w:r w:rsidRPr="008E2A7B">
              <w:rPr>
                <w:b/>
                <w:sz w:val="20"/>
                <w:lang w:val="en-GB"/>
              </w:rPr>
              <w:t>(app 30 MW el)</w:t>
            </w:r>
          </w:p>
        </w:tc>
        <w:tc>
          <w:tcPr>
            <w:tcW w:w="1199" w:type="dxa"/>
            <w:tcBorders>
              <w:bottom w:val="nil"/>
            </w:tcBorders>
          </w:tcPr>
          <w:p w14:paraId="160D9683" w14:textId="77777777" w:rsidR="0044710E" w:rsidRPr="008E2A7B" w:rsidRDefault="0044710E" w:rsidP="0044710E">
            <w:pPr>
              <w:keepNext/>
              <w:jc w:val="center"/>
              <w:rPr>
                <w:sz w:val="20"/>
                <w:lang w:val="en-GB"/>
              </w:rPr>
            </w:pPr>
            <w:r w:rsidRPr="008E2A7B">
              <w:rPr>
                <w:sz w:val="20"/>
                <w:lang w:val="en-GB"/>
              </w:rPr>
              <w:t>34,500</w:t>
            </w:r>
          </w:p>
        </w:tc>
        <w:tc>
          <w:tcPr>
            <w:tcW w:w="1199" w:type="dxa"/>
            <w:tcBorders>
              <w:bottom w:val="nil"/>
            </w:tcBorders>
          </w:tcPr>
          <w:p w14:paraId="2253DF5B" w14:textId="77777777" w:rsidR="0044710E" w:rsidRPr="008E2A7B" w:rsidRDefault="0044710E" w:rsidP="0044710E">
            <w:pPr>
              <w:keepNext/>
              <w:jc w:val="center"/>
              <w:rPr>
                <w:sz w:val="20"/>
                <w:lang w:val="en-GB"/>
              </w:rPr>
            </w:pPr>
            <w:r w:rsidRPr="008E2A7B">
              <w:rPr>
                <w:sz w:val="20"/>
                <w:lang w:val="en-GB"/>
              </w:rPr>
              <w:t>580</w:t>
            </w:r>
          </w:p>
        </w:tc>
        <w:tc>
          <w:tcPr>
            <w:tcW w:w="1449" w:type="dxa"/>
            <w:tcBorders>
              <w:bottom w:val="nil"/>
            </w:tcBorders>
          </w:tcPr>
          <w:p w14:paraId="06AC6FA4" w14:textId="77777777" w:rsidR="0044710E" w:rsidRPr="008E2A7B" w:rsidRDefault="0044710E" w:rsidP="0044710E">
            <w:pPr>
              <w:keepNext/>
              <w:jc w:val="center"/>
              <w:rPr>
                <w:sz w:val="20"/>
                <w:lang w:val="en-GB"/>
              </w:rPr>
            </w:pPr>
            <w:r w:rsidRPr="008E2A7B">
              <w:rPr>
                <w:sz w:val="20"/>
                <w:lang w:val="en-GB"/>
              </w:rPr>
              <w:t>85</w:t>
            </w:r>
          </w:p>
        </w:tc>
        <w:tc>
          <w:tcPr>
            <w:tcW w:w="1092" w:type="dxa"/>
            <w:tcBorders>
              <w:bottom w:val="nil"/>
            </w:tcBorders>
          </w:tcPr>
          <w:p w14:paraId="2043A84B" w14:textId="77777777" w:rsidR="0044710E" w:rsidRPr="008E2A7B" w:rsidRDefault="0044710E" w:rsidP="0044710E">
            <w:pPr>
              <w:keepNext/>
              <w:jc w:val="center"/>
              <w:rPr>
                <w:sz w:val="20"/>
                <w:lang w:val="en-GB"/>
              </w:rPr>
            </w:pPr>
            <w:r w:rsidRPr="008E2A7B">
              <w:rPr>
                <w:sz w:val="20"/>
                <w:lang w:val="en-GB"/>
              </w:rPr>
              <w:t>28-30 (el)</w:t>
            </w:r>
          </w:p>
        </w:tc>
        <w:tc>
          <w:tcPr>
            <w:tcW w:w="1057" w:type="dxa"/>
            <w:tcBorders>
              <w:bottom w:val="nil"/>
            </w:tcBorders>
          </w:tcPr>
          <w:p w14:paraId="5E9C042F" w14:textId="77777777" w:rsidR="0044710E" w:rsidRPr="008E2A7B" w:rsidRDefault="0044710E" w:rsidP="0044710E">
            <w:pPr>
              <w:keepNext/>
              <w:jc w:val="center"/>
              <w:rPr>
                <w:sz w:val="20"/>
                <w:lang w:val="en-GB"/>
              </w:rPr>
            </w:pPr>
            <w:r w:rsidRPr="008E2A7B">
              <w:rPr>
                <w:sz w:val="20"/>
                <w:lang w:val="en-GB"/>
              </w:rPr>
              <w:t>0.35-0.39</w:t>
            </w:r>
          </w:p>
        </w:tc>
        <w:tc>
          <w:tcPr>
            <w:tcW w:w="991" w:type="dxa"/>
            <w:tcBorders>
              <w:bottom w:val="nil"/>
            </w:tcBorders>
          </w:tcPr>
          <w:p w14:paraId="22596F18" w14:textId="77777777" w:rsidR="0044710E" w:rsidRPr="008E2A7B" w:rsidRDefault="0044710E" w:rsidP="0044710E">
            <w:pPr>
              <w:keepNext/>
              <w:jc w:val="center"/>
              <w:rPr>
                <w:sz w:val="20"/>
                <w:lang w:val="en-GB"/>
              </w:rPr>
            </w:pPr>
            <w:r w:rsidRPr="008E2A7B">
              <w:rPr>
                <w:sz w:val="20"/>
                <w:lang w:val="en-GB"/>
              </w:rPr>
              <w:t>30</w:t>
            </w:r>
          </w:p>
        </w:tc>
      </w:tr>
      <w:tr w:rsidR="0044710E" w:rsidRPr="008E2A7B" w14:paraId="3AEF79E9" w14:textId="77777777" w:rsidTr="009C6D77">
        <w:trPr>
          <w:cnfStyle w:val="010000000000" w:firstRow="0" w:lastRow="1" w:firstColumn="0" w:lastColumn="0" w:oddVBand="0" w:evenVBand="0" w:oddHBand="0" w:evenHBand="0" w:firstRowFirstColumn="0" w:firstRowLastColumn="0" w:lastRowFirstColumn="0" w:lastRowLastColumn="0"/>
          <w:trHeight w:val="452"/>
        </w:trPr>
        <w:tc>
          <w:tcPr>
            <w:tcW w:w="1751" w:type="dxa"/>
            <w:tcBorders>
              <w:top w:val="nil"/>
              <w:bottom w:val="single" w:sz="12" w:space="0" w:color="008000"/>
            </w:tcBorders>
          </w:tcPr>
          <w:p w14:paraId="2EA08E3D" w14:textId="77777777" w:rsidR="0044710E" w:rsidRPr="008E2A7B" w:rsidRDefault="0044710E" w:rsidP="0044710E">
            <w:pPr>
              <w:keepNext/>
              <w:rPr>
                <w:b/>
                <w:sz w:val="20"/>
                <w:lang w:val="en-GB"/>
              </w:rPr>
            </w:pPr>
            <w:r w:rsidRPr="008E2A7B">
              <w:rPr>
                <w:b/>
                <w:sz w:val="20"/>
                <w:lang w:val="en-GB"/>
              </w:rPr>
              <w:t>Small plant</w:t>
            </w:r>
          </w:p>
          <w:p w14:paraId="607D8430" w14:textId="77777777" w:rsidR="0044710E" w:rsidRPr="008E2A7B" w:rsidRDefault="0044710E" w:rsidP="0044710E">
            <w:pPr>
              <w:keepNext/>
              <w:rPr>
                <w:b/>
                <w:sz w:val="20"/>
                <w:lang w:val="en-GB"/>
              </w:rPr>
            </w:pPr>
            <w:r w:rsidRPr="008E2A7B">
              <w:rPr>
                <w:b/>
                <w:sz w:val="20"/>
                <w:lang w:val="en-GB"/>
              </w:rPr>
              <w:t>(app 10 MW el)</w:t>
            </w:r>
          </w:p>
        </w:tc>
        <w:tc>
          <w:tcPr>
            <w:tcW w:w="1199" w:type="dxa"/>
            <w:tcBorders>
              <w:top w:val="nil"/>
              <w:bottom w:val="single" w:sz="12" w:space="0" w:color="008000"/>
            </w:tcBorders>
          </w:tcPr>
          <w:p w14:paraId="4A4510F6" w14:textId="77777777" w:rsidR="0044710E" w:rsidRPr="008E2A7B" w:rsidRDefault="0044710E" w:rsidP="0044710E">
            <w:pPr>
              <w:keepNext/>
              <w:jc w:val="center"/>
              <w:rPr>
                <w:sz w:val="20"/>
                <w:lang w:val="en-GB"/>
              </w:rPr>
            </w:pPr>
            <w:r w:rsidRPr="008E2A7B">
              <w:rPr>
                <w:sz w:val="20"/>
                <w:lang w:val="en-GB"/>
              </w:rPr>
              <w:t>45,000</w:t>
            </w:r>
          </w:p>
          <w:p w14:paraId="56A879F1" w14:textId="77777777" w:rsidR="0044710E" w:rsidRPr="008E2A7B" w:rsidRDefault="0044710E" w:rsidP="0044710E">
            <w:pPr>
              <w:keepNext/>
              <w:jc w:val="center"/>
              <w:rPr>
                <w:sz w:val="20"/>
                <w:lang w:val="en-GB"/>
              </w:rPr>
            </w:pPr>
          </w:p>
        </w:tc>
        <w:tc>
          <w:tcPr>
            <w:tcW w:w="1199" w:type="dxa"/>
            <w:tcBorders>
              <w:top w:val="nil"/>
              <w:bottom w:val="single" w:sz="12" w:space="0" w:color="008000"/>
            </w:tcBorders>
          </w:tcPr>
          <w:p w14:paraId="185B04D2" w14:textId="77777777" w:rsidR="0044710E" w:rsidRPr="008E2A7B" w:rsidRDefault="0044710E" w:rsidP="0044710E">
            <w:pPr>
              <w:keepNext/>
              <w:jc w:val="center"/>
              <w:rPr>
                <w:sz w:val="20"/>
                <w:lang w:val="en-GB"/>
              </w:rPr>
            </w:pPr>
            <w:r w:rsidRPr="008E2A7B">
              <w:rPr>
                <w:sz w:val="20"/>
                <w:lang w:val="en-GB"/>
              </w:rPr>
              <w:t>920</w:t>
            </w:r>
          </w:p>
          <w:p w14:paraId="76D49FD6" w14:textId="77777777" w:rsidR="0044710E" w:rsidRPr="008E2A7B" w:rsidRDefault="0044710E" w:rsidP="0044710E">
            <w:pPr>
              <w:keepNext/>
              <w:jc w:val="center"/>
              <w:rPr>
                <w:sz w:val="20"/>
                <w:lang w:val="en-GB"/>
              </w:rPr>
            </w:pPr>
          </w:p>
        </w:tc>
        <w:tc>
          <w:tcPr>
            <w:tcW w:w="1449" w:type="dxa"/>
            <w:tcBorders>
              <w:top w:val="nil"/>
              <w:bottom w:val="single" w:sz="12" w:space="0" w:color="008000"/>
            </w:tcBorders>
          </w:tcPr>
          <w:p w14:paraId="5604D3BF" w14:textId="77777777" w:rsidR="0044710E" w:rsidRPr="008E2A7B" w:rsidRDefault="0044710E" w:rsidP="0044710E">
            <w:pPr>
              <w:keepNext/>
              <w:jc w:val="center"/>
              <w:rPr>
                <w:sz w:val="20"/>
                <w:lang w:val="en-GB"/>
              </w:rPr>
            </w:pPr>
            <w:r w:rsidRPr="008E2A7B">
              <w:rPr>
                <w:sz w:val="20"/>
                <w:lang w:val="en-GB"/>
              </w:rPr>
              <w:t>85</w:t>
            </w:r>
          </w:p>
          <w:p w14:paraId="123C1BBC" w14:textId="77777777" w:rsidR="0044710E" w:rsidRPr="008E2A7B" w:rsidRDefault="0044710E" w:rsidP="0044710E">
            <w:pPr>
              <w:keepNext/>
              <w:jc w:val="center"/>
              <w:rPr>
                <w:sz w:val="20"/>
                <w:lang w:val="en-GB"/>
              </w:rPr>
            </w:pPr>
          </w:p>
        </w:tc>
        <w:tc>
          <w:tcPr>
            <w:tcW w:w="1092" w:type="dxa"/>
            <w:tcBorders>
              <w:top w:val="nil"/>
              <w:bottom w:val="single" w:sz="12" w:space="0" w:color="008000"/>
            </w:tcBorders>
          </w:tcPr>
          <w:p w14:paraId="2700AA81" w14:textId="77777777" w:rsidR="0044710E" w:rsidRPr="008E2A7B" w:rsidRDefault="0044710E" w:rsidP="0044710E">
            <w:pPr>
              <w:keepNext/>
              <w:jc w:val="center"/>
              <w:rPr>
                <w:sz w:val="20"/>
                <w:lang w:val="en-GB"/>
              </w:rPr>
            </w:pPr>
            <w:r w:rsidRPr="008E2A7B">
              <w:rPr>
                <w:sz w:val="20"/>
                <w:lang w:val="en-GB"/>
              </w:rPr>
              <w:t>25-27 (el)</w:t>
            </w:r>
          </w:p>
        </w:tc>
        <w:tc>
          <w:tcPr>
            <w:tcW w:w="1057" w:type="dxa"/>
            <w:tcBorders>
              <w:top w:val="nil"/>
              <w:bottom w:val="single" w:sz="12" w:space="0" w:color="008000"/>
            </w:tcBorders>
          </w:tcPr>
          <w:p w14:paraId="5F99DAF9" w14:textId="77777777" w:rsidR="0044710E" w:rsidRPr="008E2A7B" w:rsidRDefault="0044710E" w:rsidP="0044710E">
            <w:pPr>
              <w:keepNext/>
              <w:jc w:val="center"/>
              <w:rPr>
                <w:sz w:val="20"/>
                <w:lang w:val="en-GB"/>
              </w:rPr>
            </w:pPr>
            <w:r w:rsidRPr="008E2A7B">
              <w:rPr>
                <w:sz w:val="20"/>
                <w:lang w:val="en-GB"/>
              </w:rPr>
              <w:t>0.32-0.34</w:t>
            </w:r>
          </w:p>
        </w:tc>
        <w:tc>
          <w:tcPr>
            <w:tcW w:w="991" w:type="dxa"/>
            <w:tcBorders>
              <w:top w:val="nil"/>
              <w:bottom w:val="single" w:sz="12" w:space="0" w:color="008000"/>
            </w:tcBorders>
          </w:tcPr>
          <w:p w14:paraId="2C726092" w14:textId="77777777" w:rsidR="0044710E" w:rsidRPr="008E2A7B" w:rsidRDefault="0044710E" w:rsidP="0044710E">
            <w:pPr>
              <w:keepNext/>
              <w:jc w:val="center"/>
              <w:rPr>
                <w:sz w:val="20"/>
                <w:lang w:val="en-GB"/>
              </w:rPr>
            </w:pPr>
            <w:r w:rsidRPr="008E2A7B">
              <w:rPr>
                <w:sz w:val="20"/>
                <w:lang w:val="en-GB"/>
              </w:rPr>
              <w:t>30</w:t>
            </w:r>
          </w:p>
        </w:tc>
      </w:tr>
    </w:tbl>
    <w:p w14:paraId="1024B451" w14:textId="77777777" w:rsidR="0044710E" w:rsidRPr="008E2A7B" w:rsidRDefault="0044710E" w:rsidP="0044710E">
      <w:pPr>
        <w:pStyle w:val="Brdtext"/>
        <w:rPr>
          <w:u w:val="single"/>
          <w:lang w:val="en-GB"/>
        </w:rPr>
      </w:pPr>
    </w:p>
    <w:p w14:paraId="6B2644A4" w14:textId="77777777" w:rsidR="0044710E" w:rsidRPr="008E2A7B" w:rsidRDefault="0044710E" w:rsidP="0044710E">
      <w:pPr>
        <w:pStyle w:val="Brdtext"/>
        <w:rPr>
          <w:u w:val="single"/>
          <w:lang w:val="en-GB"/>
        </w:rPr>
      </w:pPr>
      <w:r w:rsidRPr="008E2A7B">
        <w:rPr>
          <w:u w:val="single"/>
          <w:lang w:val="en-GB"/>
        </w:rPr>
        <w:t>Natural gas-fired CHP plant</w:t>
      </w:r>
    </w:p>
    <w:p w14:paraId="362430C7" w14:textId="7EB9629A" w:rsidR="0044710E" w:rsidRPr="008E2A7B" w:rsidRDefault="0044710E" w:rsidP="0044710E">
      <w:pPr>
        <w:pStyle w:val="Beskrivning"/>
        <w:rPr>
          <w:b w:val="0"/>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12</w:t>
      </w:r>
      <w:r w:rsidRPr="008E2A7B">
        <w:rPr>
          <w:lang w:val="en-GB"/>
        </w:rPr>
        <w:fldChar w:fldCharType="end"/>
      </w:r>
      <w:r w:rsidRPr="008E2A7B">
        <w:rPr>
          <w:szCs w:val="20"/>
          <w:lang w:val="en-GB"/>
        </w:rPr>
        <w:t xml:space="preserve"> Typical data for gas-based power and CHP production</w:t>
      </w:r>
    </w:p>
    <w:tbl>
      <w:tblPr>
        <w:tblStyle w:val="Enkeltabell1"/>
        <w:tblW w:w="8819" w:type="dxa"/>
        <w:tblLayout w:type="fixed"/>
        <w:tblLook w:val="01E0" w:firstRow="1" w:lastRow="1" w:firstColumn="1" w:lastColumn="1" w:noHBand="0" w:noVBand="0"/>
      </w:tblPr>
      <w:tblGrid>
        <w:gridCol w:w="1726"/>
        <w:gridCol w:w="1182"/>
        <w:gridCol w:w="1182"/>
        <w:gridCol w:w="1297"/>
        <w:gridCol w:w="1210"/>
        <w:gridCol w:w="133"/>
        <w:gridCol w:w="907"/>
        <w:gridCol w:w="170"/>
        <w:gridCol w:w="1012"/>
      </w:tblGrid>
      <w:tr w:rsidR="0044710E" w:rsidRPr="008E2A7B" w14:paraId="27A60919" w14:textId="77777777" w:rsidTr="009C6D77">
        <w:trPr>
          <w:cnfStyle w:val="100000000000" w:firstRow="1" w:lastRow="0" w:firstColumn="0" w:lastColumn="0" w:oddVBand="0" w:evenVBand="0" w:oddHBand="0" w:evenHBand="0" w:firstRowFirstColumn="0" w:firstRowLastColumn="0" w:lastRowFirstColumn="0" w:lastRowLastColumn="0"/>
          <w:trHeight w:val="898"/>
        </w:trPr>
        <w:tc>
          <w:tcPr>
            <w:tcW w:w="1726" w:type="dxa"/>
            <w:shd w:val="clear" w:color="auto" w:fill="F2F2F2" w:themeFill="background1" w:themeFillShade="F2"/>
          </w:tcPr>
          <w:p w14:paraId="25701D08" w14:textId="77777777" w:rsidR="0044710E" w:rsidRPr="008E2A7B" w:rsidRDefault="0044710E" w:rsidP="0044710E">
            <w:pPr>
              <w:keepNext/>
              <w:jc w:val="both"/>
              <w:rPr>
                <w:b/>
                <w:sz w:val="20"/>
                <w:lang w:val="en-GB"/>
              </w:rPr>
            </w:pPr>
          </w:p>
        </w:tc>
        <w:tc>
          <w:tcPr>
            <w:tcW w:w="1182" w:type="dxa"/>
            <w:shd w:val="clear" w:color="auto" w:fill="F2F2F2" w:themeFill="background1" w:themeFillShade="F2"/>
          </w:tcPr>
          <w:p w14:paraId="59169478" w14:textId="77777777" w:rsidR="0044710E" w:rsidRPr="008E2A7B" w:rsidRDefault="0044710E" w:rsidP="0044710E">
            <w:pPr>
              <w:keepNext/>
              <w:jc w:val="both"/>
              <w:rPr>
                <w:b/>
                <w:sz w:val="20"/>
                <w:lang w:val="en-GB"/>
              </w:rPr>
            </w:pPr>
            <w:r w:rsidRPr="008E2A7B">
              <w:rPr>
                <w:b/>
                <w:sz w:val="20"/>
                <w:lang w:val="en-GB"/>
              </w:rPr>
              <w:t>Investment</w:t>
            </w:r>
          </w:p>
          <w:p w14:paraId="524AB442" w14:textId="77777777" w:rsidR="0044710E" w:rsidRPr="008E2A7B" w:rsidRDefault="0044710E" w:rsidP="0044710E">
            <w:pPr>
              <w:keepNext/>
              <w:jc w:val="both"/>
              <w:rPr>
                <w:b/>
                <w:sz w:val="20"/>
                <w:lang w:val="en-GB"/>
              </w:rPr>
            </w:pPr>
            <w:r w:rsidRPr="008E2A7B">
              <w:rPr>
                <w:b/>
                <w:sz w:val="20"/>
                <w:lang w:val="en-GB"/>
              </w:rPr>
              <w:t>(SEK/kW el)</w:t>
            </w:r>
          </w:p>
          <w:p w14:paraId="16F21AB3" w14:textId="77777777" w:rsidR="0044710E" w:rsidRPr="008E2A7B" w:rsidRDefault="0044710E" w:rsidP="0044710E">
            <w:pPr>
              <w:keepNext/>
              <w:jc w:val="both"/>
              <w:rPr>
                <w:b/>
                <w:sz w:val="20"/>
                <w:lang w:val="en-GB"/>
              </w:rPr>
            </w:pPr>
          </w:p>
        </w:tc>
        <w:tc>
          <w:tcPr>
            <w:tcW w:w="1182" w:type="dxa"/>
            <w:shd w:val="clear" w:color="auto" w:fill="F2F2F2" w:themeFill="background1" w:themeFillShade="F2"/>
          </w:tcPr>
          <w:p w14:paraId="60F70CE2" w14:textId="77777777" w:rsidR="0044710E" w:rsidRPr="008E2A7B" w:rsidRDefault="0044710E" w:rsidP="0044710E">
            <w:pPr>
              <w:keepNext/>
              <w:jc w:val="both"/>
              <w:rPr>
                <w:b/>
                <w:sz w:val="20"/>
                <w:lang w:val="en-GB"/>
              </w:rPr>
            </w:pPr>
            <w:r w:rsidRPr="008E2A7B">
              <w:rPr>
                <w:b/>
                <w:sz w:val="20"/>
                <w:lang w:val="en-GB"/>
              </w:rPr>
              <w:t>Fixed O&amp;M</w:t>
            </w:r>
          </w:p>
          <w:p w14:paraId="00B61B5D" w14:textId="77777777" w:rsidR="0044710E" w:rsidRPr="008E2A7B" w:rsidRDefault="0044710E" w:rsidP="0044710E">
            <w:pPr>
              <w:keepNext/>
              <w:jc w:val="both"/>
              <w:rPr>
                <w:b/>
                <w:sz w:val="20"/>
                <w:lang w:val="en-GB"/>
              </w:rPr>
            </w:pPr>
            <w:r w:rsidRPr="008E2A7B">
              <w:rPr>
                <w:b/>
                <w:sz w:val="20"/>
                <w:lang w:val="en-GB"/>
              </w:rPr>
              <w:t>(SEK/kW el)</w:t>
            </w:r>
          </w:p>
        </w:tc>
        <w:tc>
          <w:tcPr>
            <w:tcW w:w="1297" w:type="dxa"/>
            <w:shd w:val="clear" w:color="auto" w:fill="F2F2F2" w:themeFill="background1" w:themeFillShade="F2"/>
          </w:tcPr>
          <w:p w14:paraId="6544696B" w14:textId="77777777" w:rsidR="0044710E" w:rsidRPr="008E2A7B" w:rsidRDefault="0044710E" w:rsidP="0044710E">
            <w:pPr>
              <w:keepNext/>
              <w:jc w:val="both"/>
              <w:rPr>
                <w:b/>
                <w:sz w:val="20"/>
                <w:lang w:val="en-GB"/>
              </w:rPr>
            </w:pPr>
            <w:r w:rsidRPr="008E2A7B">
              <w:rPr>
                <w:b/>
                <w:sz w:val="20"/>
                <w:lang w:val="en-GB"/>
              </w:rPr>
              <w:t>Variable O&amp;M</w:t>
            </w:r>
          </w:p>
          <w:p w14:paraId="0C8D1547" w14:textId="77777777" w:rsidR="0044710E" w:rsidRPr="008E2A7B" w:rsidRDefault="0044710E" w:rsidP="0044710E">
            <w:pPr>
              <w:keepNext/>
              <w:jc w:val="both"/>
              <w:rPr>
                <w:b/>
                <w:sz w:val="20"/>
                <w:lang w:val="en-GB"/>
              </w:rPr>
            </w:pPr>
            <w:r w:rsidRPr="008E2A7B">
              <w:rPr>
                <w:b/>
                <w:sz w:val="20"/>
                <w:lang w:val="en-GB"/>
              </w:rPr>
              <w:t>(SEK/MWh el)</w:t>
            </w:r>
          </w:p>
        </w:tc>
        <w:tc>
          <w:tcPr>
            <w:tcW w:w="1343" w:type="dxa"/>
            <w:gridSpan w:val="2"/>
            <w:shd w:val="clear" w:color="auto" w:fill="F2F2F2" w:themeFill="background1" w:themeFillShade="F2"/>
          </w:tcPr>
          <w:p w14:paraId="1B75F6D9" w14:textId="77777777" w:rsidR="0044710E" w:rsidRPr="008E2A7B" w:rsidRDefault="0044710E" w:rsidP="0044710E">
            <w:pPr>
              <w:keepNext/>
              <w:jc w:val="both"/>
              <w:rPr>
                <w:b/>
                <w:sz w:val="20"/>
                <w:lang w:val="en-GB"/>
              </w:rPr>
            </w:pPr>
            <w:r w:rsidRPr="008E2A7B">
              <w:rPr>
                <w:b/>
                <w:sz w:val="20"/>
                <w:lang w:val="en-GB"/>
              </w:rPr>
              <w:t>Efficiency (%)</w:t>
            </w:r>
            <w:r w:rsidRPr="008E2A7B">
              <w:rPr>
                <w:b/>
                <w:sz w:val="20"/>
                <w:vertAlign w:val="superscript"/>
                <w:lang w:val="en-GB"/>
              </w:rPr>
              <w:t>1)</w:t>
            </w:r>
          </w:p>
        </w:tc>
        <w:tc>
          <w:tcPr>
            <w:tcW w:w="1077" w:type="dxa"/>
            <w:gridSpan w:val="2"/>
            <w:shd w:val="clear" w:color="auto" w:fill="F2F2F2" w:themeFill="background1" w:themeFillShade="F2"/>
          </w:tcPr>
          <w:p w14:paraId="178BA333" w14:textId="77777777" w:rsidR="0044710E" w:rsidRPr="008E2A7B" w:rsidRDefault="0044710E" w:rsidP="0044710E">
            <w:pPr>
              <w:keepNext/>
              <w:jc w:val="both"/>
              <w:rPr>
                <w:b/>
                <w:sz w:val="20"/>
                <w:lang w:val="en-GB"/>
              </w:rPr>
            </w:pPr>
            <w:r w:rsidRPr="008E2A7B">
              <w:rPr>
                <w:b/>
                <w:sz w:val="20"/>
                <w:lang w:val="en-GB"/>
              </w:rPr>
              <w:t>Alpha value</w:t>
            </w:r>
          </w:p>
        </w:tc>
        <w:tc>
          <w:tcPr>
            <w:tcW w:w="1012" w:type="dxa"/>
            <w:shd w:val="clear" w:color="auto" w:fill="F2F2F2" w:themeFill="background1" w:themeFillShade="F2"/>
          </w:tcPr>
          <w:p w14:paraId="63009020" w14:textId="77777777" w:rsidR="0044710E" w:rsidRPr="008E2A7B" w:rsidRDefault="0044710E" w:rsidP="0044710E">
            <w:pPr>
              <w:keepNext/>
              <w:jc w:val="both"/>
              <w:rPr>
                <w:b/>
                <w:sz w:val="20"/>
                <w:lang w:val="en-GB"/>
              </w:rPr>
            </w:pPr>
            <w:r w:rsidRPr="008E2A7B">
              <w:rPr>
                <w:b/>
                <w:sz w:val="20"/>
                <w:lang w:val="en-GB"/>
              </w:rPr>
              <w:t>Service life (year)</w:t>
            </w:r>
          </w:p>
        </w:tc>
      </w:tr>
      <w:tr w:rsidR="0044710E" w:rsidRPr="008E2A7B" w14:paraId="12F8BB4C" w14:textId="77777777" w:rsidTr="009C6D77">
        <w:trPr>
          <w:trHeight w:val="235"/>
        </w:trPr>
        <w:tc>
          <w:tcPr>
            <w:tcW w:w="1726" w:type="dxa"/>
          </w:tcPr>
          <w:p w14:paraId="27B7C605" w14:textId="77777777" w:rsidR="0044710E" w:rsidRPr="008E2A7B" w:rsidRDefault="0044710E" w:rsidP="0044710E">
            <w:pPr>
              <w:keepNext/>
              <w:rPr>
                <w:b/>
                <w:sz w:val="20"/>
                <w:lang w:val="en-GB"/>
              </w:rPr>
            </w:pPr>
            <w:r w:rsidRPr="008E2A7B">
              <w:rPr>
                <w:b/>
                <w:sz w:val="20"/>
                <w:lang w:val="en-GB"/>
              </w:rPr>
              <w:t>Condensing power</w:t>
            </w:r>
          </w:p>
        </w:tc>
        <w:tc>
          <w:tcPr>
            <w:tcW w:w="1182" w:type="dxa"/>
          </w:tcPr>
          <w:p w14:paraId="503481A9" w14:textId="77777777" w:rsidR="0044710E" w:rsidRPr="008E2A7B" w:rsidRDefault="0044710E" w:rsidP="0044710E">
            <w:pPr>
              <w:keepNext/>
              <w:jc w:val="center"/>
              <w:rPr>
                <w:sz w:val="20"/>
                <w:lang w:val="en-GB"/>
              </w:rPr>
            </w:pPr>
            <w:r w:rsidRPr="008E2A7B">
              <w:rPr>
                <w:sz w:val="20"/>
                <w:lang w:val="en-GB"/>
              </w:rPr>
              <w:t xml:space="preserve">7,000 </w:t>
            </w:r>
          </w:p>
        </w:tc>
        <w:tc>
          <w:tcPr>
            <w:tcW w:w="1182" w:type="dxa"/>
          </w:tcPr>
          <w:p w14:paraId="095F140E" w14:textId="77777777" w:rsidR="0044710E" w:rsidRPr="008E2A7B" w:rsidRDefault="0044710E" w:rsidP="0044710E">
            <w:pPr>
              <w:keepNext/>
              <w:jc w:val="center"/>
              <w:rPr>
                <w:sz w:val="20"/>
                <w:lang w:val="en-GB"/>
              </w:rPr>
            </w:pPr>
            <w:r w:rsidRPr="008E2A7B">
              <w:rPr>
                <w:sz w:val="20"/>
                <w:lang w:val="en-GB"/>
              </w:rPr>
              <w:t>40</w:t>
            </w:r>
          </w:p>
        </w:tc>
        <w:tc>
          <w:tcPr>
            <w:tcW w:w="1297" w:type="dxa"/>
          </w:tcPr>
          <w:p w14:paraId="1F910088" w14:textId="77777777" w:rsidR="0044710E" w:rsidRPr="008E2A7B" w:rsidRDefault="0044710E" w:rsidP="0044710E">
            <w:pPr>
              <w:keepNext/>
              <w:jc w:val="center"/>
              <w:rPr>
                <w:sz w:val="20"/>
                <w:lang w:val="en-GB"/>
              </w:rPr>
            </w:pPr>
            <w:r w:rsidRPr="008E2A7B">
              <w:rPr>
                <w:sz w:val="20"/>
                <w:lang w:val="en-GB"/>
              </w:rPr>
              <w:t xml:space="preserve">15 </w:t>
            </w:r>
          </w:p>
        </w:tc>
        <w:tc>
          <w:tcPr>
            <w:tcW w:w="1210" w:type="dxa"/>
          </w:tcPr>
          <w:p w14:paraId="18CE11AA" w14:textId="77777777" w:rsidR="0044710E" w:rsidRPr="008E2A7B" w:rsidRDefault="0044710E" w:rsidP="0044710E">
            <w:pPr>
              <w:keepNext/>
              <w:rPr>
                <w:sz w:val="20"/>
                <w:lang w:val="en-GB"/>
              </w:rPr>
            </w:pPr>
            <w:r w:rsidRPr="008E2A7B">
              <w:rPr>
                <w:sz w:val="20"/>
                <w:lang w:val="en-GB"/>
              </w:rPr>
              <w:t xml:space="preserve">    55-62</w:t>
            </w:r>
          </w:p>
        </w:tc>
        <w:tc>
          <w:tcPr>
            <w:tcW w:w="1040" w:type="dxa"/>
            <w:gridSpan w:val="2"/>
          </w:tcPr>
          <w:p w14:paraId="34885956" w14:textId="77777777" w:rsidR="0044710E" w:rsidRPr="008E2A7B" w:rsidRDefault="0044710E" w:rsidP="0044710E">
            <w:pPr>
              <w:keepNext/>
              <w:jc w:val="center"/>
              <w:rPr>
                <w:sz w:val="20"/>
                <w:lang w:val="en-GB"/>
              </w:rPr>
            </w:pPr>
            <w:r w:rsidRPr="008E2A7B">
              <w:rPr>
                <w:sz w:val="20"/>
                <w:lang w:val="en-GB"/>
              </w:rPr>
              <w:t>-</w:t>
            </w:r>
          </w:p>
        </w:tc>
        <w:tc>
          <w:tcPr>
            <w:tcW w:w="1182" w:type="dxa"/>
            <w:gridSpan w:val="2"/>
          </w:tcPr>
          <w:p w14:paraId="6DD80305" w14:textId="77777777" w:rsidR="0044710E" w:rsidRPr="008E2A7B" w:rsidRDefault="0044710E" w:rsidP="0044710E">
            <w:pPr>
              <w:keepNext/>
              <w:jc w:val="center"/>
              <w:rPr>
                <w:sz w:val="20"/>
                <w:lang w:val="en-GB"/>
              </w:rPr>
            </w:pPr>
            <w:r w:rsidRPr="008E2A7B">
              <w:rPr>
                <w:sz w:val="20"/>
                <w:lang w:val="en-GB"/>
              </w:rPr>
              <w:t>30</w:t>
            </w:r>
          </w:p>
        </w:tc>
      </w:tr>
      <w:tr w:rsidR="0044710E" w:rsidRPr="008E2A7B" w14:paraId="427EC24C" w14:textId="77777777" w:rsidTr="009C6D77">
        <w:trPr>
          <w:trHeight w:val="220"/>
        </w:trPr>
        <w:tc>
          <w:tcPr>
            <w:tcW w:w="1726" w:type="dxa"/>
            <w:tcBorders>
              <w:bottom w:val="nil"/>
            </w:tcBorders>
          </w:tcPr>
          <w:p w14:paraId="6B361C69" w14:textId="77777777" w:rsidR="0044710E" w:rsidRPr="008E2A7B" w:rsidRDefault="0044710E" w:rsidP="0044710E">
            <w:pPr>
              <w:keepNext/>
              <w:rPr>
                <w:b/>
                <w:sz w:val="20"/>
                <w:lang w:val="en-GB"/>
              </w:rPr>
            </w:pPr>
            <w:r w:rsidRPr="008E2A7B">
              <w:rPr>
                <w:b/>
                <w:sz w:val="20"/>
                <w:lang w:val="en-GB"/>
              </w:rPr>
              <w:t>CHP, large plant</w:t>
            </w:r>
          </w:p>
        </w:tc>
        <w:tc>
          <w:tcPr>
            <w:tcW w:w="1182" w:type="dxa"/>
            <w:tcBorders>
              <w:bottom w:val="nil"/>
            </w:tcBorders>
          </w:tcPr>
          <w:p w14:paraId="15ECE521" w14:textId="77777777" w:rsidR="0044710E" w:rsidRPr="008E2A7B" w:rsidRDefault="0044710E" w:rsidP="0044710E">
            <w:pPr>
              <w:keepNext/>
              <w:jc w:val="center"/>
              <w:rPr>
                <w:sz w:val="20"/>
                <w:lang w:val="en-GB"/>
              </w:rPr>
            </w:pPr>
            <w:r w:rsidRPr="008E2A7B">
              <w:rPr>
                <w:sz w:val="20"/>
                <w:lang w:val="en-GB"/>
              </w:rPr>
              <w:t>9,500</w:t>
            </w:r>
          </w:p>
        </w:tc>
        <w:tc>
          <w:tcPr>
            <w:tcW w:w="1182" w:type="dxa"/>
            <w:tcBorders>
              <w:bottom w:val="nil"/>
            </w:tcBorders>
          </w:tcPr>
          <w:p w14:paraId="3C1ED591" w14:textId="77777777" w:rsidR="0044710E" w:rsidRPr="008E2A7B" w:rsidRDefault="0044710E" w:rsidP="0044710E">
            <w:pPr>
              <w:keepNext/>
              <w:jc w:val="center"/>
              <w:rPr>
                <w:sz w:val="20"/>
                <w:lang w:val="en-GB"/>
              </w:rPr>
            </w:pPr>
            <w:r w:rsidRPr="008E2A7B">
              <w:rPr>
                <w:sz w:val="20"/>
                <w:lang w:val="en-GB"/>
              </w:rPr>
              <w:t>70</w:t>
            </w:r>
          </w:p>
        </w:tc>
        <w:tc>
          <w:tcPr>
            <w:tcW w:w="1297" w:type="dxa"/>
            <w:tcBorders>
              <w:bottom w:val="nil"/>
            </w:tcBorders>
          </w:tcPr>
          <w:p w14:paraId="05F3E675" w14:textId="77777777" w:rsidR="0044710E" w:rsidRPr="008E2A7B" w:rsidRDefault="0044710E" w:rsidP="0044710E">
            <w:pPr>
              <w:keepNext/>
              <w:jc w:val="center"/>
              <w:rPr>
                <w:sz w:val="20"/>
                <w:lang w:val="en-GB"/>
              </w:rPr>
            </w:pPr>
            <w:r w:rsidRPr="008E2A7B">
              <w:rPr>
                <w:sz w:val="20"/>
                <w:lang w:val="en-GB"/>
              </w:rPr>
              <w:t xml:space="preserve">20 </w:t>
            </w:r>
          </w:p>
        </w:tc>
        <w:tc>
          <w:tcPr>
            <w:tcW w:w="1210" w:type="dxa"/>
            <w:tcBorders>
              <w:bottom w:val="nil"/>
            </w:tcBorders>
          </w:tcPr>
          <w:p w14:paraId="78DCD49E" w14:textId="77777777" w:rsidR="0044710E" w:rsidRPr="008E2A7B" w:rsidRDefault="0044710E" w:rsidP="0044710E">
            <w:pPr>
              <w:keepNext/>
              <w:jc w:val="center"/>
              <w:rPr>
                <w:sz w:val="20"/>
                <w:lang w:val="en-GB"/>
              </w:rPr>
            </w:pPr>
            <w:r w:rsidRPr="008E2A7B">
              <w:rPr>
                <w:sz w:val="20"/>
                <w:lang w:val="en-GB"/>
              </w:rPr>
              <w:t>45-50 (el)</w:t>
            </w:r>
          </w:p>
        </w:tc>
        <w:tc>
          <w:tcPr>
            <w:tcW w:w="1040" w:type="dxa"/>
            <w:gridSpan w:val="2"/>
            <w:tcBorders>
              <w:bottom w:val="nil"/>
            </w:tcBorders>
          </w:tcPr>
          <w:p w14:paraId="4AD5A17E" w14:textId="77777777" w:rsidR="0044710E" w:rsidRPr="008E2A7B" w:rsidRDefault="0044710E" w:rsidP="0044710E">
            <w:pPr>
              <w:keepNext/>
              <w:jc w:val="center"/>
              <w:rPr>
                <w:sz w:val="20"/>
                <w:lang w:val="en-GB"/>
              </w:rPr>
            </w:pPr>
            <w:r w:rsidRPr="008E2A7B">
              <w:rPr>
                <w:sz w:val="20"/>
                <w:lang w:val="en-GB"/>
              </w:rPr>
              <w:t>1.1</w:t>
            </w:r>
          </w:p>
        </w:tc>
        <w:tc>
          <w:tcPr>
            <w:tcW w:w="1182" w:type="dxa"/>
            <w:gridSpan w:val="2"/>
            <w:tcBorders>
              <w:bottom w:val="nil"/>
            </w:tcBorders>
          </w:tcPr>
          <w:p w14:paraId="00A12E6D" w14:textId="77777777" w:rsidR="0044710E" w:rsidRPr="008E2A7B" w:rsidRDefault="0044710E" w:rsidP="0044710E">
            <w:pPr>
              <w:keepNext/>
              <w:jc w:val="center"/>
              <w:rPr>
                <w:sz w:val="20"/>
                <w:lang w:val="en-GB"/>
              </w:rPr>
            </w:pPr>
            <w:r w:rsidRPr="008E2A7B">
              <w:rPr>
                <w:sz w:val="20"/>
                <w:lang w:val="en-GB"/>
              </w:rPr>
              <w:t>30</w:t>
            </w:r>
          </w:p>
        </w:tc>
      </w:tr>
      <w:tr w:rsidR="0044710E" w:rsidRPr="008E2A7B" w14:paraId="12956851" w14:textId="77777777" w:rsidTr="009C6D77">
        <w:trPr>
          <w:cnfStyle w:val="010000000000" w:firstRow="0" w:lastRow="1" w:firstColumn="0" w:lastColumn="0" w:oddVBand="0" w:evenVBand="0" w:oddHBand="0" w:evenHBand="0" w:firstRowFirstColumn="0" w:firstRowLastColumn="0" w:lastRowFirstColumn="0" w:lastRowLastColumn="0"/>
          <w:trHeight w:val="220"/>
        </w:trPr>
        <w:tc>
          <w:tcPr>
            <w:tcW w:w="1726" w:type="dxa"/>
            <w:tcBorders>
              <w:top w:val="nil"/>
              <w:bottom w:val="single" w:sz="12" w:space="0" w:color="008000"/>
            </w:tcBorders>
          </w:tcPr>
          <w:p w14:paraId="13F0A804" w14:textId="77777777" w:rsidR="0044710E" w:rsidRPr="008E2A7B" w:rsidRDefault="0044710E" w:rsidP="0044710E">
            <w:pPr>
              <w:keepNext/>
              <w:rPr>
                <w:b/>
                <w:sz w:val="20"/>
                <w:lang w:val="en-GB"/>
              </w:rPr>
            </w:pPr>
            <w:r w:rsidRPr="008E2A7B">
              <w:rPr>
                <w:b/>
                <w:sz w:val="20"/>
                <w:lang w:val="en-GB"/>
              </w:rPr>
              <w:t>CHP, small plant</w:t>
            </w:r>
          </w:p>
        </w:tc>
        <w:tc>
          <w:tcPr>
            <w:tcW w:w="1182" w:type="dxa"/>
            <w:tcBorders>
              <w:top w:val="nil"/>
              <w:bottom w:val="single" w:sz="12" w:space="0" w:color="008000"/>
            </w:tcBorders>
          </w:tcPr>
          <w:p w14:paraId="126A6E8F" w14:textId="77777777" w:rsidR="0044710E" w:rsidRPr="008E2A7B" w:rsidRDefault="0044710E" w:rsidP="0044710E">
            <w:pPr>
              <w:keepNext/>
              <w:jc w:val="center"/>
              <w:rPr>
                <w:sz w:val="20"/>
                <w:lang w:val="en-GB"/>
              </w:rPr>
            </w:pPr>
            <w:r w:rsidRPr="008E2A7B">
              <w:rPr>
                <w:sz w:val="20"/>
                <w:lang w:val="en-GB"/>
              </w:rPr>
              <w:t>12,500</w:t>
            </w:r>
          </w:p>
        </w:tc>
        <w:tc>
          <w:tcPr>
            <w:tcW w:w="1182" w:type="dxa"/>
            <w:tcBorders>
              <w:top w:val="nil"/>
              <w:bottom w:val="single" w:sz="12" w:space="0" w:color="008000"/>
            </w:tcBorders>
          </w:tcPr>
          <w:p w14:paraId="182013E8" w14:textId="77777777" w:rsidR="0044710E" w:rsidRPr="008E2A7B" w:rsidRDefault="0044710E" w:rsidP="0044710E">
            <w:pPr>
              <w:keepNext/>
              <w:jc w:val="center"/>
              <w:rPr>
                <w:sz w:val="20"/>
                <w:lang w:val="en-GB"/>
              </w:rPr>
            </w:pPr>
            <w:r w:rsidRPr="008E2A7B">
              <w:rPr>
                <w:sz w:val="20"/>
                <w:lang w:val="en-GB"/>
              </w:rPr>
              <w:t>120</w:t>
            </w:r>
          </w:p>
        </w:tc>
        <w:tc>
          <w:tcPr>
            <w:tcW w:w="1297" w:type="dxa"/>
            <w:tcBorders>
              <w:top w:val="nil"/>
              <w:bottom w:val="single" w:sz="12" w:space="0" w:color="008000"/>
            </w:tcBorders>
          </w:tcPr>
          <w:p w14:paraId="21A8685A" w14:textId="77777777" w:rsidR="0044710E" w:rsidRPr="008E2A7B" w:rsidRDefault="0044710E" w:rsidP="0044710E">
            <w:pPr>
              <w:keepNext/>
              <w:jc w:val="center"/>
              <w:rPr>
                <w:sz w:val="20"/>
                <w:lang w:val="en-GB"/>
              </w:rPr>
            </w:pPr>
            <w:r w:rsidRPr="008E2A7B">
              <w:rPr>
                <w:sz w:val="20"/>
                <w:lang w:val="en-GB"/>
              </w:rPr>
              <w:t>25</w:t>
            </w:r>
          </w:p>
        </w:tc>
        <w:tc>
          <w:tcPr>
            <w:tcW w:w="1210" w:type="dxa"/>
            <w:tcBorders>
              <w:top w:val="nil"/>
              <w:bottom w:val="single" w:sz="12" w:space="0" w:color="008000"/>
            </w:tcBorders>
          </w:tcPr>
          <w:p w14:paraId="54B7F998" w14:textId="77777777" w:rsidR="0044710E" w:rsidRPr="008E2A7B" w:rsidRDefault="0044710E" w:rsidP="0044710E">
            <w:pPr>
              <w:keepNext/>
              <w:jc w:val="center"/>
              <w:rPr>
                <w:sz w:val="20"/>
                <w:lang w:val="en-GB"/>
              </w:rPr>
            </w:pPr>
            <w:r w:rsidRPr="008E2A7B">
              <w:rPr>
                <w:sz w:val="20"/>
                <w:lang w:val="en-GB"/>
              </w:rPr>
              <w:t>45-50 (el)</w:t>
            </w:r>
          </w:p>
        </w:tc>
        <w:tc>
          <w:tcPr>
            <w:tcW w:w="1040" w:type="dxa"/>
            <w:gridSpan w:val="2"/>
            <w:tcBorders>
              <w:top w:val="nil"/>
              <w:bottom w:val="single" w:sz="12" w:space="0" w:color="008000"/>
            </w:tcBorders>
          </w:tcPr>
          <w:p w14:paraId="30EF1F33" w14:textId="77777777" w:rsidR="0044710E" w:rsidRPr="008E2A7B" w:rsidRDefault="0044710E" w:rsidP="0044710E">
            <w:pPr>
              <w:keepNext/>
              <w:jc w:val="center"/>
              <w:rPr>
                <w:sz w:val="20"/>
                <w:lang w:val="en-GB"/>
              </w:rPr>
            </w:pPr>
            <w:r w:rsidRPr="008E2A7B">
              <w:rPr>
                <w:sz w:val="20"/>
                <w:lang w:val="en-GB"/>
              </w:rPr>
              <w:t>1</w:t>
            </w:r>
          </w:p>
        </w:tc>
        <w:tc>
          <w:tcPr>
            <w:tcW w:w="1182" w:type="dxa"/>
            <w:gridSpan w:val="2"/>
            <w:tcBorders>
              <w:top w:val="nil"/>
              <w:bottom w:val="single" w:sz="12" w:space="0" w:color="008000"/>
            </w:tcBorders>
          </w:tcPr>
          <w:p w14:paraId="608CBF57" w14:textId="77777777" w:rsidR="0044710E" w:rsidRPr="008E2A7B" w:rsidRDefault="0044710E" w:rsidP="0044710E">
            <w:pPr>
              <w:keepNext/>
              <w:jc w:val="center"/>
              <w:rPr>
                <w:sz w:val="20"/>
                <w:lang w:val="en-GB"/>
              </w:rPr>
            </w:pPr>
            <w:r w:rsidRPr="008E2A7B">
              <w:rPr>
                <w:sz w:val="20"/>
                <w:lang w:val="en-GB"/>
              </w:rPr>
              <w:t>30</w:t>
            </w:r>
          </w:p>
        </w:tc>
      </w:tr>
    </w:tbl>
    <w:p w14:paraId="7EF859F9" w14:textId="77777777" w:rsidR="00D318DC" w:rsidRPr="008E2A7B" w:rsidRDefault="00D318DC" w:rsidP="00D318DC">
      <w:pPr>
        <w:pStyle w:val="Rubrik2"/>
        <w:numPr>
          <w:ilvl w:val="0"/>
          <w:numId w:val="0"/>
        </w:numPr>
        <w:ind w:left="576"/>
        <w:rPr>
          <w:lang w:val="en-GB"/>
        </w:rPr>
      </w:pPr>
    </w:p>
    <w:p w14:paraId="08CF9AA2" w14:textId="77777777" w:rsidR="00D318DC" w:rsidRPr="008E2A7B" w:rsidRDefault="0044710E" w:rsidP="00D318DC">
      <w:pPr>
        <w:pStyle w:val="Rubrik2"/>
        <w:rPr>
          <w:lang w:val="en-GB"/>
        </w:rPr>
      </w:pPr>
      <w:bookmarkStart w:id="47" w:name="_Toc499285555"/>
      <w:r w:rsidRPr="008E2A7B">
        <w:rPr>
          <w:lang w:val="en-GB"/>
        </w:rPr>
        <w:t>Dimension Decarbonisation</w:t>
      </w:r>
      <w:bookmarkEnd w:id="47"/>
    </w:p>
    <w:p w14:paraId="1F6BFCF7" w14:textId="77777777" w:rsidR="0044710E" w:rsidRPr="008E2A7B" w:rsidRDefault="0044710E" w:rsidP="0044710E">
      <w:pPr>
        <w:pStyle w:val="Rubrik3"/>
        <w:rPr>
          <w:lang w:val="en-GB"/>
        </w:rPr>
      </w:pPr>
      <w:r w:rsidRPr="008E2A7B">
        <w:rPr>
          <w:lang w:val="en-GB"/>
        </w:rPr>
        <w:t>GHG emissions and removals</w:t>
      </w:r>
    </w:p>
    <w:p w14:paraId="0CD4477B" w14:textId="77777777" w:rsidR="0044710E" w:rsidRPr="008E2A7B" w:rsidRDefault="0044710E" w:rsidP="0044710E">
      <w:pPr>
        <w:pStyle w:val="i-lista"/>
        <w:numPr>
          <w:ilvl w:val="1"/>
          <w:numId w:val="32"/>
        </w:numPr>
        <w:rPr>
          <w:i/>
          <w:lang w:val="en-GB"/>
        </w:rPr>
      </w:pPr>
      <w:r w:rsidRPr="008E2A7B">
        <w:rPr>
          <w:i/>
          <w:lang w:val="en-GB"/>
        </w:rPr>
        <w:t xml:space="preserve">Trends in current GHG emissions and removals in the EU ETS, Effort Sharing Regulation and LULUCF sectors and different energy sectors </w:t>
      </w:r>
    </w:p>
    <w:p w14:paraId="2D4AC62E" w14:textId="37B05E5C" w:rsidR="006153AF" w:rsidRPr="008E2A7B" w:rsidRDefault="006153AF" w:rsidP="006153AF">
      <w:pPr>
        <w:pStyle w:val="Brdtext"/>
        <w:contextualSpacing/>
        <w:rPr>
          <w:b/>
          <w:sz w:val="24"/>
          <w:lang w:val="en-GB"/>
        </w:rPr>
      </w:pPr>
      <w:r w:rsidRPr="008E2A7B">
        <w:rPr>
          <w:b/>
          <w:lang w:val="en-GB"/>
        </w:rPr>
        <w:t>Total emissions and removals of greenhouse gases</w:t>
      </w:r>
    </w:p>
    <w:p w14:paraId="7FAE4E69" w14:textId="42B98182" w:rsidR="006153AF" w:rsidRPr="008E2A7B" w:rsidRDefault="006153AF" w:rsidP="00970043">
      <w:pPr>
        <w:pStyle w:val="Brdtext"/>
        <w:contextualSpacing/>
        <w:rPr>
          <w:lang w:val="en-GB"/>
        </w:rPr>
      </w:pPr>
      <w:r w:rsidRPr="008E2A7B">
        <w:rPr>
          <w:lang w:val="en-GB"/>
        </w:rPr>
        <w:t xml:space="preserve">In 2015, greenhouse gas emissions (excluding LULUCF) in Sweden totalled 53.7 million tonnes of carbon dioxide equivalents (Mt CO2-eq.), see </w:t>
      </w:r>
      <w:r w:rsidRPr="008E2A7B">
        <w:rPr>
          <w:lang w:val="en-GB"/>
        </w:rPr>
        <w:fldChar w:fldCharType="begin"/>
      </w:r>
      <w:r w:rsidRPr="008E2A7B">
        <w:rPr>
          <w:lang w:val="en-GB"/>
        </w:rPr>
        <w:instrText xml:space="preserve"> REF _Ref496279416 \h </w:instrText>
      </w:r>
      <w:r w:rsidRPr="008E2A7B">
        <w:rPr>
          <w:lang w:val="en-GB"/>
        </w:rPr>
      </w:r>
      <w:r w:rsidRPr="008E2A7B">
        <w:rPr>
          <w:lang w:val="en-GB"/>
        </w:rPr>
        <w:fldChar w:fldCharType="separate"/>
      </w:r>
      <w:r w:rsidRPr="008E2A7B">
        <w:rPr>
          <w:lang w:val="en-GB"/>
        </w:rPr>
        <w:t xml:space="preserve">Figure </w:t>
      </w:r>
      <w:r w:rsidRPr="008E2A7B">
        <w:rPr>
          <w:noProof/>
          <w:lang w:val="en-GB"/>
        </w:rPr>
        <w:t>5</w:t>
      </w:r>
      <w:r w:rsidRPr="008E2A7B">
        <w:rPr>
          <w:lang w:val="en-GB"/>
        </w:rPr>
        <w:fldChar w:fldCharType="end"/>
      </w:r>
      <w:r w:rsidRPr="008E2A7B">
        <w:rPr>
          <w:lang w:val="en-GB"/>
        </w:rPr>
        <w:t>. Total emissions have decreased by 18.2 Mt, or 25%, between 1990 and 2015. Emission levels have varied between a low of 53.7 Mt CO2-eq. in 2015 and a high of 77.3 Mt CO2-eq. in 1996. Annual variations are largely due to fluctuations in temperature and precipitation and to the economic situation. The net sink attributable to the land use, land-use change and forestry (LULUCF) sector has varied over the period. In 2015 it amounted to 50.5 Mt CO2-eq., which corresponds to 94% of total greenhouse gas emissions.</w:t>
      </w:r>
    </w:p>
    <w:p w14:paraId="27822501" w14:textId="77777777" w:rsidR="008832DE" w:rsidRDefault="008832DE" w:rsidP="0044710E">
      <w:pPr>
        <w:pStyle w:val="Beskrivning"/>
        <w:rPr>
          <w:lang w:val="en-GB"/>
        </w:rPr>
      </w:pPr>
      <w:bookmarkStart w:id="48" w:name="_Ref496279416"/>
    </w:p>
    <w:p w14:paraId="0780CF32" w14:textId="692729C8" w:rsidR="0044710E" w:rsidRPr="008E2A7B" w:rsidRDefault="0044710E" w:rsidP="0044710E">
      <w:pPr>
        <w:pStyle w:val="Beskrivning"/>
        <w:rPr>
          <w:b w:val="0"/>
          <w:color w:val="FF0000"/>
          <w:szCs w:val="20"/>
          <w:lang w:val="en-GB"/>
        </w:rPr>
      </w:pPr>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5</w:t>
      </w:r>
      <w:r w:rsidRPr="008E2A7B">
        <w:rPr>
          <w:lang w:val="en-GB"/>
        </w:rPr>
        <w:fldChar w:fldCharType="end"/>
      </w:r>
      <w:bookmarkEnd w:id="48"/>
      <w:r w:rsidRPr="008E2A7B">
        <w:rPr>
          <w:szCs w:val="20"/>
          <w:lang w:val="en-GB"/>
        </w:rPr>
        <w:t xml:space="preserve"> Total greenhouse gas emissions from different sectors. </w:t>
      </w:r>
    </w:p>
    <w:p w14:paraId="739973FF" w14:textId="4E08C7DC" w:rsidR="0044710E" w:rsidRPr="008E2A7B" w:rsidRDefault="008832DE" w:rsidP="0044710E">
      <w:pPr>
        <w:rPr>
          <w:lang w:val="en-GB"/>
        </w:rPr>
      </w:pPr>
      <w:r w:rsidRPr="008832DE">
        <w:rPr>
          <w:noProof/>
        </w:rPr>
        <w:drawing>
          <wp:inline distT="0" distB="0" distL="0" distR="0" wp14:anchorId="26EF50F2" wp14:editId="2374DF2A">
            <wp:extent cx="4639506" cy="2733675"/>
            <wp:effectExtent l="0" t="0" r="8890" b="0"/>
            <wp:docPr id="61" name="Bildobjekt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3805" cy="2736208"/>
                    </a:xfrm>
                    <a:prstGeom prst="rect">
                      <a:avLst/>
                    </a:prstGeom>
                    <a:noFill/>
                    <a:ln>
                      <a:noFill/>
                    </a:ln>
                  </pic:spPr>
                </pic:pic>
              </a:graphicData>
            </a:graphic>
          </wp:inline>
        </w:drawing>
      </w:r>
    </w:p>
    <w:p w14:paraId="6103FEBD" w14:textId="77777777" w:rsidR="0044710E" w:rsidRPr="008E2A7B" w:rsidRDefault="0044710E" w:rsidP="0044710E">
      <w:pPr>
        <w:rPr>
          <w:lang w:val="en-GB"/>
        </w:rPr>
      </w:pPr>
    </w:p>
    <w:p w14:paraId="7150714C" w14:textId="77777777" w:rsidR="0044710E" w:rsidRPr="008E2A7B" w:rsidRDefault="0044710E" w:rsidP="0044710E">
      <w:pPr>
        <w:rPr>
          <w:lang w:val="en-GB"/>
        </w:rPr>
      </w:pPr>
    </w:p>
    <w:p w14:paraId="36176C3E" w14:textId="66BE8A4E" w:rsidR="0044710E" w:rsidRPr="008E2A7B" w:rsidRDefault="0044710E" w:rsidP="0044710E">
      <w:pPr>
        <w:pStyle w:val="Brdtext"/>
        <w:rPr>
          <w:lang w:val="en-GB"/>
        </w:rPr>
      </w:pPr>
      <w:r w:rsidRPr="008E2A7B">
        <w:rPr>
          <w:lang w:val="en-GB"/>
        </w:rPr>
        <w:t>In 2015, emissions (excl. LULUCF) of carbon dioxide (CO</w:t>
      </w:r>
      <w:r w:rsidRPr="008E2A7B">
        <w:rPr>
          <w:vertAlign w:val="subscript"/>
          <w:lang w:val="en-GB"/>
        </w:rPr>
        <w:t>2</w:t>
      </w:r>
      <w:r w:rsidRPr="008E2A7B">
        <w:rPr>
          <w:lang w:val="en-GB"/>
        </w:rPr>
        <w:t>) amounted to 43.1 Mt in total, which is equivalent to 81% of total greenhouse gas emissions, calculated as CO</w:t>
      </w:r>
      <w:r w:rsidRPr="008E2A7B">
        <w:rPr>
          <w:vertAlign w:val="subscript"/>
          <w:lang w:val="en-GB"/>
        </w:rPr>
        <w:t>2</w:t>
      </w:r>
      <w:r w:rsidRPr="008E2A7B">
        <w:rPr>
          <w:lang w:val="en-GB"/>
        </w:rPr>
        <w:t>-eq. Emissions of methane (CH</w:t>
      </w:r>
      <w:r w:rsidRPr="008E2A7B">
        <w:rPr>
          <w:vertAlign w:val="subscript"/>
          <w:lang w:val="en-GB"/>
        </w:rPr>
        <w:t>4</w:t>
      </w:r>
      <w:r w:rsidRPr="008E2A7B">
        <w:rPr>
          <w:lang w:val="en-GB"/>
        </w:rPr>
        <w:t>) accounted for 4.9 Mt of CO</w:t>
      </w:r>
      <w:r w:rsidRPr="008E2A7B">
        <w:rPr>
          <w:vertAlign w:val="subscript"/>
          <w:lang w:val="en-GB"/>
        </w:rPr>
        <w:t>2</w:t>
      </w:r>
      <w:r w:rsidRPr="008E2A7B">
        <w:rPr>
          <w:lang w:val="en-GB"/>
        </w:rPr>
        <w:t>-eq. (about 9% of total emissions), emissions of nitrous oxide (N</w:t>
      </w:r>
      <w:r w:rsidRPr="008E2A7B">
        <w:rPr>
          <w:vertAlign w:val="subscript"/>
          <w:lang w:val="en-GB"/>
        </w:rPr>
        <w:t>2</w:t>
      </w:r>
      <w:r w:rsidRPr="008E2A7B">
        <w:rPr>
          <w:lang w:val="en-GB"/>
        </w:rPr>
        <w:t xml:space="preserve">O) 4.6 Mt (9%), fluorinated greenhouse gases 0.9 Mt (2%), see </w:t>
      </w:r>
      <w:r w:rsidR="00970043" w:rsidRPr="008E2A7B">
        <w:rPr>
          <w:lang w:val="en-GB"/>
        </w:rPr>
        <w:fldChar w:fldCharType="begin"/>
      </w:r>
      <w:r w:rsidR="00970043" w:rsidRPr="008E2A7B">
        <w:rPr>
          <w:lang w:val="en-GB"/>
        </w:rPr>
        <w:instrText xml:space="preserve"> REF _Ref496279480 \h </w:instrText>
      </w:r>
      <w:r w:rsidR="00970043" w:rsidRPr="008E2A7B">
        <w:rPr>
          <w:lang w:val="en-GB"/>
        </w:rPr>
      </w:r>
      <w:r w:rsidR="00970043" w:rsidRPr="008E2A7B">
        <w:rPr>
          <w:lang w:val="en-GB"/>
        </w:rPr>
        <w:fldChar w:fldCharType="separate"/>
      </w:r>
      <w:r w:rsidR="008D103C" w:rsidRPr="008E2A7B">
        <w:rPr>
          <w:lang w:val="en-GB"/>
        </w:rPr>
        <w:t xml:space="preserve">Figure </w:t>
      </w:r>
      <w:r w:rsidR="008D103C" w:rsidRPr="008E2A7B">
        <w:rPr>
          <w:noProof/>
          <w:lang w:val="en-GB"/>
        </w:rPr>
        <w:t>6</w:t>
      </w:r>
      <w:r w:rsidR="00970043" w:rsidRPr="008E2A7B">
        <w:rPr>
          <w:lang w:val="en-GB"/>
        </w:rPr>
        <w:fldChar w:fldCharType="end"/>
      </w:r>
      <w:r w:rsidRPr="008E2A7B">
        <w:rPr>
          <w:lang w:val="en-GB"/>
        </w:rPr>
        <w:t>. The shares of the different greenhouses gases have remained stable over the period 1990 to 2015.</w:t>
      </w:r>
    </w:p>
    <w:p w14:paraId="3BA05546" w14:textId="4FB01E6E" w:rsidR="0044710E" w:rsidRPr="008E2A7B" w:rsidRDefault="0044710E" w:rsidP="0044710E">
      <w:pPr>
        <w:pStyle w:val="Beskrivning"/>
        <w:rPr>
          <w:b w:val="0"/>
          <w:szCs w:val="20"/>
          <w:lang w:val="en-GB"/>
        </w:rPr>
      </w:pPr>
      <w:bookmarkStart w:id="49" w:name="_Ref496279480"/>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6</w:t>
      </w:r>
      <w:r w:rsidRPr="008E2A7B">
        <w:rPr>
          <w:lang w:val="en-GB"/>
        </w:rPr>
        <w:fldChar w:fldCharType="end"/>
      </w:r>
      <w:bookmarkEnd w:id="49"/>
      <w:r w:rsidRPr="008E2A7B">
        <w:rPr>
          <w:szCs w:val="20"/>
          <w:lang w:val="en-GB"/>
        </w:rPr>
        <w:t xml:space="preserve"> Greenhouse gas emissions in 2015 (excl. LULUCF) by gas, in carbon dioxide equivalent.</w:t>
      </w:r>
    </w:p>
    <w:p w14:paraId="10F4349A" w14:textId="77777777" w:rsidR="0044710E" w:rsidRPr="008E2A7B" w:rsidRDefault="0044710E" w:rsidP="0044710E">
      <w:pPr>
        <w:rPr>
          <w:lang w:val="en-GB"/>
        </w:rPr>
      </w:pPr>
    </w:p>
    <w:p w14:paraId="0392A714" w14:textId="77777777" w:rsidR="0044710E" w:rsidRPr="008E2A7B" w:rsidRDefault="0044710E" w:rsidP="0044710E">
      <w:pPr>
        <w:rPr>
          <w:b/>
          <w:i/>
          <w:sz w:val="20"/>
          <w:lang w:val="en-GB"/>
        </w:rPr>
      </w:pPr>
      <w:r w:rsidRPr="008E2A7B">
        <w:rPr>
          <w:b/>
          <w:i/>
          <w:noProof/>
          <w:sz w:val="20"/>
          <w:lang w:val="en-GB" w:eastAsia="sv-SE"/>
        </w:rPr>
        <w:drawing>
          <wp:inline distT="0" distB="0" distL="0" distR="0" wp14:anchorId="5DD79F8C" wp14:editId="589A19DD">
            <wp:extent cx="3733800" cy="2457450"/>
            <wp:effectExtent l="0" t="0" r="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36459" cy="2459200"/>
                    </a:xfrm>
                    <a:prstGeom prst="rect">
                      <a:avLst/>
                    </a:prstGeom>
                    <a:noFill/>
                    <a:ln>
                      <a:noFill/>
                    </a:ln>
                  </pic:spPr>
                </pic:pic>
              </a:graphicData>
            </a:graphic>
          </wp:inline>
        </w:drawing>
      </w:r>
    </w:p>
    <w:p w14:paraId="2C206769" w14:textId="77777777" w:rsidR="0044710E" w:rsidRPr="008E2A7B" w:rsidRDefault="0044710E" w:rsidP="0044710E">
      <w:pPr>
        <w:rPr>
          <w:sz w:val="22"/>
          <w:lang w:val="en-GB"/>
        </w:rPr>
      </w:pPr>
    </w:p>
    <w:p w14:paraId="46AEEFAF" w14:textId="77777777" w:rsidR="009C6D77" w:rsidRDefault="009C6D77" w:rsidP="00970043">
      <w:pPr>
        <w:pStyle w:val="Brdtext"/>
        <w:contextualSpacing/>
        <w:rPr>
          <w:b/>
          <w:lang w:val="en-GB"/>
        </w:rPr>
      </w:pPr>
    </w:p>
    <w:p w14:paraId="00C0AB5B" w14:textId="77777777" w:rsidR="009C6D77" w:rsidRDefault="009C6D77" w:rsidP="00970043">
      <w:pPr>
        <w:pStyle w:val="Brdtext"/>
        <w:contextualSpacing/>
        <w:rPr>
          <w:b/>
          <w:lang w:val="en-GB"/>
        </w:rPr>
      </w:pPr>
    </w:p>
    <w:p w14:paraId="5188AF4F" w14:textId="77777777" w:rsidR="009C6D77" w:rsidRDefault="009C6D77" w:rsidP="00970043">
      <w:pPr>
        <w:pStyle w:val="Brdtext"/>
        <w:contextualSpacing/>
        <w:rPr>
          <w:b/>
          <w:lang w:val="en-GB"/>
        </w:rPr>
      </w:pPr>
    </w:p>
    <w:p w14:paraId="722BE302" w14:textId="77777777" w:rsidR="0044710E" w:rsidRPr="008E2A7B" w:rsidRDefault="0044710E" w:rsidP="00970043">
      <w:pPr>
        <w:pStyle w:val="Brdtext"/>
        <w:contextualSpacing/>
        <w:rPr>
          <w:b/>
          <w:lang w:val="en-GB"/>
        </w:rPr>
      </w:pPr>
      <w:r w:rsidRPr="008E2A7B">
        <w:rPr>
          <w:b/>
          <w:lang w:val="en-GB"/>
        </w:rPr>
        <w:lastRenderedPageBreak/>
        <w:t>Emissions and removals of greenhouse gases by sector</w:t>
      </w:r>
    </w:p>
    <w:p w14:paraId="18B0C8F4" w14:textId="5F130EBF" w:rsidR="0044710E" w:rsidRPr="008E2A7B" w:rsidRDefault="0044710E" w:rsidP="00970043">
      <w:pPr>
        <w:pStyle w:val="Brdtext"/>
        <w:contextualSpacing/>
        <w:rPr>
          <w:lang w:val="en-GB"/>
        </w:rPr>
      </w:pPr>
      <w:r w:rsidRPr="008E2A7B">
        <w:rPr>
          <w:lang w:val="en-GB"/>
        </w:rPr>
        <w:t xml:space="preserve">The largest sources of emissions in 2015 was the energy sector (73%), agriculture (13%) and industrial processes and product use (12%), as shown in </w:t>
      </w:r>
      <w:r w:rsidR="00970043" w:rsidRPr="008E2A7B">
        <w:rPr>
          <w:lang w:val="en-GB"/>
        </w:rPr>
        <w:fldChar w:fldCharType="begin"/>
      </w:r>
      <w:r w:rsidR="00970043" w:rsidRPr="008E2A7B">
        <w:rPr>
          <w:lang w:val="en-GB"/>
        </w:rPr>
        <w:instrText xml:space="preserve"> REF _Ref496279518 \h </w:instrText>
      </w:r>
      <w:r w:rsidR="00970043" w:rsidRPr="008E2A7B">
        <w:rPr>
          <w:lang w:val="en-GB"/>
        </w:rPr>
      </w:r>
      <w:r w:rsidR="00970043" w:rsidRPr="008E2A7B">
        <w:rPr>
          <w:lang w:val="en-GB"/>
        </w:rPr>
        <w:fldChar w:fldCharType="separate"/>
      </w:r>
      <w:r w:rsidR="008D103C" w:rsidRPr="008E2A7B">
        <w:rPr>
          <w:lang w:val="en-GB"/>
        </w:rPr>
        <w:t xml:space="preserve">Figure </w:t>
      </w:r>
      <w:r w:rsidR="008D103C" w:rsidRPr="008E2A7B">
        <w:rPr>
          <w:noProof/>
          <w:lang w:val="en-GB"/>
        </w:rPr>
        <w:t>7</w:t>
      </w:r>
      <w:r w:rsidR="00970043" w:rsidRPr="008E2A7B">
        <w:rPr>
          <w:lang w:val="en-GB"/>
        </w:rPr>
        <w:fldChar w:fldCharType="end"/>
      </w:r>
      <w:r w:rsidRPr="008E2A7B">
        <w:rPr>
          <w:lang w:val="en-GB"/>
        </w:rPr>
        <w:t>.</w:t>
      </w:r>
    </w:p>
    <w:p w14:paraId="5119EA9E" w14:textId="3F9D8917" w:rsidR="0044710E" w:rsidRPr="008E2A7B" w:rsidRDefault="0044710E" w:rsidP="0044710E">
      <w:pPr>
        <w:pStyle w:val="Beskrivning"/>
        <w:rPr>
          <w:b w:val="0"/>
          <w:szCs w:val="20"/>
          <w:lang w:val="en-GB"/>
        </w:rPr>
      </w:pPr>
      <w:bookmarkStart w:id="50" w:name="_Ref496279518"/>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7</w:t>
      </w:r>
      <w:r w:rsidRPr="008E2A7B">
        <w:rPr>
          <w:lang w:val="en-GB"/>
        </w:rPr>
        <w:fldChar w:fldCharType="end"/>
      </w:r>
      <w:bookmarkEnd w:id="50"/>
      <w:r w:rsidRPr="008E2A7B">
        <w:rPr>
          <w:szCs w:val="20"/>
          <w:lang w:val="en-GB"/>
        </w:rPr>
        <w:t xml:space="preserve"> Greenhouse gas emissions in 2015 (excl. LULUCF), by sector. </w:t>
      </w:r>
    </w:p>
    <w:p w14:paraId="6A4A8F28" w14:textId="77777777" w:rsidR="0044710E" w:rsidRPr="008E2A7B" w:rsidRDefault="0044710E" w:rsidP="0044710E">
      <w:pPr>
        <w:pStyle w:val="Brdtext"/>
        <w:rPr>
          <w:lang w:val="en-GB"/>
        </w:rPr>
      </w:pPr>
    </w:p>
    <w:p w14:paraId="4962D09D" w14:textId="77777777" w:rsidR="0044710E" w:rsidRPr="008E2A7B" w:rsidRDefault="0044710E" w:rsidP="0044710E">
      <w:pPr>
        <w:rPr>
          <w:lang w:val="en-GB"/>
        </w:rPr>
      </w:pPr>
    </w:p>
    <w:p w14:paraId="6EEA0421" w14:textId="77777777" w:rsidR="0044710E" w:rsidRPr="008E2A7B" w:rsidRDefault="0044710E" w:rsidP="0044710E">
      <w:pPr>
        <w:rPr>
          <w:lang w:val="en-GB"/>
        </w:rPr>
      </w:pPr>
      <w:r w:rsidRPr="008E2A7B">
        <w:rPr>
          <w:noProof/>
          <w:lang w:val="en-GB" w:eastAsia="sv-SE"/>
        </w:rPr>
        <w:drawing>
          <wp:inline distT="0" distB="0" distL="0" distR="0" wp14:anchorId="7D0B4F03" wp14:editId="430C2A9F">
            <wp:extent cx="5502275" cy="3865245"/>
            <wp:effectExtent l="0" t="0" r="3175" b="1905"/>
            <wp:docPr id="151" name="Diagram 151">
              <a:extLst xmlns:a="http://schemas.openxmlformats.org/drawingml/2006/main">
                <a:ext uri="{FF2B5EF4-FFF2-40B4-BE49-F238E27FC236}">
                  <a16:creationId xmlns:a16="http://schemas.microsoft.com/office/drawing/2014/main" id="{DCE17D29-884E-49E6-B7DD-D5D6419B98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AD51D0" w14:textId="77777777" w:rsidR="0044710E" w:rsidRPr="008E2A7B" w:rsidRDefault="0044710E" w:rsidP="0044710E">
      <w:pPr>
        <w:pStyle w:val="Beskrivning"/>
        <w:rPr>
          <w:i/>
          <w:lang w:val="en-GB"/>
        </w:rPr>
      </w:pPr>
    </w:p>
    <w:p w14:paraId="6E285AB9" w14:textId="77777777" w:rsidR="0044710E" w:rsidRPr="008E2A7B" w:rsidRDefault="0044710E" w:rsidP="0044710E">
      <w:pPr>
        <w:pStyle w:val="Brdtext"/>
        <w:rPr>
          <w:lang w:val="en-GB"/>
        </w:rPr>
      </w:pPr>
    </w:p>
    <w:p w14:paraId="1D2D53F6" w14:textId="77777777" w:rsidR="0044710E" w:rsidRPr="008E2A7B" w:rsidRDefault="0044710E" w:rsidP="0044710E">
      <w:pPr>
        <w:pStyle w:val="Brdtext"/>
        <w:rPr>
          <w:lang w:val="en-GB"/>
        </w:rPr>
      </w:pPr>
      <w:r w:rsidRPr="008E2A7B">
        <w:rPr>
          <w:lang w:val="en-GB"/>
        </w:rPr>
        <w:t>In recent years there has been a downward trend in emissions. The largest reductions in absolute terms are due to a transition from oil-fuelled heating of homes and commercial and institutional premises to electricity, e.g. heat pumps, and district heating. Increased use of biofuels in district heating generation and industry has also contributed to the reductions together with reductions in landfilling of waste. Fluctuations in production levels of manufacturing industries following changes in the economic development of specific industries have also had significant impacts on the national trend.</w:t>
      </w:r>
    </w:p>
    <w:p w14:paraId="6EFAB571" w14:textId="77777777" w:rsidR="0044710E" w:rsidRPr="008E2A7B" w:rsidRDefault="0044710E" w:rsidP="0044710E">
      <w:pPr>
        <w:pStyle w:val="i-lista"/>
        <w:numPr>
          <w:ilvl w:val="1"/>
          <w:numId w:val="32"/>
        </w:numPr>
        <w:rPr>
          <w:i/>
          <w:lang w:val="en-GB"/>
        </w:rPr>
      </w:pPr>
      <w:r w:rsidRPr="008E2A7B">
        <w:rPr>
          <w:i/>
          <w:lang w:val="en-GB"/>
        </w:rPr>
        <w:lastRenderedPageBreak/>
        <w:t>Projections of sectorial developments with existing national and EU policies and measures at least until 2040 (including for the year 2030)</w:t>
      </w:r>
    </w:p>
    <w:p w14:paraId="230FAF48" w14:textId="2E73E1AA" w:rsidR="0044710E" w:rsidRPr="008E2A7B" w:rsidRDefault="00B8488D" w:rsidP="0044710E">
      <w:pPr>
        <w:pStyle w:val="Brdtext"/>
        <w:rPr>
          <w:rFonts w:ascii="SabonLTStd-Roman" w:eastAsia="SabonLTStd-Roman" w:cs="SabonLTStd-Roman"/>
          <w:szCs w:val="21"/>
          <w:lang w:val="en-GB" w:eastAsia="sv-SE"/>
        </w:rPr>
      </w:pPr>
      <w:r w:rsidRPr="008E2A7B">
        <w:rPr>
          <w:lang w:val="en-GB"/>
        </w:rPr>
        <w:t>Total greenhouse gas emissions in Sweden in 2015 were 53.7 Mt CO</w:t>
      </w:r>
      <w:r w:rsidRPr="008E2A7B">
        <w:rPr>
          <w:vertAlign w:val="subscript"/>
          <w:lang w:val="en-GB"/>
        </w:rPr>
        <w:t>2</w:t>
      </w:r>
      <w:r w:rsidRPr="008E2A7B">
        <w:rPr>
          <w:lang w:val="en-GB"/>
        </w:rPr>
        <w:t>-eq. (excluding The Land Use, Land Use Change and Forestry sector) (National Inventory Report, Submission 2017). Total emissions decreased by 25 %, between 1990 and 2015. The projection results point to a gradual decline in total emissions of greenhouse gases (excl. LULUCF) over the projection period. The projected emissions for 2020 are 30 % below 1990 levels, and by 2030 total emissions are projected to be 36 % below 1990 levels</w:t>
      </w:r>
      <w:r w:rsidR="003F73BA" w:rsidRPr="008E2A7B">
        <w:rPr>
          <w:lang w:val="en-GB"/>
        </w:rPr>
        <w:t xml:space="preserve">, </w:t>
      </w:r>
      <w:r w:rsidR="0044710E" w:rsidRPr="008E2A7B">
        <w:rPr>
          <w:lang w:val="en-GB"/>
        </w:rPr>
        <w:t xml:space="preserve">shown in </w:t>
      </w:r>
      <w:r w:rsidR="00970043" w:rsidRPr="008E2A7B">
        <w:rPr>
          <w:lang w:val="en-GB"/>
        </w:rPr>
        <w:fldChar w:fldCharType="begin"/>
      </w:r>
      <w:r w:rsidR="00970043" w:rsidRPr="008E2A7B">
        <w:rPr>
          <w:lang w:val="en-GB"/>
        </w:rPr>
        <w:instrText xml:space="preserve"> REF _Ref496279572 \h </w:instrText>
      </w:r>
      <w:r w:rsidR="00970043" w:rsidRPr="008E2A7B">
        <w:rPr>
          <w:lang w:val="en-GB"/>
        </w:rPr>
      </w:r>
      <w:r w:rsidR="00970043" w:rsidRPr="008E2A7B">
        <w:rPr>
          <w:lang w:val="en-GB"/>
        </w:rPr>
        <w:fldChar w:fldCharType="separate"/>
      </w:r>
      <w:r w:rsidR="00970043" w:rsidRPr="008E2A7B">
        <w:rPr>
          <w:lang w:val="en-GB"/>
        </w:rPr>
        <w:t xml:space="preserve">Figure </w:t>
      </w:r>
      <w:r w:rsidR="00970043" w:rsidRPr="008E2A7B">
        <w:rPr>
          <w:noProof/>
          <w:lang w:val="en-GB"/>
        </w:rPr>
        <w:t>8</w:t>
      </w:r>
      <w:r w:rsidR="00970043" w:rsidRPr="008E2A7B">
        <w:rPr>
          <w:lang w:val="en-GB"/>
        </w:rPr>
        <w:fldChar w:fldCharType="end"/>
      </w:r>
      <w:r w:rsidR="0044710E" w:rsidRPr="008E2A7B">
        <w:rPr>
          <w:lang w:val="en-GB"/>
        </w:rPr>
        <w:t xml:space="preserve">. Historical and projected emissions and removals of greenhouse gases divided by sector is presented in </w:t>
      </w:r>
      <w:r w:rsidR="00970043" w:rsidRPr="008E2A7B">
        <w:rPr>
          <w:lang w:val="en-GB"/>
        </w:rPr>
        <w:fldChar w:fldCharType="begin"/>
      </w:r>
      <w:r w:rsidR="00970043" w:rsidRPr="008E2A7B">
        <w:rPr>
          <w:lang w:val="en-GB"/>
        </w:rPr>
        <w:instrText xml:space="preserve"> REF _Ref496603696 \h </w:instrText>
      </w:r>
      <w:r w:rsidR="00970043" w:rsidRPr="008E2A7B">
        <w:rPr>
          <w:lang w:val="en-GB"/>
        </w:rPr>
      </w:r>
      <w:r w:rsidR="00970043" w:rsidRPr="008E2A7B">
        <w:rPr>
          <w:lang w:val="en-GB"/>
        </w:rPr>
        <w:fldChar w:fldCharType="separate"/>
      </w:r>
      <w:r w:rsidR="00970043" w:rsidRPr="008E2A7B">
        <w:rPr>
          <w:lang w:val="en-GB"/>
        </w:rPr>
        <w:t xml:space="preserve">Table </w:t>
      </w:r>
      <w:r w:rsidR="00970043" w:rsidRPr="008E2A7B">
        <w:rPr>
          <w:noProof/>
          <w:lang w:val="en-GB"/>
        </w:rPr>
        <w:t>13</w:t>
      </w:r>
      <w:r w:rsidR="00970043" w:rsidRPr="008E2A7B">
        <w:rPr>
          <w:lang w:val="en-GB"/>
        </w:rPr>
        <w:fldChar w:fldCharType="end"/>
      </w:r>
      <w:r w:rsidR="00E4375B" w:rsidRPr="008E2A7B">
        <w:rPr>
          <w:rStyle w:val="Fotnotsreferens"/>
          <w:lang w:val="en-GB"/>
        </w:rPr>
        <w:footnoteReference w:id="36"/>
      </w:r>
      <w:r w:rsidR="0044710E" w:rsidRPr="008E2A7B">
        <w:rPr>
          <w:lang w:val="en-GB"/>
        </w:rPr>
        <w:t>.</w:t>
      </w:r>
    </w:p>
    <w:p w14:paraId="2BC4211E" w14:textId="77777777" w:rsidR="0044710E" w:rsidRPr="008E2A7B" w:rsidRDefault="0044710E" w:rsidP="0044710E">
      <w:pPr>
        <w:pStyle w:val="Brdtext"/>
        <w:rPr>
          <w:lang w:val="en-GB"/>
        </w:rPr>
      </w:pPr>
      <w:r w:rsidRPr="008E2A7B">
        <w:rPr>
          <w:lang w:val="en-GB"/>
        </w:rPr>
        <w:t>The LULUCF sector contributed to an annual net removal of carbon dioxide in Sweden during the period 1990–2015 and is expected to continue to do so during the projection period.</w:t>
      </w:r>
    </w:p>
    <w:p w14:paraId="1E374C13" w14:textId="3947569C" w:rsidR="0044710E" w:rsidRPr="008E2A7B" w:rsidRDefault="0044710E" w:rsidP="0044710E">
      <w:pPr>
        <w:pStyle w:val="Beskrivning"/>
        <w:rPr>
          <w:lang w:val="en-GB"/>
        </w:rPr>
      </w:pPr>
      <w:bookmarkStart w:id="51" w:name="_Ref496279572"/>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8</w:t>
      </w:r>
      <w:r w:rsidRPr="008E2A7B">
        <w:rPr>
          <w:lang w:val="en-GB"/>
        </w:rPr>
        <w:fldChar w:fldCharType="end"/>
      </w:r>
      <w:bookmarkEnd w:id="51"/>
      <w:r w:rsidRPr="008E2A7B">
        <w:rPr>
          <w:lang w:val="en-GB"/>
        </w:rPr>
        <w:t xml:space="preserve"> Historical emissions of greenhouse gases and projected emissions and removals of greenhouse gases with existing measures</w:t>
      </w:r>
      <w:r w:rsidRPr="008E2A7B">
        <w:rPr>
          <w:rStyle w:val="Fotnotsreferens"/>
          <w:lang w:val="en-GB"/>
        </w:rPr>
        <w:footnoteReference w:id="37"/>
      </w:r>
      <w:r w:rsidRPr="008E2A7B">
        <w:rPr>
          <w:lang w:val="en-GB"/>
        </w:rPr>
        <w:t>.</w:t>
      </w:r>
    </w:p>
    <w:p w14:paraId="4A6E3604" w14:textId="77777777" w:rsidR="0044710E" w:rsidRPr="008E2A7B" w:rsidRDefault="003F73BA" w:rsidP="0044710E">
      <w:pPr>
        <w:pStyle w:val="Brdtext"/>
        <w:rPr>
          <w:lang w:val="en-GB"/>
        </w:rPr>
      </w:pPr>
      <w:r w:rsidRPr="008E2A7B">
        <w:rPr>
          <w:noProof/>
          <w:lang w:val="en-GB" w:eastAsia="sv-SE"/>
        </w:rPr>
        <w:drawing>
          <wp:inline distT="0" distB="0" distL="0" distR="0" wp14:anchorId="5C518151" wp14:editId="196F3087">
            <wp:extent cx="5019675" cy="2668905"/>
            <wp:effectExtent l="0" t="0" r="0" b="0"/>
            <wp:docPr id="59" name="Diagram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11B0B61" w14:textId="4993EC67" w:rsidR="0044710E" w:rsidRPr="008E2A7B" w:rsidRDefault="0044710E" w:rsidP="0044710E">
      <w:pPr>
        <w:rPr>
          <w:lang w:val="en-GB"/>
        </w:rPr>
      </w:pPr>
    </w:p>
    <w:p w14:paraId="05902623" w14:textId="77777777" w:rsidR="0044710E" w:rsidRPr="008E2A7B" w:rsidRDefault="0044710E" w:rsidP="0044710E">
      <w:pPr>
        <w:rPr>
          <w:lang w:val="en-GB"/>
        </w:rPr>
      </w:pPr>
    </w:p>
    <w:p w14:paraId="0613D267" w14:textId="77777777" w:rsidR="0044710E" w:rsidRPr="008E2A7B" w:rsidRDefault="0044710E" w:rsidP="0044710E">
      <w:pPr>
        <w:rPr>
          <w:b/>
          <w:bCs/>
          <w:sz w:val="20"/>
          <w:lang w:val="en-GB"/>
        </w:rPr>
      </w:pPr>
    </w:p>
    <w:p w14:paraId="494C935E" w14:textId="77777777" w:rsidR="009C6D77" w:rsidRDefault="009C6D77">
      <w:pPr>
        <w:spacing w:after="160" w:line="0" w:lineRule="auto"/>
        <w:rPr>
          <w:b/>
          <w:iCs/>
          <w:sz w:val="20"/>
          <w:szCs w:val="18"/>
          <w:lang w:val="en-GB"/>
        </w:rPr>
      </w:pPr>
      <w:bookmarkStart w:id="52" w:name="_Ref496603696"/>
      <w:r>
        <w:rPr>
          <w:lang w:val="en-GB"/>
        </w:rPr>
        <w:br w:type="page"/>
      </w:r>
    </w:p>
    <w:p w14:paraId="417B758B" w14:textId="38D9ABCC" w:rsidR="0044710E" w:rsidRPr="008E2A7B" w:rsidRDefault="0044710E" w:rsidP="0044710E">
      <w:pPr>
        <w:pStyle w:val="Beskrivning"/>
        <w:rPr>
          <w:bCs/>
          <w:sz w:val="17"/>
          <w:lang w:val="en-GB"/>
        </w:rPr>
      </w:pPr>
      <w:r w:rsidRPr="008E2A7B">
        <w:rPr>
          <w:lang w:val="en-GB"/>
        </w:rPr>
        <w:lastRenderedPageBreak/>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13</w:t>
      </w:r>
      <w:r w:rsidRPr="008E2A7B">
        <w:rPr>
          <w:lang w:val="en-GB"/>
        </w:rPr>
        <w:fldChar w:fldCharType="end"/>
      </w:r>
      <w:bookmarkEnd w:id="52"/>
      <w:r w:rsidRPr="008E2A7B">
        <w:rPr>
          <w:i/>
          <w:lang w:val="en-GB"/>
        </w:rPr>
        <w:t xml:space="preserve"> </w:t>
      </w:r>
      <w:r w:rsidRPr="008E2A7B">
        <w:rPr>
          <w:lang w:val="en-GB"/>
        </w:rPr>
        <w:t>Historical and projected emissions and removals of greenhouse gases by sector (million tonnes CO</w:t>
      </w:r>
      <w:r w:rsidRPr="008E2A7B">
        <w:rPr>
          <w:vertAlign w:val="subscript"/>
          <w:lang w:val="en-GB"/>
        </w:rPr>
        <w:t>2</w:t>
      </w:r>
      <w:r w:rsidRPr="008E2A7B">
        <w:rPr>
          <w:lang w:val="en-GB"/>
        </w:rPr>
        <w:t>-equivalents)</w:t>
      </w:r>
    </w:p>
    <w:tbl>
      <w:tblPr>
        <w:tblStyle w:val="Enkeltabell1"/>
        <w:tblW w:w="7947" w:type="dxa"/>
        <w:tblLayout w:type="fixed"/>
        <w:tblLook w:val="01E0" w:firstRow="1" w:lastRow="1" w:firstColumn="1" w:lastColumn="1" w:noHBand="0" w:noVBand="0"/>
      </w:tblPr>
      <w:tblGrid>
        <w:gridCol w:w="2127"/>
        <w:gridCol w:w="727"/>
        <w:gridCol w:w="727"/>
        <w:gridCol w:w="728"/>
        <w:gridCol w:w="727"/>
        <w:gridCol w:w="728"/>
        <w:gridCol w:w="727"/>
        <w:gridCol w:w="728"/>
        <w:gridCol w:w="728"/>
      </w:tblGrid>
      <w:tr w:rsidR="003F73BA" w:rsidRPr="008E2A7B" w14:paraId="189BFEAA" w14:textId="77777777" w:rsidTr="003F73BA">
        <w:trPr>
          <w:cnfStyle w:val="100000000000" w:firstRow="1" w:lastRow="0" w:firstColumn="0" w:lastColumn="0" w:oddVBand="0" w:evenVBand="0" w:oddHBand="0" w:evenHBand="0" w:firstRowFirstColumn="0" w:firstRowLastColumn="0" w:lastRowFirstColumn="0" w:lastRowLastColumn="0"/>
          <w:trHeight w:val="464"/>
        </w:trPr>
        <w:tc>
          <w:tcPr>
            <w:tcW w:w="2127" w:type="dxa"/>
          </w:tcPr>
          <w:p w14:paraId="385931EF" w14:textId="77777777" w:rsidR="003F73BA" w:rsidRPr="008E2A7B" w:rsidRDefault="003F73BA" w:rsidP="003F73BA">
            <w:pPr>
              <w:rPr>
                <w:rFonts w:ascii="Arial" w:hAnsi="Arial" w:cs="Arial"/>
                <w:b/>
                <w:sz w:val="18"/>
                <w:szCs w:val="18"/>
                <w:lang w:val="en-GB"/>
              </w:rPr>
            </w:pPr>
          </w:p>
        </w:tc>
        <w:tc>
          <w:tcPr>
            <w:tcW w:w="727" w:type="dxa"/>
          </w:tcPr>
          <w:p w14:paraId="50DD7D6F"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1990</w:t>
            </w:r>
          </w:p>
        </w:tc>
        <w:tc>
          <w:tcPr>
            <w:tcW w:w="727" w:type="dxa"/>
          </w:tcPr>
          <w:p w14:paraId="5C21DC78"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2015</w:t>
            </w:r>
          </w:p>
        </w:tc>
        <w:tc>
          <w:tcPr>
            <w:tcW w:w="728" w:type="dxa"/>
          </w:tcPr>
          <w:p w14:paraId="1A13DCEF"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2020</w:t>
            </w:r>
          </w:p>
        </w:tc>
        <w:tc>
          <w:tcPr>
            <w:tcW w:w="727" w:type="dxa"/>
          </w:tcPr>
          <w:p w14:paraId="070F818A"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2025</w:t>
            </w:r>
          </w:p>
        </w:tc>
        <w:tc>
          <w:tcPr>
            <w:tcW w:w="728" w:type="dxa"/>
          </w:tcPr>
          <w:p w14:paraId="78E92DE5"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2030</w:t>
            </w:r>
          </w:p>
        </w:tc>
        <w:tc>
          <w:tcPr>
            <w:tcW w:w="727" w:type="dxa"/>
          </w:tcPr>
          <w:p w14:paraId="2492B52F"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2035</w:t>
            </w:r>
          </w:p>
        </w:tc>
        <w:tc>
          <w:tcPr>
            <w:tcW w:w="728" w:type="dxa"/>
          </w:tcPr>
          <w:p w14:paraId="2B3DA3D1"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1990-2020</w:t>
            </w:r>
          </w:p>
        </w:tc>
        <w:tc>
          <w:tcPr>
            <w:tcW w:w="728" w:type="dxa"/>
          </w:tcPr>
          <w:p w14:paraId="76C2574C"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1990-2030</w:t>
            </w:r>
          </w:p>
        </w:tc>
      </w:tr>
      <w:tr w:rsidR="003F73BA" w:rsidRPr="008E2A7B" w14:paraId="5873589C" w14:textId="77777777" w:rsidTr="003F73BA">
        <w:trPr>
          <w:trHeight w:val="227"/>
        </w:trPr>
        <w:tc>
          <w:tcPr>
            <w:tcW w:w="2127" w:type="dxa"/>
          </w:tcPr>
          <w:p w14:paraId="33858392"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Energy excl. transport</w:t>
            </w:r>
          </w:p>
        </w:tc>
        <w:tc>
          <w:tcPr>
            <w:tcW w:w="727" w:type="dxa"/>
          </w:tcPr>
          <w:p w14:paraId="24153A47"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33.8</w:t>
            </w:r>
          </w:p>
        </w:tc>
        <w:tc>
          <w:tcPr>
            <w:tcW w:w="727" w:type="dxa"/>
          </w:tcPr>
          <w:p w14:paraId="5D697F25"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20.8</w:t>
            </w:r>
          </w:p>
        </w:tc>
        <w:tc>
          <w:tcPr>
            <w:tcW w:w="728" w:type="dxa"/>
          </w:tcPr>
          <w:p w14:paraId="333FA7FA"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20.7</w:t>
            </w:r>
          </w:p>
        </w:tc>
        <w:tc>
          <w:tcPr>
            <w:tcW w:w="727" w:type="dxa"/>
          </w:tcPr>
          <w:p w14:paraId="2C1BED20"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20.2</w:t>
            </w:r>
          </w:p>
        </w:tc>
        <w:tc>
          <w:tcPr>
            <w:tcW w:w="728" w:type="dxa"/>
          </w:tcPr>
          <w:p w14:paraId="4664AD28"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19.3</w:t>
            </w:r>
          </w:p>
        </w:tc>
        <w:tc>
          <w:tcPr>
            <w:tcW w:w="727" w:type="dxa"/>
          </w:tcPr>
          <w:p w14:paraId="1F53AAC7"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18.4</w:t>
            </w:r>
          </w:p>
        </w:tc>
        <w:tc>
          <w:tcPr>
            <w:tcW w:w="728" w:type="dxa"/>
          </w:tcPr>
          <w:p w14:paraId="67CB6690"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-39%</w:t>
            </w:r>
          </w:p>
        </w:tc>
        <w:tc>
          <w:tcPr>
            <w:tcW w:w="728" w:type="dxa"/>
          </w:tcPr>
          <w:p w14:paraId="012A8D17"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-43%</w:t>
            </w:r>
          </w:p>
        </w:tc>
      </w:tr>
      <w:tr w:rsidR="003F73BA" w:rsidRPr="008E2A7B" w14:paraId="50C1D731" w14:textId="77777777" w:rsidTr="003F73BA">
        <w:trPr>
          <w:trHeight w:val="227"/>
        </w:trPr>
        <w:tc>
          <w:tcPr>
            <w:tcW w:w="2127" w:type="dxa"/>
          </w:tcPr>
          <w:p w14:paraId="5C1B4DC9"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Transport</w:t>
            </w:r>
          </w:p>
        </w:tc>
        <w:tc>
          <w:tcPr>
            <w:tcW w:w="727" w:type="dxa"/>
          </w:tcPr>
          <w:p w14:paraId="1E83F9A7"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19.3</w:t>
            </w:r>
          </w:p>
        </w:tc>
        <w:tc>
          <w:tcPr>
            <w:tcW w:w="727" w:type="dxa"/>
          </w:tcPr>
          <w:p w14:paraId="480D4925"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18.2</w:t>
            </w:r>
          </w:p>
        </w:tc>
        <w:tc>
          <w:tcPr>
            <w:tcW w:w="728" w:type="dxa"/>
          </w:tcPr>
          <w:p w14:paraId="40BBE33D"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15.4</w:t>
            </w:r>
          </w:p>
        </w:tc>
        <w:tc>
          <w:tcPr>
            <w:tcW w:w="727" w:type="dxa"/>
          </w:tcPr>
          <w:p w14:paraId="030969FD"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14.3</w:t>
            </w:r>
          </w:p>
        </w:tc>
        <w:tc>
          <w:tcPr>
            <w:tcW w:w="728" w:type="dxa"/>
          </w:tcPr>
          <w:p w14:paraId="1B33C5AF"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13.6</w:t>
            </w:r>
          </w:p>
        </w:tc>
        <w:tc>
          <w:tcPr>
            <w:tcW w:w="727" w:type="dxa"/>
          </w:tcPr>
          <w:p w14:paraId="2C339BF3"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13.1</w:t>
            </w:r>
          </w:p>
        </w:tc>
        <w:tc>
          <w:tcPr>
            <w:tcW w:w="728" w:type="dxa"/>
          </w:tcPr>
          <w:p w14:paraId="52F28DCC"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-20%</w:t>
            </w:r>
          </w:p>
        </w:tc>
        <w:tc>
          <w:tcPr>
            <w:tcW w:w="728" w:type="dxa"/>
          </w:tcPr>
          <w:p w14:paraId="3E36A0C1"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-30%</w:t>
            </w:r>
          </w:p>
        </w:tc>
      </w:tr>
      <w:tr w:rsidR="003F73BA" w:rsidRPr="008E2A7B" w14:paraId="53CDB9B4" w14:textId="77777777" w:rsidTr="003F73BA">
        <w:trPr>
          <w:trHeight w:val="227"/>
        </w:trPr>
        <w:tc>
          <w:tcPr>
            <w:tcW w:w="2127" w:type="dxa"/>
          </w:tcPr>
          <w:p w14:paraId="37694CCA"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Industrial processes and product use</w:t>
            </w:r>
          </w:p>
        </w:tc>
        <w:tc>
          <w:tcPr>
            <w:tcW w:w="727" w:type="dxa"/>
          </w:tcPr>
          <w:p w14:paraId="5DB3C0FD"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7.2</w:t>
            </w:r>
          </w:p>
        </w:tc>
        <w:tc>
          <w:tcPr>
            <w:tcW w:w="727" w:type="dxa"/>
          </w:tcPr>
          <w:p w14:paraId="53FFA16B"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6.4</w:t>
            </w:r>
          </w:p>
        </w:tc>
        <w:tc>
          <w:tcPr>
            <w:tcW w:w="728" w:type="dxa"/>
          </w:tcPr>
          <w:p w14:paraId="10E07B36"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6.3</w:t>
            </w:r>
          </w:p>
        </w:tc>
        <w:tc>
          <w:tcPr>
            <w:tcW w:w="727" w:type="dxa"/>
          </w:tcPr>
          <w:p w14:paraId="0EE38B54"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6.2</w:t>
            </w:r>
          </w:p>
        </w:tc>
        <w:tc>
          <w:tcPr>
            <w:tcW w:w="728" w:type="dxa"/>
          </w:tcPr>
          <w:p w14:paraId="4A64DEA5"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6.1</w:t>
            </w:r>
          </w:p>
        </w:tc>
        <w:tc>
          <w:tcPr>
            <w:tcW w:w="727" w:type="dxa"/>
          </w:tcPr>
          <w:p w14:paraId="1ABE4493"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6.0</w:t>
            </w:r>
          </w:p>
        </w:tc>
        <w:tc>
          <w:tcPr>
            <w:tcW w:w="728" w:type="dxa"/>
          </w:tcPr>
          <w:p w14:paraId="10596CB5"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-12%</w:t>
            </w:r>
          </w:p>
        </w:tc>
        <w:tc>
          <w:tcPr>
            <w:tcW w:w="728" w:type="dxa"/>
          </w:tcPr>
          <w:p w14:paraId="51AC2329"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-15%</w:t>
            </w:r>
          </w:p>
        </w:tc>
      </w:tr>
      <w:tr w:rsidR="003F73BA" w:rsidRPr="008E2A7B" w14:paraId="68C5B645" w14:textId="77777777" w:rsidTr="003F73BA">
        <w:trPr>
          <w:trHeight w:val="227"/>
        </w:trPr>
        <w:tc>
          <w:tcPr>
            <w:tcW w:w="2127" w:type="dxa"/>
          </w:tcPr>
          <w:p w14:paraId="165A181E"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Agriculture</w:t>
            </w:r>
          </w:p>
        </w:tc>
        <w:tc>
          <w:tcPr>
            <w:tcW w:w="727" w:type="dxa"/>
          </w:tcPr>
          <w:p w14:paraId="195BF5B1"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7.6</w:t>
            </w:r>
          </w:p>
        </w:tc>
        <w:tc>
          <w:tcPr>
            <w:tcW w:w="727" w:type="dxa"/>
          </w:tcPr>
          <w:p w14:paraId="77ED4304"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6.9</w:t>
            </w:r>
          </w:p>
        </w:tc>
        <w:tc>
          <w:tcPr>
            <w:tcW w:w="728" w:type="dxa"/>
          </w:tcPr>
          <w:p w14:paraId="6430E7BD"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6.4</w:t>
            </w:r>
          </w:p>
        </w:tc>
        <w:tc>
          <w:tcPr>
            <w:tcW w:w="727" w:type="dxa"/>
          </w:tcPr>
          <w:p w14:paraId="43371E18"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6.1</w:t>
            </w:r>
          </w:p>
        </w:tc>
        <w:tc>
          <w:tcPr>
            <w:tcW w:w="728" w:type="dxa"/>
          </w:tcPr>
          <w:p w14:paraId="348A4FCB"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5.9</w:t>
            </w:r>
          </w:p>
        </w:tc>
        <w:tc>
          <w:tcPr>
            <w:tcW w:w="727" w:type="dxa"/>
          </w:tcPr>
          <w:p w14:paraId="3923E6C1"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5.4</w:t>
            </w:r>
          </w:p>
        </w:tc>
        <w:tc>
          <w:tcPr>
            <w:tcW w:w="728" w:type="dxa"/>
          </w:tcPr>
          <w:p w14:paraId="315842F2"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-17%</w:t>
            </w:r>
          </w:p>
        </w:tc>
        <w:tc>
          <w:tcPr>
            <w:tcW w:w="728" w:type="dxa"/>
          </w:tcPr>
          <w:p w14:paraId="220D06AC"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-23%</w:t>
            </w:r>
          </w:p>
        </w:tc>
      </w:tr>
      <w:tr w:rsidR="003F73BA" w:rsidRPr="008E2A7B" w14:paraId="4297D936" w14:textId="77777777" w:rsidTr="003F73BA">
        <w:trPr>
          <w:trHeight w:val="227"/>
        </w:trPr>
        <w:tc>
          <w:tcPr>
            <w:tcW w:w="2127" w:type="dxa"/>
          </w:tcPr>
          <w:p w14:paraId="03EE6157"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Waste</w:t>
            </w:r>
          </w:p>
        </w:tc>
        <w:tc>
          <w:tcPr>
            <w:tcW w:w="727" w:type="dxa"/>
          </w:tcPr>
          <w:p w14:paraId="6B190C23"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3.7</w:t>
            </w:r>
          </w:p>
        </w:tc>
        <w:tc>
          <w:tcPr>
            <w:tcW w:w="727" w:type="dxa"/>
          </w:tcPr>
          <w:p w14:paraId="3AF38A22"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1.4</w:t>
            </w:r>
          </w:p>
        </w:tc>
        <w:tc>
          <w:tcPr>
            <w:tcW w:w="728" w:type="dxa"/>
          </w:tcPr>
          <w:p w14:paraId="2C071817"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1.1</w:t>
            </w:r>
          </w:p>
        </w:tc>
        <w:tc>
          <w:tcPr>
            <w:tcW w:w="727" w:type="dxa"/>
          </w:tcPr>
          <w:p w14:paraId="2733E6C0"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0.9</w:t>
            </w:r>
          </w:p>
        </w:tc>
        <w:tc>
          <w:tcPr>
            <w:tcW w:w="728" w:type="dxa"/>
          </w:tcPr>
          <w:p w14:paraId="0D2816AA"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0.7</w:t>
            </w:r>
          </w:p>
        </w:tc>
        <w:tc>
          <w:tcPr>
            <w:tcW w:w="727" w:type="dxa"/>
          </w:tcPr>
          <w:p w14:paraId="55FA331A"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0.7</w:t>
            </w:r>
          </w:p>
        </w:tc>
        <w:tc>
          <w:tcPr>
            <w:tcW w:w="728" w:type="dxa"/>
          </w:tcPr>
          <w:p w14:paraId="7A8740E3" w14:textId="77777777" w:rsidR="003F73BA" w:rsidRPr="008E2A7B" w:rsidRDefault="003F73BA" w:rsidP="003F73BA">
            <w:pPr>
              <w:jc w:val="right"/>
              <w:rPr>
                <w:rFonts w:ascii="Arial" w:hAnsi="Arial" w:cs="Arial"/>
                <w:sz w:val="18"/>
                <w:szCs w:val="18"/>
                <w:lang w:val="en-GB"/>
              </w:rPr>
            </w:pPr>
            <w:r w:rsidRPr="008E2A7B">
              <w:rPr>
                <w:rFonts w:ascii="Arial" w:hAnsi="Arial" w:cs="Arial"/>
                <w:sz w:val="18"/>
                <w:szCs w:val="18"/>
                <w:lang w:val="en-GB"/>
              </w:rPr>
              <w:t>-72%</w:t>
            </w:r>
          </w:p>
        </w:tc>
        <w:tc>
          <w:tcPr>
            <w:tcW w:w="728" w:type="dxa"/>
          </w:tcPr>
          <w:p w14:paraId="31D13981"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-81%</w:t>
            </w:r>
          </w:p>
        </w:tc>
      </w:tr>
      <w:tr w:rsidR="003F73BA" w:rsidRPr="008E2A7B" w14:paraId="4F9DA74E" w14:textId="77777777" w:rsidTr="003F73BA">
        <w:trPr>
          <w:trHeight w:val="227"/>
        </w:trPr>
        <w:tc>
          <w:tcPr>
            <w:tcW w:w="2127" w:type="dxa"/>
          </w:tcPr>
          <w:p w14:paraId="5674D42B" w14:textId="77777777" w:rsidR="003F73BA" w:rsidRPr="008E2A7B" w:rsidRDefault="003F73BA" w:rsidP="003F73BA">
            <w:pPr>
              <w:rPr>
                <w:rFonts w:ascii="Arial" w:hAnsi="Arial" w:cs="Arial"/>
                <w:b/>
                <w:sz w:val="18"/>
                <w:szCs w:val="18"/>
                <w:lang w:val="en-GB"/>
              </w:rPr>
            </w:pPr>
            <w:r w:rsidRPr="008E2A7B">
              <w:rPr>
                <w:rFonts w:ascii="Arial" w:hAnsi="Arial" w:cs="Arial"/>
                <w:b/>
                <w:sz w:val="18"/>
                <w:szCs w:val="18"/>
                <w:lang w:val="en-GB"/>
              </w:rPr>
              <w:t>Total emissions</w:t>
            </w:r>
          </w:p>
        </w:tc>
        <w:tc>
          <w:tcPr>
            <w:tcW w:w="727" w:type="dxa"/>
          </w:tcPr>
          <w:p w14:paraId="5AFC5082"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71.6</w:t>
            </w:r>
          </w:p>
        </w:tc>
        <w:tc>
          <w:tcPr>
            <w:tcW w:w="727" w:type="dxa"/>
          </w:tcPr>
          <w:p w14:paraId="1CA971BB"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53.7</w:t>
            </w:r>
          </w:p>
        </w:tc>
        <w:tc>
          <w:tcPr>
            <w:tcW w:w="728" w:type="dxa"/>
          </w:tcPr>
          <w:p w14:paraId="2B7CD8FE"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49.9</w:t>
            </w:r>
          </w:p>
        </w:tc>
        <w:tc>
          <w:tcPr>
            <w:tcW w:w="727" w:type="dxa"/>
          </w:tcPr>
          <w:p w14:paraId="6F9D5BBE"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47.7</w:t>
            </w:r>
          </w:p>
        </w:tc>
        <w:tc>
          <w:tcPr>
            <w:tcW w:w="728" w:type="dxa"/>
          </w:tcPr>
          <w:p w14:paraId="02D56F34"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45.6</w:t>
            </w:r>
          </w:p>
        </w:tc>
        <w:tc>
          <w:tcPr>
            <w:tcW w:w="727" w:type="dxa"/>
          </w:tcPr>
          <w:p w14:paraId="5117D603"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43.6</w:t>
            </w:r>
          </w:p>
        </w:tc>
        <w:tc>
          <w:tcPr>
            <w:tcW w:w="728" w:type="dxa"/>
          </w:tcPr>
          <w:p w14:paraId="1A7A0CCF"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-30%</w:t>
            </w:r>
          </w:p>
        </w:tc>
        <w:tc>
          <w:tcPr>
            <w:tcW w:w="728" w:type="dxa"/>
          </w:tcPr>
          <w:p w14:paraId="574A11E7" w14:textId="77777777" w:rsidR="003F73BA" w:rsidRPr="008E2A7B" w:rsidRDefault="003F73BA" w:rsidP="003F73BA">
            <w:pPr>
              <w:jc w:val="right"/>
              <w:rPr>
                <w:rFonts w:ascii="Arial" w:hAnsi="Arial" w:cs="Arial"/>
                <w:b/>
                <w:sz w:val="18"/>
                <w:szCs w:val="18"/>
                <w:lang w:val="en-GB"/>
              </w:rPr>
            </w:pPr>
            <w:r w:rsidRPr="008E2A7B">
              <w:rPr>
                <w:rFonts w:ascii="Arial" w:hAnsi="Arial" w:cs="Arial"/>
                <w:b/>
                <w:sz w:val="18"/>
                <w:szCs w:val="18"/>
                <w:lang w:val="en-GB"/>
              </w:rPr>
              <w:t>-36%</w:t>
            </w:r>
          </w:p>
        </w:tc>
      </w:tr>
      <w:tr w:rsidR="003F73BA" w:rsidRPr="008E2A7B" w14:paraId="28C74348" w14:textId="77777777" w:rsidTr="003F73BA">
        <w:trPr>
          <w:cnfStyle w:val="010000000000" w:firstRow="0" w:lastRow="1" w:firstColumn="0" w:lastColumn="0" w:oddVBand="0" w:evenVBand="0" w:oddHBand="0" w:evenHBand="0" w:firstRowFirstColumn="0" w:firstRowLastColumn="0" w:lastRowFirstColumn="0" w:lastRowLastColumn="0"/>
          <w:trHeight w:val="227"/>
        </w:trPr>
        <w:tc>
          <w:tcPr>
            <w:tcW w:w="2127" w:type="dxa"/>
          </w:tcPr>
          <w:p w14:paraId="6E2833C0" w14:textId="77777777" w:rsidR="003F73BA" w:rsidRPr="008E2A7B" w:rsidRDefault="003F73BA" w:rsidP="003F73BA">
            <w:pPr>
              <w:rPr>
                <w:rFonts w:ascii="Arial" w:hAnsi="Arial" w:cs="Arial"/>
                <w:b/>
                <w:sz w:val="18"/>
                <w:szCs w:val="18"/>
                <w:lang w:val="en-GB"/>
              </w:rPr>
            </w:pPr>
            <w:r w:rsidRPr="008E2A7B">
              <w:rPr>
                <w:rFonts w:ascii="Arial" w:hAnsi="Arial" w:cs="Arial"/>
                <w:sz w:val="18"/>
                <w:szCs w:val="18"/>
                <w:lang w:val="en-GB"/>
              </w:rPr>
              <w:t>LULUCF</w:t>
            </w:r>
          </w:p>
        </w:tc>
        <w:tc>
          <w:tcPr>
            <w:tcW w:w="727" w:type="dxa"/>
          </w:tcPr>
          <w:p w14:paraId="1756337B"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-36.7</w:t>
            </w:r>
          </w:p>
        </w:tc>
        <w:tc>
          <w:tcPr>
            <w:tcW w:w="727" w:type="dxa"/>
          </w:tcPr>
          <w:p w14:paraId="6101AA5B"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-50.5</w:t>
            </w:r>
          </w:p>
        </w:tc>
        <w:tc>
          <w:tcPr>
            <w:tcW w:w="728" w:type="dxa"/>
          </w:tcPr>
          <w:p w14:paraId="17F15980"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-43.3</w:t>
            </w:r>
          </w:p>
        </w:tc>
        <w:tc>
          <w:tcPr>
            <w:tcW w:w="727" w:type="dxa"/>
          </w:tcPr>
          <w:p w14:paraId="21034151"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-44.3</w:t>
            </w:r>
          </w:p>
        </w:tc>
        <w:tc>
          <w:tcPr>
            <w:tcW w:w="728" w:type="dxa"/>
          </w:tcPr>
          <w:p w14:paraId="14ED94A6"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-42.2</w:t>
            </w:r>
          </w:p>
        </w:tc>
        <w:tc>
          <w:tcPr>
            <w:tcW w:w="727" w:type="dxa"/>
          </w:tcPr>
          <w:p w14:paraId="796C5E12"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-40.5</w:t>
            </w:r>
          </w:p>
        </w:tc>
        <w:tc>
          <w:tcPr>
            <w:tcW w:w="728" w:type="dxa"/>
          </w:tcPr>
          <w:p w14:paraId="4D61DA77"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18%</w:t>
            </w:r>
          </w:p>
        </w:tc>
        <w:tc>
          <w:tcPr>
            <w:tcW w:w="728" w:type="dxa"/>
          </w:tcPr>
          <w:p w14:paraId="3E06DFDF" w14:textId="77777777" w:rsidR="003F73BA" w:rsidRPr="008E2A7B" w:rsidRDefault="003F73BA" w:rsidP="003F73BA">
            <w:pPr>
              <w:jc w:val="right"/>
              <w:rPr>
                <w:rFonts w:ascii="Arial" w:hAnsi="Arial" w:cs="Arial"/>
                <w:b/>
                <w:sz w:val="18"/>
                <w:szCs w:val="18"/>
                <w:lang w:val="en-GB"/>
              </w:rPr>
            </w:pPr>
            <w:r w:rsidRPr="008E2A7B">
              <w:rPr>
                <w:rFonts w:ascii="Arial" w:hAnsi="Arial" w:cs="Arial"/>
                <w:sz w:val="18"/>
                <w:szCs w:val="18"/>
                <w:lang w:val="en-GB"/>
              </w:rPr>
              <w:t>15%</w:t>
            </w:r>
          </w:p>
        </w:tc>
      </w:tr>
    </w:tbl>
    <w:p w14:paraId="7F6CEFC1" w14:textId="77777777" w:rsidR="0044710E" w:rsidRPr="008E2A7B" w:rsidRDefault="0044710E" w:rsidP="0044710E">
      <w:pPr>
        <w:rPr>
          <w:lang w:val="en-GB"/>
        </w:rPr>
      </w:pPr>
    </w:p>
    <w:p w14:paraId="79B2D67C" w14:textId="77777777" w:rsidR="0044710E" w:rsidRPr="008E2A7B" w:rsidRDefault="0044710E" w:rsidP="0044710E">
      <w:pPr>
        <w:pStyle w:val="Rubrik3"/>
        <w:rPr>
          <w:lang w:val="en-GB"/>
        </w:rPr>
      </w:pPr>
      <w:r w:rsidRPr="008E2A7B">
        <w:rPr>
          <w:lang w:val="en-GB"/>
        </w:rPr>
        <w:t xml:space="preserve">Renewable energy </w:t>
      </w:r>
    </w:p>
    <w:p w14:paraId="5CDB5C2A" w14:textId="77777777" w:rsidR="0044710E" w:rsidRPr="008E2A7B" w:rsidRDefault="0044710E" w:rsidP="0044710E">
      <w:pPr>
        <w:pStyle w:val="i-lista"/>
        <w:numPr>
          <w:ilvl w:val="1"/>
          <w:numId w:val="33"/>
        </w:numPr>
        <w:rPr>
          <w:i/>
          <w:lang w:val="en-GB"/>
        </w:rPr>
      </w:pPr>
      <w:r w:rsidRPr="008E2A7B">
        <w:rPr>
          <w:i/>
          <w:lang w:val="en-GB"/>
        </w:rPr>
        <w:t>Current share of renewable energy in gross final energy consumption and in different sectors (heating and cooling, electricity and transport) as well as per technology in each of these sectors</w:t>
      </w:r>
    </w:p>
    <w:p w14:paraId="666BA0AE" w14:textId="349FF16C" w:rsidR="0044710E" w:rsidRPr="008E2A7B" w:rsidRDefault="00331D94" w:rsidP="0044710E">
      <w:pPr>
        <w:pStyle w:val="Brdtext"/>
        <w:rPr>
          <w:lang w:val="en-GB"/>
        </w:rPr>
      </w:pPr>
      <w:r w:rsidRPr="008E2A7B">
        <w:rPr>
          <w:lang w:val="en-GB"/>
        </w:rPr>
        <w:fldChar w:fldCharType="begin"/>
      </w:r>
      <w:r w:rsidRPr="008E2A7B">
        <w:rPr>
          <w:lang w:val="en-GB"/>
        </w:rPr>
        <w:instrText xml:space="preserve"> REF _Ref496279745 \h </w:instrText>
      </w:r>
      <w:r w:rsidRPr="008E2A7B">
        <w:rPr>
          <w:lang w:val="en-GB"/>
        </w:rPr>
      </w:r>
      <w:r w:rsidRPr="008E2A7B">
        <w:rPr>
          <w:lang w:val="en-GB"/>
        </w:rPr>
        <w:fldChar w:fldCharType="separate"/>
      </w:r>
      <w:r w:rsidR="00790F3D" w:rsidRPr="008E2A7B">
        <w:rPr>
          <w:lang w:val="en-GB"/>
        </w:rPr>
        <w:t xml:space="preserve">Table </w:t>
      </w:r>
      <w:r w:rsidR="00790F3D" w:rsidRPr="008E2A7B">
        <w:rPr>
          <w:noProof/>
          <w:lang w:val="en-GB"/>
        </w:rPr>
        <w:t>14</w:t>
      </w:r>
      <w:r w:rsidRPr="008E2A7B">
        <w:rPr>
          <w:lang w:val="en-GB"/>
        </w:rPr>
        <w:fldChar w:fldCharType="end"/>
      </w:r>
      <w:r w:rsidR="0044710E" w:rsidRPr="008E2A7B">
        <w:rPr>
          <w:lang w:val="en-GB"/>
        </w:rPr>
        <w:t xml:space="preserve"> below shows the current share of renewable energy in total and for each sector, as well as developments since 2005, according to the official reporting and calculation in Shares, the calculation tool for the Renewable Energy Directive. </w:t>
      </w:r>
    </w:p>
    <w:p w14:paraId="4A0022DB" w14:textId="525D9B14" w:rsidR="0044710E" w:rsidRPr="008E2A7B" w:rsidRDefault="0044710E" w:rsidP="0044710E">
      <w:pPr>
        <w:pStyle w:val="Beskrivning"/>
        <w:rPr>
          <w:b w:val="0"/>
          <w:szCs w:val="20"/>
          <w:lang w:val="en-GB"/>
        </w:rPr>
      </w:pPr>
      <w:bookmarkStart w:id="53" w:name="_Ref496279745"/>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14</w:t>
      </w:r>
      <w:r w:rsidRPr="008E2A7B">
        <w:rPr>
          <w:lang w:val="en-GB"/>
        </w:rPr>
        <w:fldChar w:fldCharType="end"/>
      </w:r>
      <w:bookmarkEnd w:id="53"/>
      <w:r w:rsidRPr="008E2A7B">
        <w:rPr>
          <w:szCs w:val="20"/>
          <w:lang w:val="en-GB"/>
        </w:rPr>
        <w:t xml:space="preserve"> Percentage of renewable energy, total and per sector 2005-2015, %</w:t>
      </w:r>
    </w:p>
    <w:tbl>
      <w:tblPr>
        <w:tblStyle w:val="Enkeltabell1"/>
        <w:tblW w:w="8412" w:type="dxa"/>
        <w:tblLook w:val="04A0" w:firstRow="1" w:lastRow="0" w:firstColumn="1" w:lastColumn="0" w:noHBand="0" w:noVBand="1"/>
      </w:tblPr>
      <w:tblGrid>
        <w:gridCol w:w="1311"/>
        <w:gridCol w:w="636"/>
        <w:gridCol w:w="636"/>
        <w:gridCol w:w="636"/>
        <w:gridCol w:w="636"/>
        <w:gridCol w:w="636"/>
        <w:gridCol w:w="636"/>
        <w:gridCol w:w="636"/>
        <w:gridCol w:w="636"/>
        <w:gridCol w:w="636"/>
        <w:gridCol w:w="741"/>
        <w:gridCol w:w="636"/>
      </w:tblGrid>
      <w:tr w:rsidR="0044710E" w:rsidRPr="008E2A7B" w14:paraId="48A87912" w14:textId="77777777" w:rsidTr="0044710E">
        <w:trPr>
          <w:cnfStyle w:val="100000000000" w:firstRow="1" w:lastRow="0" w:firstColumn="0" w:lastColumn="0" w:oddVBand="0" w:evenVBand="0" w:oddHBand="0" w:evenHBand="0" w:firstRowFirstColumn="0" w:firstRowLastColumn="0" w:lastRowFirstColumn="0" w:lastRowLastColumn="0"/>
        </w:trPr>
        <w:tc>
          <w:tcPr>
            <w:tcW w:w="1311" w:type="dxa"/>
          </w:tcPr>
          <w:p w14:paraId="0245F7C4"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513EC343"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2005</w:t>
            </w:r>
          </w:p>
        </w:tc>
        <w:tc>
          <w:tcPr>
            <w:tcW w:w="636" w:type="dxa"/>
          </w:tcPr>
          <w:p w14:paraId="6FD5CFDC"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2006</w:t>
            </w:r>
          </w:p>
        </w:tc>
        <w:tc>
          <w:tcPr>
            <w:tcW w:w="636" w:type="dxa"/>
          </w:tcPr>
          <w:p w14:paraId="789418B0"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2007</w:t>
            </w:r>
          </w:p>
        </w:tc>
        <w:tc>
          <w:tcPr>
            <w:tcW w:w="636" w:type="dxa"/>
          </w:tcPr>
          <w:p w14:paraId="64841C2F"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2008</w:t>
            </w:r>
          </w:p>
        </w:tc>
        <w:tc>
          <w:tcPr>
            <w:tcW w:w="636" w:type="dxa"/>
          </w:tcPr>
          <w:p w14:paraId="3B3A27D8"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2009</w:t>
            </w:r>
          </w:p>
        </w:tc>
        <w:tc>
          <w:tcPr>
            <w:tcW w:w="636" w:type="dxa"/>
          </w:tcPr>
          <w:p w14:paraId="41174B1B"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2010</w:t>
            </w:r>
          </w:p>
        </w:tc>
        <w:tc>
          <w:tcPr>
            <w:tcW w:w="636" w:type="dxa"/>
          </w:tcPr>
          <w:p w14:paraId="35A92925"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2011</w:t>
            </w:r>
          </w:p>
        </w:tc>
        <w:tc>
          <w:tcPr>
            <w:tcW w:w="636" w:type="dxa"/>
          </w:tcPr>
          <w:p w14:paraId="359C3E38"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2012</w:t>
            </w:r>
          </w:p>
        </w:tc>
        <w:tc>
          <w:tcPr>
            <w:tcW w:w="636" w:type="dxa"/>
          </w:tcPr>
          <w:p w14:paraId="460BB2A6"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2013</w:t>
            </w:r>
          </w:p>
        </w:tc>
        <w:tc>
          <w:tcPr>
            <w:tcW w:w="741" w:type="dxa"/>
          </w:tcPr>
          <w:p w14:paraId="49D16F02"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2014</w:t>
            </w:r>
          </w:p>
        </w:tc>
        <w:tc>
          <w:tcPr>
            <w:tcW w:w="636" w:type="dxa"/>
          </w:tcPr>
          <w:p w14:paraId="029C7E5D" w14:textId="77777777" w:rsidR="0044710E" w:rsidRPr="008E2A7B" w:rsidRDefault="0044710E" w:rsidP="0044710E">
            <w:pPr>
              <w:pStyle w:val="Brdtext"/>
              <w:rPr>
                <w:b/>
                <w:sz w:val="20"/>
                <w:lang w:val="en-GB"/>
              </w:rPr>
            </w:pPr>
            <w:r w:rsidRPr="008E2A7B">
              <w:rPr>
                <w:b/>
                <w:color w:val="000000"/>
                <w:sz w:val="20"/>
                <w:lang w:val="en-GB"/>
              </w:rPr>
              <w:t>2015</w:t>
            </w:r>
          </w:p>
        </w:tc>
      </w:tr>
      <w:tr w:rsidR="0044710E" w:rsidRPr="008E2A7B" w14:paraId="7D776CAA" w14:textId="77777777" w:rsidTr="0044710E">
        <w:tc>
          <w:tcPr>
            <w:tcW w:w="1311" w:type="dxa"/>
          </w:tcPr>
          <w:p w14:paraId="023985BB"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Total share</w:t>
            </w:r>
          </w:p>
        </w:tc>
        <w:tc>
          <w:tcPr>
            <w:tcW w:w="636" w:type="dxa"/>
          </w:tcPr>
          <w:p w14:paraId="73CC0769"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40.6</w:t>
            </w:r>
          </w:p>
        </w:tc>
        <w:tc>
          <w:tcPr>
            <w:tcW w:w="636" w:type="dxa"/>
          </w:tcPr>
          <w:p w14:paraId="754534F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42.7</w:t>
            </w:r>
          </w:p>
        </w:tc>
        <w:tc>
          <w:tcPr>
            <w:tcW w:w="636" w:type="dxa"/>
          </w:tcPr>
          <w:p w14:paraId="7B0EC9C3"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44.2</w:t>
            </w:r>
          </w:p>
        </w:tc>
        <w:tc>
          <w:tcPr>
            <w:tcW w:w="636" w:type="dxa"/>
          </w:tcPr>
          <w:p w14:paraId="015F47C9"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45.3</w:t>
            </w:r>
          </w:p>
        </w:tc>
        <w:tc>
          <w:tcPr>
            <w:tcW w:w="636" w:type="dxa"/>
          </w:tcPr>
          <w:p w14:paraId="3F51ACEE"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48.2</w:t>
            </w:r>
          </w:p>
        </w:tc>
        <w:tc>
          <w:tcPr>
            <w:tcW w:w="636" w:type="dxa"/>
          </w:tcPr>
          <w:p w14:paraId="3B64082B"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47.2</w:t>
            </w:r>
          </w:p>
        </w:tc>
        <w:tc>
          <w:tcPr>
            <w:tcW w:w="636" w:type="dxa"/>
          </w:tcPr>
          <w:p w14:paraId="079A3988"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48.7</w:t>
            </w:r>
          </w:p>
        </w:tc>
        <w:tc>
          <w:tcPr>
            <w:tcW w:w="636" w:type="dxa"/>
          </w:tcPr>
          <w:p w14:paraId="429DDD10"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51.1</w:t>
            </w:r>
          </w:p>
        </w:tc>
        <w:tc>
          <w:tcPr>
            <w:tcW w:w="636" w:type="dxa"/>
          </w:tcPr>
          <w:p w14:paraId="3D3693AB"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52</w:t>
            </w:r>
          </w:p>
        </w:tc>
        <w:tc>
          <w:tcPr>
            <w:tcW w:w="741" w:type="dxa"/>
          </w:tcPr>
          <w:p w14:paraId="71CBCD54"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52.4</w:t>
            </w:r>
          </w:p>
        </w:tc>
        <w:tc>
          <w:tcPr>
            <w:tcW w:w="636" w:type="dxa"/>
          </w:tcPr>
          <w:p w14:paraId="3290F0EC" w14:textId="77777777" w:rsidR="0044710E" w:rsidRPr="008E2A7B" w:rsidRDefault="0044710E" w:rsidP="0044710E">
            <w:pPr>
              <w:pStyle w:val="Brdtext"/>
              <w:rPr>
                <w:sz w:val="20"/>
                <w:lang w:val="en-GB"/>
              </w:rPr>
            </w:pPr>
            <w:r w:rsidRPr="008E2A7B">
              <w:rPr>
                <w:color w:val="000000"/>
                <w:sz w:val="20"/>
                <w:lang w:val="en-GB"/>
              </w:rPr>
              <w:t>53.9</w:t>
            </w:r>
          </w:p>
        </w:tc>
      </w:tr>
      <w:tr w:rsidR="0044710E" w:rsidRPr="008E2A7B" w14:paraId="1494D566" w14:textId="77777777" w:rsidTr="0044710E">
        <w:tc>
          <w:tcPr>
            <w:tcW w:w="1311" w:type="dxa"/>
          </w:tcPr>
          <w:p w14:paraId="6990BB47"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Of which cooperation mechanisms</w:t>
            </w:r>
          </w:p>
        </w:tc>
        <w:tc>
          <w:tcPr>
            <w:tcW w:w="636" w:type="dxa"/>
          </w:tcPr>
          <w:p w14:paraId="706D8701"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34E12700"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3CA20BBC"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2FA8F1E1"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7F54229F"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59C11E74"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60BA292C" w14:textId="77777777" w:rsidR="0044710E" w:rsidRPr="008E2A7B" w:rsidRDefault="0044710E" w:rsidP="0044710E">
            <w:pPr>
              <w:pStyle w:val="Brdtext"/>
              <w:rPr>
                <w:rFonts w:asciiTheme="minorHAnsi" w:hAnsiTheme="minorHAnsi" w:cstheme="minorHAnsi"/>
                <w:sz w:val="20"/>
                <w:lang w:val="en-GB"/>
              </w:rPr>
            </w:pPr>
          </w:p>
        </w:tc>
        <w:tc>
          <w:tcPr>
            <w:tcW w:w="636" w:type="dxa"/>
          </w:tcPr>
          <w:p w14:paraId="60CA5F70"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-0.1</w:t>
            </w:r>
          </w:p>
        </w:tc>
        <w:tc>
          <w:tcPr>
            <w:tcW w:w="636" w:type="dxa"/>
          </w:tcPr>
          <w:p w14:paraId="4EBC3F73"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-0.4</w:t>
            </w:r>
          </w:p>
        </w:tc>
        <w:tc>
          <w:tcPr>
            <w:tcW w:w="741" w:type="dxa"/>
          </w:tcPr>
          <w:p w14:paraId="26DB10F8"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-0.7</w:t>
            </w:r>
          </w:p>
        </w:tc>
        <w:tc>
          <w:tcPr>
            <w:tcW w:w="636" w:type="dxa"/>
          </w:tcPr>
          <w:p w14:paraId="3D26CD0A" w14:textId="77777777" w:rsidR="0044710E" w:rsidRPr="008E2A7B" w:rsidRDefault="0044710E" w:rsidP="0044710E">
            <w:pPr>
              <w:pStyle w:val="Brdtext"/>
              <w:rPr>
                <w:sz w:val="20"/>
                <w:lang w:val="en-GB"/>
              </w:rPr>
            </w:pPr>
            <w:r w:rsidRPr="008E2A7B">
              <w:rPr>
                <w:color w:val="000000"/>
                <w:sz w:val="20"/>
                <w:lang w:val="en-GB"/>
              </w:rPr>
              <w:t>-1</w:t>
            </w:r>
          </w:p>
        </w:tc>
      </w:tr>
      <w:tr w:rsidR="0044710E" w:rsidRPr="008E2A7B" w14:paraId="2045BEC7" w14:textId="77777777" w:rsidTr="0044710E">
        <w:tc>
          <w:tcPr>
            <w:tcW w:w="1311" w:type="dxa"/>
          </w:tcPr>
          <w:p w14:paraId="2CCB5896"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Heating and cooling</w:t>
            </w:r>
          </w:p>
        </w:tc>
        <w:tc>
          <w:tcPr>
            <w:tcW w:w="636" w:type="dxa"/>
          </w:tcPr>
          <w:p w14:paraId="1012449E"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51.9</w:t>
            </w:r>
          </w:p>
        </w:tc>
        <w:tc>
          <w:tcPr>
            <w:tcW w:w="636" w:type="dxa"/>
          </w:tcPr>
          <w:p w14:paraId="27DF17E0"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56.4</w:t>
            </w:r>
          </w:p>
        </w:tc>
        <w:tc>
          <w:tcPr>
            <w:tcW w:w="636" w:type="dxa"/>
          </w:tcPr>
          <w:p w14:paraId="34A3A1E0"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58.7</w:t>
            </w:r>
          </w:p>
        </w:tc>
        <w:tc>
          <w:tcPr>
            <w:tcW w:w="636" w:type="dxa"/>
          </w:tcPr>
          <w:p w14:paraId="0485DC61"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61.1</w:t>
            </w:r>
          </w:p>
        </w:tc>
        <w:tc>
          <w:tcPr>
            <w:tcW w:w="636" w:type="dxa"/>
          </w:tcPr>
          <w:p w14:paraId="1E642C17"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63.6</w:t>
            </w:r>
          </w:p>
        </w:tc>
        <w:tc>
          <w:tcPr>
            <w:tcW w:w="636" w:type="dxa"/>
          </w:tcPr>
          <w:p w14:paraId="03FC2056"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60.9</w:t>
            </w:r>
          </w:p>
        </w:tc>
        <w:tc>
          <w:tcPr>
            <w:tcW w:w="636" w:type="dxa"/>
          </w:tcPr>
          <w:p w14:paraId="7A713CA2"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62.2</w:t>
            </w:r>
          </w:p>
        </w:tc>
        <w:tc>
          <w:tcPr>
            <w:tcW w:w="636" w:type="dxa"/>
          </w:tcPr>
          <w:p w14:paraId="6530184C"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65.8</w:t>
            </w:r>
          </w:p>
        </w:tc>
        <w:tc>
          <w:tcPr>
            <w:tcW w:w="636" w:type="dxa"/>
          </w:tcPr>
          <w:p w14:paraId="012108C9"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67.1</w:t>
            </w:r>
          </w:p>
        </w:tc>
        <w:tc>
          <w:tcPr>
            <w:tcW w:w="741" w:type="dxa"/>
          </w:tcPr>
          <w:p w14:paraId="6B5AAD15"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68</w:t>
            </w:r>
          </w:p>
        </w:tc>
        <w:tc>
          <w:tcPr>
            <w:tcW w:w="636" w:type="dxa"/>
          </w:tcPr>
          <w:p w14:paraId="10AEE2F6" w14:textId="77777777" w:rsidR="0044710E" w:rsidRPr="008E2A7B" w:rsidRDefault="0044710E" w:rsidP="0044710E">
            <w:pPr>
              <w:pStyle w:val="Brdtext"/>
              <w:rPr>
                <w:sz w:val="20"/>
                <w:lang w:val="en-GB"/>
              </w:rPr>
            </w:pPr>
            <w:r w:rsidRPr="008E2A7B">
              <w:rPr>
                <w:color w:val="000000"/>
                <w:sz w:val="20"/>
                <w:lang w:val="en-GB"/>
              </w:rPr>
              <w:t>68.6</w:t>
            </w:r>
          </w:p>
        </w:tc>
      </w:tr>
      <w:tr w:rsidR="0044710E" w:rsidRPr="008E2A7B" w14:paraId="173D2723" w14:textId="77777777" w:rsidTr="0044710E">
        <w:tc>
          <w:tcPr>
            <w:tcW w:w="1311" w:type="dxa"/>
          </w:tcPr>
          <w:p w14:paraId="2EB48FBE"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Electricity</w:t>
            </w:r>
          </w:p>
        </w:tc>
        <w:tc>
          <w:tcPr>
            <w:tcW w:w="636" w:type="dxa"/>
          </w:tcPr>
          <w:p w14:paraId="5FFB2F62"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50.9</w:t>
            </w:r>
          </w:p>
        </w:tc>
        <w:tc>
          <w:tcPr>
            <w:tcW w:w="636" w:type="dxa"/>
          </w:tcPr>
          <w:p w14:paraId="4255A7C1"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51.8</w:t>
            </w:r>
          </w:p>
        </w:tc>
        <w:tc>
          <w:tcPr>
            <w:tcW w:w="636" w:type="dxa"/>
          </w:tcPr>
          <w:p w14:paraId="6B117931"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53.2</w:t>
            </w:r>
          </w:p>
        </w:tc>
        <w:tc>
          <w:tcPr>
            <w:tcW w:w="636" w:type="dxa"/>
          </w:tcPr>
          <w:p w14:paraId="18634417"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53.6</w:t>
            </w:r>
          </w:p>
        </w:tc>
        <w:tc>
          <w:tcPr>
            <w:tcW w:w="636" w:type="dxa"/>
          </w:tcPr>
          <w:p w14:paraId="3337E06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58.3</w:t>
            </w:r>
          </w:p>
        </w:tc>
        <w:tc>
          <w:tcPr>
            <w:tcW w:w="636" w:type="dxa"/>
          </w:tcPr>
          <w:p w14:paraId="01A986A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56</w:t>
            </w:r>
          </w:p>
        </w:tc>
        <w:tc>
          <w:tcPr>
            <w:tcW w:w="636" w:type="dxa"/>
          </w:tcPr>
          <w:p w14:paraId="5FA03C7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59.9</w:t>
            </w:r>
          </w:p>
        </w:tc>
        <w:tc>
          <w:tcPr>
            <w:tcW w:w="636" w:type="dxa"/>
          </w:tcPr>
          <w:p w14:paraId="213D769B"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60</w:t>
            </w:r>
          </w:p>
        </w:tc>
        <w:tc>
          <w:tcPr>
            <w:tcW w:w="636" w:type="dxa"/>
          </w:tcPr>
          <w:p w14:paraId="4DFBEC87"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61.8</w:t>
            </w:r>
          </w:p>
        </w:tc>
        <w:tc>
          <w:tcPr>
            <w:tcW w:w="741" w:type="dxa"/>
          </w:tcPr>
          <w:p w14:paraId="54ADD72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63.2</w:t>
            </w:r>
          </w:p>
        </w:tc>
        <w:tc>
          <w:tcPr>
            <w:tcW w:w="636" w:type="dxa"/>
          </w:tcPr>
          <w:p w14:paraId="2C24B4E9" w14:textId="77777777" w:rsidR="0044710E" w:rsidRPr="008E2A7B" w:rsidRDefault="0044710E" w:rsidP="0044710E">
            <w:pPr>
              <w:pStyle w:val="Brdtext"/>
              <w:rPr>
                <w:sz w:val="20"/>
                <w:lang w:val="en-GB"/>
              </w:rPr>
            </w:pPr>
            <w:r w:rsidRPr="008E2A7B">
              <w:rPr>
                <w:color w:val="000000"/>
                <w:sz w:val="20"/>
                <w:lang w:val="en-GB"/>
              </w:rPr>
              <w:t>65.8</w:t>
            </w:r>
          </w:p>
        </w:tc>
      </w:tr>
      <w:tr w:rsidR="0044710E" w:rsidRPr="008E2A7B" w14:paraId="497E3566" w14:textId="77777777" w:rsidTr="0044710E">
        <w:trPr>
          <w:trHeight w:val="510"/>
        </w:trPr>
        <w:tc>
          <w:tcPr>
            <w:tcW w:w="1311" w:type="dxa"/>
          </w:tcPr>
          <w:p w14:paraId="2013310D" w14:textId="77777777" w:rsidR="0044710E" w:rsidRPr="008E2A7B" w:rsidRDefault="0044710E" w:rsidP="0044710E">
            <w:pPr>
              <w:pStyle w:val="Brdtext"/>
              <w:rPr>
                <w:rFonts w:asciiTheme="minorHAnsi" w:hAnsiTheme="minorHAnsi" w:cstheme="minorHAnsi"/>
                <w:b/>
                <w:sz w:val="20"/>
                <w:lang w:val="en-GB"/>
              </w:rPr>
            </w:pPr>
            <w:r w:rsidRPr="008E2A7B">
              <w:rPr>
                <w:rFonts w:asciiTheme="minorHAnsi" w:hAnsiTheme="minorHAnsi" w:cstheme="minorHAnsi"/>
                <w:b/>
                <w:color w:val="000000"/>
                <w:sz w:val="20"/>
                <w:lang w:val="en-GB"/>
              </w:rPr>
              <w:t>Transport sector</w:t>
            </w:r>
          </w:p>
        </w:tc>
        <w:tc>
          <w:tcPr>
            <w:tcW w:w="636" w:type="dxa"/>
          </w:tcPr>
          <w:p w14:paraId="1B4D7034"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6.2</w:t>
            </w:r>
          </w:p>
        </w:tc>
        <w:tc>
          <w:tcPr>
            <w:tcW w:w="636" w:type="dxa"/>
          </w:tcPr>
          <w:p w14:paraId="04D64260"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7.1</w:t>
            </w:r>
          </w:p>
        </w:tc>
        <w:tc>
          <w:tcPr>
            <w:tcW w:w="636" w:type="dxa"/>
          </w:tcPr>
          <w:p w14:paraId="2ABD1B4B"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8</w:t>
            </w:r>
          </w:p>
        </w:tc>
        <w:tc>
          <w:tcPr>
            <w:tcW w:w="636" w:type="dxa"/>
          </w:tcPr>
          <w:p w14:paraId="33CCCB7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8.3</w:t>
            </w:r>
          </w:p>
        </w:tc>
        <w:tc>
          <w:tcPr>
            <w:tcW w:w="636" w:type="dxa"/>
          </w:tcPr>
          <w:p w14:paraId="52A73993"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8.9</w:t>
            </w:r>
          </w:p>
        </w:tc>
        <w:tc>
          <w:tcPr>
            <w:tcW w:w="636" w:type="dxa"/>
          </w:tcPr>
          <w:p w14:paraId="74589AF5"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9.2</w:t>
            </w:r>
          </w:p>
        </w:tc>
        <w:tc>
          <w:tcPr>
            <w:tcW w:w="636" w:type="dxa"/>
          </w:tcPr>
          <w:p w14:paraId="063DB20D"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11.5</w:t>
            </w:r>
          </w:p>
        </w:tc>
        <w:tc>
          <w:tcPr>
            <w:tcW w:w="636" w:type="dxa"/>
          </w:tcPr>
          <w:p w14:paraId="07E458BE"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14.8</w:t>
            </w:r>
          </w:p>
        </w:tc>
        <w:tc>
          <w:tcPr>
            <w:tcW w:w="636" w:type="dxa"/>
          </w:tcPr>
          <w:p w14:paraId="5E2D3774"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19.2</w:t>
            </w:r>
          </w:p>
        </w:tc>
        <w:tc>
          <w:tcPr>
            <w:tcW w:w="741" w:type="dxa"/>
          </w:tcPr>
          <w:p w14:paraId="07B55375" w14:textId="77777777" w:rsidR="0044710E" w:rsidRPr="008E2A7B" w:rsidRDefault="0044710E" w:rsidP="0044710E">
            <w:pPr>
              <w:pStyle w:val="Brdtext"/>
              <w:rPr>
                <w:rFonts w:asciiTheme="minorHAnsi" w:hAnsiTheme="minorHAnsi" w:cstheme="minorHAnsi"/>
                <w:sz w:val="20"/>
                <w:lang w:val="en-GB"/>
              </w:rPr>
            </w:pPr>
            <w:r w:rsidRPr="008E2A7B">
              <w:rPr>
                <w:rFonts w:asciiTheme="minorHAnsi" w:hAnsiTheme="minorHAnsi" w:cstheme="minorHAnsi"/>
                <w:color w:val="000000"/>
                <w:sz w:val="20"/>
                <w:lang w:val="en-GB"/>
              </w:rPr>
              <w:t>21.1</w:t>
            </w:r>
          </w:p>
        </w:tc>
        <w:tc>
          <w:tcPr>
            <w:tcW w:w="636" w:type="dxa"/>
          </w:tcPr>
          <w:p w14:paraId="524F5BB6" w14:textId="77777777" w:rsidR="0044710E" w:rsidRPr="008E2A7B" w:rsidRDefault="0044710E" w:rsidP="0044710E">
            <w:pPr>
              <w:pStyle w:val="Brdtext"/>
              <w:rPr>
                <w:sz w:val="20"/>
                <w:lang w:val="en-GB"/>
              </w:rPr>
            </w:pPr>
            <w:r w:rsidRPr="008E2A7B">
              <w:rPr>
                <w:color w:val="000000"/>
                <w:sz w:val="20"/>
                <w:lang w:val="en-GB"/>
              </w:rPr>
              <w:t>24</w:t>
            </w:r>
          </w:p>
        </w:tc>
      </w:tr>
    </w:tbl>
    <w:p w14:paraId="09D3738F" w14:textId="77777777" w:rsidR="0044710E" w:rsidRPr="008E2A7B" w:rsidRDefault="0044710E" w:rsidP="0044710E">
      <w:pPr>
        <w:pStyle w:val="Brdtext"/>
        <w:rPr>
          <w:lang w:val="en-GB"/>
        </w:rPr>
      </w:pPr>
    </w:p>
    <w:p w14:paraId="1004DED6" w14:textId="57CD8D72" w:rsidR="0044710E" w:rsidRPr="008E2A7B" w:rsidRDefault="0044710E" w:rsidP="0044710E">
      <w:pPr>
        <w:pStyle w:val="Brdtext"/>
        <w:rPr>
          <w:lang w:val="en-GB"/>
        </w:rPr>
      </w:pPr>
      <w:r w:rsidRPr="008E2A7B">
        <w:rPr>
          <w:lang w:val="en-GB"/>
        </w:rPr>
        <w:t xml:space="preserve">Since Norway joined the electricity certificate system, the larger part of the renewable electricity generation has been built in Sweden, and therefore there is a statistical transfer of renewable energy from Sweden to Norway through the cooperation mechanism. In 2015, 4 TWh of </w:t>
      </w:r>
      <w:r w:rsidRPr="008E2A7B">
        <w:rPr>
          <w:lang w:val="en-GB"/>
        </w:rPr>
        <w:lastRenderedPageBreak/>
        <w:t>renewable electricity will be transferred, corresponding to 1 percentage point of Sweden's share.</w:t>
      </w:r>
    </w:p>
    <w:p w14:paraId="25E57FD3" w14:textId="77777777" w:rsidR="0044710E" w:rsidRPr="008E2A7B" w:rsidRDefault="0044710E" w:rsidP="0044710E">
      <w:pPr>
        <w:pStyle w:val="Brdtext"/>
        <w:contextualSpacing/>
        <w:rPr>
          <w:b/>
          <w:lang w:val="en-GB"/>
        </w:rPr>
      </w:pPr>
      <w:r w:rsidRPr="008E2A7B">
        <w:rPr>
          <w:b/>
          <w:lang w:val="en-GB"/>
        </w:rPr>
        <w:t>Total share renewable per technology/energy source</w:t>
      </w:r>
    </w:p>
    <w:p w14:paraId="70659173" w14:textId="77777777" w:rsidR="0044710E" w:rsidRPr="008E2A7B" w:rsidRDefault="0044710E" w:rsidP="0044710E">
      <w:pPr>
        <w:pStyle w:val="Brdtext"/>
        <w:contextualSpacing/>
        <w:rPr>
          <w:lang w:val="en-GB"/>
        </w:rPr>
      </w:pPr>
      <w:r w:rsidRPr="008E2A7B">
        <w:rPr>
          <w:lang w:val="en-GB"/>
        </w:rPr>
        <w:t>The current share of renewable energy in relation to gross energy use is 53.9% in 2015, which is 1.4 percentage points higher than in 2014. The share depends on the development of the amount of renewable energy and energy use.</w:t>
      </w:r>
    </w:p>
    <w:p w14:paraId="0389D3C7" w14:textId="77777777" w:rsidR="0044710E" w:rsidRPr="008E2A7B" w:rsidRDefault="0044710E" w:rsidP="0044710E">
      <w:pPr>
        <w:pStyle w:val="Brdtext"/>
        <w:contextualSpacing/>
        <w:rPr>
          <w:lang w:val="en-GB"/>
        </w:rPr>
      </w:pPr>
    </w:p>
    <w:p w14:paraId="598E3B74" w14:textId="449CCCBD" w:rsidR="0044710E" w:rsidRPr="008E2A7B" w:rsidRDefault="0044710E" w:rsidP="0044710E">
      <w:pPr>
        <w:pStyle w:val="Brdtext"/>
        <w:rPr>
          <w:lang w:val="en-GB"/>
        </w:rPr>
      </w:pPr>
      <w:r w:rsidRPr="008E2A7B">
        <w:rPr>
          <w:lang w:val="en-GB"/>
        </w:rPr>
        <w:t xml:space="preserve">The total amount of renewable energy in Sweden, according to the </w:t>
      </w:r>
      <w:r w:rsidR="00E00E04" w:rsidRPr="008E2A7B">
        <w:rPr>
          <w:lang w:val="en-GB"/>
        </w:rPr>
        <w:t>Renewable Energy Directive</w:t>
      </w:r>
      <w:r w:rsidRPr="008E2A7B">
        <w:rPr>
          <w:lang w:val="en-GB"/>
        </w:rPr>
        <w:t>, was 217 TWh</w:t>
      </w:r>
      <w:r w:rsidRPr="008E2A7B">
        <w:rPr>
          <w:rStyle w:val="Fotnotsreferens"/>
          <w:lang w:val="en-GB"/>
        </w:rPr>
        <w:footnoteReference w:id="38"/>
      </w:r>
      <w:r w:rsidRPr="008E2A7B">
        <w:rPr>
          <w:lang w:val="en-GB"/>
        </w:rPr>
        <w:t xml:space="preserve"> in 2015, an increase of 10 TWh from the previous year. The increase is due primarily to the continued expansion of wind power and a greater use of biofuels. The largest contributions of renewable energy came from biofuels and hydropower, as can be seen in </w:t>
      </w:r>
      <w:r w:rsidR="00331D94" w:rsidRPr="008E2A7B">
        <w:rPr>
          <w:lang w:val="en-GB"/>
        </w:rPr>
        <w:fldChar w:fldCharType="begin"/>
      </w:r>
      <w:r w:rsidR="00331D94" w:rsidRPr="008E2A7B">
        <w:rPr>
          <w:lang w:val="en-GB"/>
        </w:rPr>
        <w:instrText xml:space="preserve"> REF _Ref496279935 \h </w:instrText>
      </w:r>
      <w:r w:rsidR="00331D94" w:rsidRPr="008E2A7B">
        <w:rPr>
          <w:lang w:val="en-GB"/>
        </w:rPr>
      </w:r>
      <w:r w:rsidR="00331D94" w:rsidRPr="008E2A7B">
        <w:rPr>
          <w:lang w:val="en-GB"/>
        </w:rPr>
        <w:fldChar w:fldCharType="separate"/>
      </w:r>
      <w:r w:rsidR="00790F3D" w:rsidRPr="008E2A7B">
        <w:rPr>
          <w:lang w:val="en-GB"/>
        </w:rPr>
        <w:t xml:space="preserve">Figure </w:t>
      </w:r>
      <w:r w:rsidR="00790F3D" w:rsidRPr="008E2A7B">
        <w:rPr>
          <w:noProof/>
          <w:lang w:val="en-GB"/>
        </w:rPr>
        <w:t>9</w:t>
      </w:r>
      <w:r w:rsidR="00331D94" w:rsidRPr="008E2A7B">
        <w:rPr>
          <w:lang w:val="en-GB"/>
        </w:rPr>
        <w:fldChar w:fldCharType="end"/>
      </w:r>
      <w:r w:rsidRPr="008E2A7B">
        <w:rPr>
          <w:lang w:val="en-GB"/>
        </w:rPr>
        <w:t>.</w:t>
      </w:r>
    </w:p>
    <w:p w14:paraId="408BB9E4" w14:textId="476C7083" w:rsidR="0044710E" w:rsidRPr="008E2A7B" w:rsidRDefault="0044710E" w:rsidP="0044710E">
      <w:pPr>
        <w:pStyle w:val="Beskrivning"/>
        <w:rPr>
          <w:szCs w:val="20"/>
          <w:lang w:val="en-GB"/>
        </w:rPr>
      </w:pPr>
      <w:bookmarkStart w:id="54" w:name="_Ref496279935"/>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9</w:t>
      </w:r>
      <w:r w:rsidRPr="008E2A7B">
        <w:rPr>
          <w:lang w:val="en-GB"/>
        </w:rPr>
        <w:fldChar w:fldCharType="end"/>
      </w:r>
      <w:bookmarkEnd w:id="54"/>
      <w:r w:rsidRPr="008E2A7B">
        <w:rPr>
          <w:szCs w:val="20"/>
          <w:lang w:val="en-GB"/>
        </w:rPr>
        <w:t xml:space="preserve"> Renewable energy and energy use according to the </w:t>
      </w:r>
      <w:r w:rsidR="00E00E04" w:rsidRPr="008E2A7B">
        <w:rPr>
          <w:szCs w:val="20"/>
          <w:lang w:val="en-GB"/>
        </w:rPr>
        <w:t>Renewable Energy Directive</w:t>
      </w:r>
      <w:r w:rsidRPr="008E2A7B">
        <w:rPr>
          <w:szCs w:val="20"/>
          <w:lang w:val="en-GB"/>
        </w:rPr>
        <w:t>, 2005-2015, TWh</w:t>
      </w:r>
    </w:p>
    <w:p w14:paraId="4B67371F" w14:textId="77777777" w:rsidR="0044710E" w:rsidRPr="008E2A7B" w:rsidRDefault="0044710E" w:rsidP="0044710E">
      <w:pPr>
        <w:pStyle w:val="Brdtext"/>
        <w:rPr>
          <w:noProof/>
          <w:lang w:val="en-GB"/>
        </w:rPr>
      </w:pPr>
      <w:r w:rsidRPr="008E2A7B">
        <w:rPr>
          <w:noProof/>
          <w:lang w:val="en-GB" w:eastAsia="sv-SE"/>
        </w:rPr>
        <w:drawing>
          <wp:inline distT="0" distB="0" distL="0" distR="0" wp14:anchorId="26DE646F" wp14:editId="3CBFBD0F">
            <wp:extent cx="5618074" cy="2726690"/>
            <wp:effectExtent l="0" t="0" r="1905" b="0"/>
            <wp:docPr id="54" name="Diagram 54">
              <a:extLst xmlns:a="http://schemas.openxmlformats.org/drawingml/2006/main">
                <a:ext uri="{FF2B5EF4-FFF2-40B4-BE49-F238E27FC236}">
                  <a16:creationId xmlns:a16="http://schemas.microsoft.com/office/drawing/2014/main" id="{96E9BD53-F113-4068-BF6D-47909A77E3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BA6B30" w14:textId="77777777" w:rsidR="0044710E" w:rsidRPr="008E2A7B" w:rsidRDefault="0044710E" w:rsidP="0044710E">
      <w:pPr>
        <w:pStyle w:val="Brdtext"/>
        <w:rPr>
          <w:lang w:val="en-GB"/>
        </w:rPr>
      </w:pPr>
      <w:r w:rsidRPr="008E2A7B">
        <w:rPr>
          <w:lang w:val="en-GB"/>
        </w:rPr>
        <w:t>At the same time, the total energy use increased slightly between 2014 and 2015 and was 394 TWh in 2015. The increased energy use limited the increase in the share of renewable energy. Energy consumption is 20 TWh lower in 2015 than it was in 2005.</w:t>
      </w:r>
    </w:p>
    <w:p w14:paraId="77AF02DA" w14:textId="77777777" w:rsidR="0044710E" w:rsidRPr="008E2A7B" w:rsidRDefault="0044710E" w:rsidP="0044710E">
      <w:pPr>
        <w:pStyle w:val="Brdtext"/>
        <w:rPr>
          <w:lang w:val="en-GB"/>
        </w:rPr>
      </w:pPr>
      <w:r w:rsidRPr="008E2A7B">
        <w:rPr>
          <w:lang w:val="en-GB"/>
        </w:rPr>
        <w:t xml:space="preserve">Hydropower is the second largest contribution to the high proportion of renewables and accounted for 31% of renewable energy. Wind power is the fastest growing energy technology, in 2015 giving the same contribution to the amount of renewable energy as heat pumps (just over </w:t>
      </w:r>
      <w:r w:rsidRPr="008E2A7B">
        <w:rPr>
          <w:lang w:val="en-GB"/>
        </w:rPr>
        <w:lastRenderedPageBreak/>
        <w:t>6% each). Solar power has so far contributed only 0.1% of renewable energy.</w:t>
      </w:r>
    </w:p>
    <w:p w14:paraId="100D4D0D" w14:textId="4450F4A8" w:rsidR="0044710E" w:rsidRPr="008E2A7B" w:rsidRDefault="0044710E" w:rsidP="0044710E">
      <w:pPr>
        <w:pStyle w:val="Brdtext"/>
        <w:rPr>
          <w:lang w:val="en-GB"/>
        </w:rPr>
      </w:pPr>
      <w:r w:rsidRPr="008E2A7B">
        <w:rPr>
          <w:lang w:val="en-GB"/>
        </w:rPr>
        <w:t xml:space="preserve">The use of biofuels contributed most to the amount of renewable energy, and accounted for 56% of the total amount of renewable energy included in the calculation for 2015. </w:t>
      </w:r>
      <w:r w:rsidR="00331D94" w:rsidRPr="008E2A7B">
        <w:rPr>
          <w:lang w:val="en-GB"/>
        </w:rPr>
        <w:fldChar w:fldCharType="begin"/>
      </w:r>
      <w:r w:rsidR="00331D94" w:rsidRPr="008E2A7B">
        <w:rPr>
          <w:lang w:val="en-GB"/>
        </w:rPr>
        <w:instrText xml:space="preserve"> REF _Ref496280014 \h </w:instrText>
      </w:r>
      <w:r w:rsidR="00331D94" w:rsidRPr="008E2A7B">
        <w:rPr>
          <w:lang w:val="en-GB"/>
        </w:rPr>
      </w:r>
      <w:r w:rsidR="00331D94" w:rsidRPr="008E2A7B">
        <w:rPr>
          <w:lang w:val="en-GB"/>
        </w:rPr>
        <w:fldChar w:fldCharType="separate"/>
      </w:r>
      <w:r w:rsidR="00790F3D" w:rsidRPr="008E2A7B">
        <w:rPr>
          <w:lang w:val="en-GB"/>
        </w:rPr>
        <w:t xml:space="preserve">Figure </w:t>
      </w:r>
      <w:r w:rsidR="00790F3D" w:rsidRPr="008E2A7B">
        <w:rPr>
          <w:noProof/>
          <w:lang w:val="en-GB"/>
        </w:rPr>
        <w:t>10</w:t>
      </w:r>
      <w:r w:rsidR="00331D94" w:rsidRPr="008E2A7B">
        <w:rPr>
          <w:lang w:val="en-GB"/>
        </w:rPr>
        <w:fldChar w:fldCharType="end"/>
      </w:r>
      <w:r w:rsidRPr="008E2A7B">
        <w:rPr>
          <w:lang w:val="en-GB"/>
        </w:rPr>
        <w:t xml:space="preserve"> shows the sectors in which biofuels are used. The largest use is in the industry sector and for district heating. The largest increase in biofuel use has occurred in the transport sector in recent years.</w:t>
      </w:r>
    </w:p>
    <w:p w14:paraId="695195E8" w14:textId="08974EDE" w:rsidR="0044710E" w:rsidRPr="008E2A7B" w:rsidRDefault="0044710E" w:rsidP="0044710E">
      <w:pPr>
        <w:pStyle w:val="Beskrivning"/>
        <w:rPr>
          <w:rStyle w:val="shorttext"/>
          <w:szCs w:val="20"/>
          <w:lang w:val="en-GB"/>
        </w:rPr>
      </w:pPr>
      <w:bookmarkStart w:id="55" w:name="_Ref496280014"/>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10</w:t>
      </w:r>
      <w:r w:rsidRPr="008E2A7B">
        <w:rPr>
          <w:lang w:val="en-GB"/>
        </w:rPr>
        <w:fldChar w:fldCharType="end"/>
      </w:r>
      <w:bookmarkEnd w:id="55"/>
      <w:r w:rsidRPr="008E2A7B">
        <w:rPr>
          <w:rStyle w:val="shorttext"/>
          <w:szCs w:val="20"/>
          <w:lang w:val="en-GB"/>
        </w:rPr>
        <w:t xml:space="preserve"> Use of biofuel by sector, 2005-2015, TWh</w:t>
      </w:r>
    </w:p>
    <w:p w14:paraId="79F0C93B" w14:textId="77777777" w:rsidR="0044710E" w:rsidRPr="008E2A7B" w:rsidRDefault="0044710E" w:rsidP="0044710E">
      <w:pPr>
        <w:pStyle w:val="Brdtext"/>
        <w:rPr>
          <w:rStyle w:val="shorttext"/>
          <w:b/>
          <w:lang w:val="en-GB"/>
        </w:rPr>
      </w:pPr>
      <w:r w:rsidRPr="008E2A7B">
        <w:rPr>
          <w:noProof/>
          <w:lang w:val="en-GB" w:eastAsia="sv-SE"/>
        </w:rPr>
        <w:drawing>
          <wp:inline distT="0" distB="0" distL="0" distR="0" wp14:anchorId="22C4ADE9" wp14:editId="6E5085BB">
            <wp:extent cx="5471770" cy="2399665"/>
            <wp:effectExtent l="0" t="0" r="0" b="635"/>
            <wp:docPr id="52" name="Diagram 52">
              <a:extLst xmlns:a="http://schemas.openxmlformats.org/drawingml/2006/main">
                <a:ext uri="{FF2B5EF4-FFF2-40B4-BE49-F238E27FC236}">
                  <a16:creationId xmlns:a16="http://schemas.microsoft.com/office/drawing/2014/main" id="{C342965D-EE65-45F7-AD75-25E4836BAB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564E87A" w14:textId="69BFE785" w:rsidR="0044710E" w:rsidRPr="008E2A7B" w:rsidRDefault="0044710E" w:rsidP="0044710E">
      <w:pPr>
        <w:pStyle w:val="Brdtext"/>
        <w:contextualSpacing/>
        <w:rPr>
          <w:lang w:val="en-GB"/>
        </w:rPr>
      </w:pPr>
      <w:r w:rsidRPr="008E2A7B">
        <w:rPr>
          <w:rStyle w:val="shorttext"/>
          <w:b/>
          <w:lang w:val="en-GB"/>
        </w:rPr>
        <w:t>R</w:t>
      </w:r>
      <w:r w:rsidRPr="008E2A7B">
        <w:rPr>
          <w:b/>
          <w:lang w:val="en-GB"/>
        </w:rPr>
        <w:t>enewable share in the heating and cooling sector by technology and energy source</w:t>
      </w:r>
    </w:p>
    <w:p w14:paraId="2B375688" w14:textId="77777777" w:rsidR="00886FAF" w:rsidRDefault="0044710E" w:rsidP="0044710E">
      <w:pPr>
        <w:pStyle w:val="Brdtext"/>
        <w:contextualSpacing/>
        <w:rPr>
          <w:lang w:val="en-GB"/>
        </w:rPr>
      </w:pPr>
      <w:r w:rsidRPr="008E2A7B">
        <w:rPr>
          <w:lang w:val="en-GB"/>
        </w:rPr>
        <w:t>The share of renewables in the heating and cooling sector</w:t>
      </w:r>
      <w:r w:rsidRPr="008E2A7B">
        <w:rPr>
          <w:rStyle w:val="Fotnotsreferens"/>
          <w:lang w:val="en-GB"/>
        </w:rPr>
        <w:footnoteReference w:id="39"/>
      </w:r>
      <w:r w:rsidRPr="008E2A7B">
        <w:rPr>
          <w:lang w:val="en-GB"/>
        </w:rPr>
        <w:t xml:space="preserve"> relative to energy use was 68.6% in 2015, an increase of 0.6 percentage points from 2014. In 2005, the share was 51.9%.</w:t>
      </w:r>
      <w:r w:rsidR="002011AD" w:rsidRPr="008E2A7B">
        <w:rPr>
          <w:lang w:val="en-GB"/>
        </w:rPr>
        <w:t xml:space="preserve"> </w:t>
      </w:r>
    </w:p>
    <w:p w14:paraId="04FF5A74" w14:textId="77777777" w:rsidR="00886FAF" w:rsidRDefault="00886FAF" w:rsidP="0044710E">
      <w:pPr>
        <w:pStyle w:val="Brdtext"/>
        <w:contextualSpacing/>
        <w:rPr>
          <w:lang w:val="en-GB"/>
        </w:rPr>
      </w:pPr>
    </w:p>
    <w:p w14:paraId="533DCCB6" w14:textId="180762A5" w:rsidR="0044710E" w:rsidRPr="008E2A7B" w:rsidRDefault="00886FAF" w:rsidP="0044710E">
      <w:pPr>
        <w:pStyle w:val="Brdtext"/>
        <w:contextualSpacing/>
        <w:rPr>
          <w:lang w:val="en-GB"/>
        </w:rPr>
      </w:pPr>
      <w:r>
        <w:rPr>
          <w:lang w:val="en-GB"/>
        </w:rPr>
        <w:t xml:space="preserve">The amount of renewable energy is 111 TWh in 2015 and is larger compared to 2005 when it was 89 TWh. </w:t>
      </w:r>
      <w:r w:rsidR="002011AD" w:rsidRPr="008E2A7B">
        <w:rPr>
          <w:lang w:val="en-GB"/>
        </w:rPr>
        <w:t xml:space="preserve">The development is pictured in </w:t>
      </w:r>
      <w:r>
        <w:rPr>
          <w:lang w:val="en-GB"/>
        </w:rPr>
        <w:fldChar w:fldCharType="begin"/>
      </w:r>
      <w:r>
        <w:rPr>
          <w:lang w:val="en-GB"/>
        </w:rPr>
        <w:instrText xml:space="preserve"> REF _Ref496280054 \h </w:instrText>
      </w:r>
      <w:r>
        <w:rPr>
          <w:lang w:val="en-GB"/>
        </w:rPr>
      </w:r>
      <w:r>
        <w:rPr>
          <w:lang w:val="en-GB"/>
        </w:rPr>
        <w:fldChar w:fldCharType="separate"/>
      </w:r>
      <w:r w:rsidR="00347A33" w:rsidRPr="008E2A7B">
        <w:rPr>
          <w:lang w:val="en-GB"/>
        </w:rPr>
        <w:t xml:space="preserve">Figure </w:t>
      </w:r>
      <w:r w:rsidR="00347A33">
        <w:rPr>
          <w:noProof/>
          <w:lang w:val="en-GB"/>
        </w:rPr>
        <w:t>11</w:t>
      </w:r>
      <w:r>
        <w:rPr>
          <w:lang w:val="en-GB"/>
        </w:rPr>
        <w:fldChar w:fldCharType="end"/>
      </w:r>
      <w:r>
        <w:rPr>
          <w:lang w:val="en-GB"/>
        </w:rPr>
        <w:t xml:space="preserve">. </w:t>
      </w:r>
      <w:r w:rsidR="0044710E" w:rsidRPr="008E2A7B">
        <w:rPr>
          <w:lang w:val="en-GB"/>
        </w:rPr>
        <w:t>Renewable energy is primarily made up of biofuels</w:t>
      </w:r>
      <w:r w:rsidR="0044710E" w:rsidRPr="008E2A7B">
        <w:rPr>
          <w:rStyle w:val="Fotnotsreferens"/>
          <w:lang w:val="en-GB"/>
        </w:rPr>
        <w:footnoteReference w:id="40"/>
      </w:r>
      <w:r w:rsidR="0044710E" w:rsidRPr="008E2A7B">
        <w:rPr>
          <w:lang w:val="en-GB"/>
        </w:rPr>
        <w:t xml:space="preserve"> in the heating and cooling sector which accounts for 88% in 2015. The remainder is the contribution of heat pumps. Since 2005, total use in the sector has decreased from 172 to 162 TWh in 2015.</w:t>
      </w:r>
    </w:p>
    <w:p w14:paraId="63DE5D0C" w14:textId="77777777" w:rsidR="009B49BD" w:rsidRDefault="009B49BD">
      <w:pPr>
        <w:spacing w:after="160" w:line="0" w:lineRule="auto"/>
        <w:rPr>
          <w:b/>
          <w:iCs/>
          <w:sz w:val="20"/>
          <w:szCs w:val="18"/>
          <w:lang w:val="en-GB"/>
        </w:rPr>
      </w:pPr>
      <w:bookmarkStart w:id="56" w:name="_Ref496280054"/>
      <w:r>
        <w:rPr>
          <w:lang w:val="en-GB"/>
        </w:rPr>
        <w:br w:type="page"/>
      </w:r>
    </w:p>
    <w:p w14:paraId="04E34148" w14:textId="73676FE4" w:rsidR="0044710E" w:rsidRPr="008E2A7B" w:rsidRDefault="0044710E" w:rsidP="0044710E">
      <w:pPr>
        <w:pStyle w:val="Beskrivning"/>
        <w:rPr>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11</w:t>
      </w:r>
      <w:r w:rsidRPr="008E2A7B">
        <w:rPr>
          <w:lang w:val="en-GB"/>
        </w:rPr>
        <w:fldChar w:fldCharType="end"/>
      </w:r>
      <w:bookmarkEnd w:id="56"/>
      <w:r w:rsidRPr="008E2A7B">
        <w:rPr>
          <w:szCs w:val="20"/>
          <w:lang w:val="en-GB"/>
        </w:rPr>
        <w:t xml:space="preserve"> Renewable energy and energy use in the heating and cooling sector, 2005-2015, TWh</w:t>
      </w:r>
    </w:p>
    <w:p w14:paraId="1D4C0E7F" w14:textId="77777777" w:rsidR="0044710E" w:rsidRPr="008E2A7B" w:rsidRDefault="0044710E" w:rsidP="0044710E">
      <w:pPr>
        <w:pStyle w:val="Brdtext"/>
        <w:rPr>
          <w:b/>
          <w:lang w:val="en-GB"/>
        </w:rPr>
      </w:pPr>
      <w:r w:rsidRPr="008E2A7B">
        <w:rPr>
          <w:noProof/>
          <w:lang w:val="en-GB" w:eastAsia="sv-SE"/>
        </w:rPr>
        <w:drawing>
          <wp:inline distT="0" distB="0" distL="0" distR="0" wp14:anchorId="222738B8" wp14:editId="55B79FF8">
            <wp:extent cx="5266690" cy="3211373"/>
            <wp:effectExtent l="0" t="0" r="0" b="8255"/>
            <wp:docPr id="56" name="Diagram 56">
              <a:extLst xmlns:a="http://schemas.openxmlformats.org/drawingml/2006/main">
                <a:ext uri="{FF2B5EF4-FFF2-40B4-BE49-F238E27FC236}">
                  <a16:creationId xmlns:a16="http://schemas.microsoft.com/office/drawing/2014/main" id="{4D816C9D-9750-467A-8415-DA99C41392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9D4DF7A" w14:textId="442765D0" w:rsidR="0044710E" w:rsidRPr="008E2A7B" w:rsidRDefault="0044710E" w:rsidP="0044710E">
      <w:pPr>
        <w:pStyle w:val="Brdtext"/>
        <w:contextualSpacing/>
        <w:rPr>
          <w:b/>
          <w:lang w:val="en-GB"/>
        </w:rPr>
      </w:pPr>
      <w:r w:rsidRPr="008E2A7B">
        <w:rPr>
          <w:b/>
          <w:lang w:val="en-GB"/>
        </w:rPr>
        <w:t xml:space="preserve">Share of renewables in the electricity sector by energy source and technology </w:t>
      </w:r>
    </w:p>
    <w:p w14:paraId="468E0DC8" w14:textId="77777777" w:rsidR="0044710E" w:rsidRPr="008E2A7B" w:rsidRDefault="0044710E" w:rsidP="0044710E">
      <w:pPr>
        <w:pStyle w:val="Brdtext"/>
        <w:contextualSpacing/>
        <w:rPr>
          <w:lang w:val="en-GB"/>
        </w:rPr>
      </w:pPr>
      <w:r w:rsidRPr="008E2A7B">
        <w:rPr>
          <w:lang w:val="en-GB"/>
        </w:rPr>
        <w:t>The share of renewable electricity production in relation to total electricity consumption was 65.8% in 2015, an increase of 2.5 percentage points from 2014. In 2005, the share was 50.9%.</w:t>
      </w:r>
    </w:p>
    <w:p w14:paraId="52B38FEA" w14:textId="77777777" w:rsidR="0044710E" w:rsidRPr="008E2A7B" w:rsidRDefault="0044710E" w:rsidP="0044710E">
      <w:pPr>
        <w:pStyle w:val="Brdtext"/>
        <w:contextualSpacing/>
        <w:rPr>
          <w:lang w:val="en-GB"/>
        </w:rPr>
      </w:pPr>
    </w:p>
    <w:p w14:paraId="4DA4F12E" w14:textId="484C2985" w:rsidR="0044710E" w:rsidRPr="008E2A7B" w:rsidRDefault="0044710E" w:rsidP="0044710E">
      <w:pPr>
        <w:pStyle w:val="Brdtext"/>
        <w:rPr>
          <w:lang w:val="en-GB"/>
        </w:rPr>
      </w:pPr>
      <w:r w:rsidRPr="008E2A7B">
        <w:rPr>
          <w:lang w:val="en-GB"/>
        </w:rPr>
        <w:t>Renewable electricity generation</w:t>
      </w:r>
      <w:r w:rsidRPr="008E2A7B">
        <w:rPr>
          <w:rStyle w:val="Fotnotsreferens"/>
          <w:lang w:val="en-GB"/>
        </w:rPr>
        <w:footnoteReference w:id="41"/>
      </w:r>
      <w:r w:rsidRPr="008E2A7B">
        <w:rPr>
          <w:lang w:val="en-GB"/>
        </w:rPr>
        <w:t xml:space="preserve"> in 2015 amounted to 92 TWh, with 67 TWh</w:t>
      </w:r>
      <w:r w:rsidRPr="008E2A7B">
        <w:rPr>
          <w:rStyle w:val="Fotnotsreferens"/>
          <w:lang w:val="en-GB"/>
        </w:rPr>
        <w:footnoteReference w:id="42"/>
      </w:r>
      <w:r w:rsidRPr="008E2A7B">
        <w:rPr>
          <w:lang w:val="en-GB"/>
        </w:rPr>
        <w:t xml:space="preserve"> of hydropower, 14 TWh</w:t>
      </w:r>
      <w:r w:rsidRPr="008E2A7B">
        <w:rPr>
          <w:rStyle w:val="Fotnotsreferens"/>
          <w:lang w:val="en-GB"/>
        </w:rPr>
        <w:footnoteReference w:id="43"/>
      </w:r>
      <w:r w:rsidRPr="008E2A7B">
        <w:rPr>
          <w:lang w:val="en-GB"/>
        </w:rPr>
        <w:t xml:space="preserve"> of wind power and 9 TWh of biomass-based combined heat and power</w:t>
      </w:r>
      <w:r w:rsidRPr="008E2A7B">
        <w:rPr>
          <w:rStyle w:val="Fotnotsreferens"/>
          <w:lang w:val="en-GB"/>
        </w:rPr>
        <w:footnoteReference w:id="44"/>
      </w:r>
      <w:r w:rsidRPr="008E2A7B">
        <w:rPr>
          <w:lang w:val="en-GB"/>
        </w:rPr>
        <w:t xml:space="preserve">. The remaining 2 TWh is produced with solar power, </w:t>
      </w:r>
      <w:r w:rsidR="001504AD" w:rsidRPr="008E2A7B">
        <w:rPr>
          <w:lang w:val="en-GB"/>
        </w:rPr>
        <w:t xml:space="preserve">the </w:t>
      </w:r>
      <w:r w:rsidRPr="008E2A7B">
        <w:rPr>
          <w:lang w:val="en-GB"/>
        </w:rPr>
        <w:t>renewable part of waste and bio oils. The amount of renewable electricity was higher than in the previous year, mainly due to increased production from wind power.</w:t>
      </w:r>
    </w:p>
    <w:p w14:paraId="4BC53E23" w14:textId="7FB2B41F" w:rsidR="0044710E" w:rsidRPr="008E2A7B" w:rsidRDefault="0044710E" w:rsidP="0044710E">
      <w:pPr>
        <w:pStyle w:val="Brdtext"/>
        <w:rPr>
          <w:lang w:val="en-GB"/>
        </w:rPr>
      </w:pPr>
      <w:r w:rsidRPr="008E2A7B">
        <w:rPr>
          <w:lang w:val="en-GB"/>
        </w:rPr>
        <w:t xml:space="preserve">The electricity use has decreased since 2005, from 151 to 137 TWh, even though population increased in Sweden, from 9.05 to 9.85 million in the same period. The decrease has mostly occurred in the industrial sector, but declines have </w:t>
      </w:r>
      <w:r w:rsidR="00E00E04" w:rsidRPr="008E2A7B">
        <w:rPr>
          <w:lang w:val="en-GB"/>
        </w:rPr>
        <w:t xml:space="preserve">occurred </w:t>
      </w:r>
      <w:r w:rsidRPr="008E2A7B">
        <w:rPr>
          <w:lang w:val="en-GB"/>
        </w:rPr>
        <w:t>in all sectors. The fact that 2015 is a warmer year than 2005 also affects the amount of electricity used for heating.</w:t>
      </w:r>
    </w:p>
    <w:p w14:paraId="007AED28" w14:textId="7FA5D5B4" w:rsidR="0044710E" w:rsidRPr="008E2A7B" w:rsidRDefault="0044710E" w:rsidP="0044710E">
      <w:pPr>
        <w:pStyle w:val="Brdtext"/>
        <w:rPr>
          <w:lang w:val="en-GB"/>
        </w:rPr>
      </w:pPr>
      <w:r w:rsidRPr="008E2A7B">
        <w:rPr>
          <w:lang w:val="en-GB"/>
        </w:rPr>
        <w:t xml:space="preserve">The renewable electricity generation and electricity use 2005–2015 is shown in </w:t>
      </w:r>
      <w:r w:rsidR="00386101" w:rsidRPr="008E2A7B">
        <w:rPr>
          <w:lang w:val="en-GB"/>
        </w:rPr>
        <w:fldChar w:fldCharType="begin"/>
      </w:r>
      <w:r w:rsidR="00386101" w:rsidRPr="008E2A7B">
        <w:rPr>
          <w:lang w:val="en-GB"/>
        </w:rPr>
        <w:instrText xml:space="preserve"> REF _Ref496280124 \h </w:instrText>
      </w:r>
      <w:r w:rsidR="00386101" w:rsidRPr="008E2A7B">
        <w:rPr>
          <w:lang w:val="en-GB"/>
        </w:rPr>
      </w:r>
      <w:r w:rsidR="00386101" w:rsidRPr="008E2A7B">
        <w:rPr>
          <w:lang w:val="en-GB"/>
        </w:rPr>
        <w:fldChar w:fldCharType="separate"/>
      </w:r>
      <w:r w:rsidR="00DE338A" w:rsidRPr="008E2A7B">
        <w:rPr>
          <w:lang w:val="en-GB"/>
        </w:rPr>
        <w:t xml:space="preserve">Figure </w:t>
      </w:r>
      <w:r w:rsidR="00DE338A" w:rsidRPr="008E2A7B">
        <w:rPr>
          <w:noProof/>
          <w:lang w:val="en-GB"/>
        </w:rPr>
        <w:t>12</w:t>
      </w:r>
      <w:r w:rsidR="00386101" w:rsidRPr="008E2A7B">
        <w:rPr>
          <w:lang w:val="en-GB"/>
        </w:rPr>
        <w:fldChar w:fldCharType="end"/>
      </w:r>
      <w:r w:rsidRPr="008E2A7B">
        <w:rPr>
          <w:lang w:val="en-GB"/>
        </w:rPr>
        <w:t xml:space="preserve"> below. </w:t>
      </w:r>
    </w:p>
    <w:p w14:paraId="06E8C910" w14:textId="109EBF1B" w:rsidR="0044710E" w:rsidRPr="008E2A7B" w:rsidRDefault="0044710E" w:rsidP="0044710E">
      <w:pPr>
        <w:pStyle w:val="Beskrivning"/>
        <w:rPr>
          <w:szCs w:val="20"/>
          <w:lang w:val="en-GB"/>
        </w:rPr>
      </w:pPr>
      <w:bookmarkStart w:id="57" w:name="_Ref496280124"/>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12</w:t>
      </w:r>
      <w:r w:rsidRPr="008E2A7B">
        <w:rPr>
          <w:lang w:val="en-GB"/>
        </w:rPr>
        <w:fldChar w:fldCharType="end"/>
      </w:r>
      <w:bookmarkEnd w:id="57"/>
      <w:r w:rsidRPr="008E2A7B">
        <w:rPr>
          <w:szCs w:val="20"/>
          <w:lang w:val="en-GB"/>
        </w:rPr>
        <w:t xml:space="preserve"> Renewable electricity generation and electricity use 2005-2015, TWh</w:t>
      </w:r>
    </w:p>
    <w:p w14:paraId="2B7620C3" w14:textId="77777777" w:rsidR="0044710E" w:rsidRPr="008E2A7B" w:rsidRDefault="0044710E" w:rsidP="0044710E">
      <w:pPr>
        <w:pStyle w:val="Brdtext"/>
        <w:rPr>
          <w:b/>
          <w:lang w:val="en-GB"/>
        </w:rPr>
      </w:pPr>
      <w:r w:rsidRPr="008E2A7B">
        <w:rPr>
          <w:noProof/>
          <w:lang w:val="en-GB" w:eastAsia="sv-SE"/>
        </w:rPr>
        <w:drawing>
          <wp:inline distT="0" distB="0" distL="0" distR="0" wp14:anchorId="0080BE9F" wp14:editId="661D7ED9">
            <wp:extent cx="5069205" cy="3013862"/>
            <wp:effectExtent l="0" t="0" r="0" b="0"/>
            <wp:docPr id="58" name="Diagram 58">
              <a:extLst xmlns:a="http://schemas.openxmlformats.org/drawingml/2006/main">
                <a:ext uri="{FF2B5EF4-FFF2-40B4-BE49-F238E27FC236}">
                  <a16:creationId xmlns:a16="http://schemas.microsoft.com/office/drawing/2014/main" id="{4CAC53C5-C286-494E-B304-CFD394B036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DF1D983" w14:textId="4DC8876C" w:rsidR="0044710E" w:rsidRPr="003044BB" w:rsidRDefault="0044710E" w:rsidP="003044BB">
      <w:pPr>
        <w:pStyle w:val="Brdtext"/>
        <w:rPr>
          <w:b/>
        </w:rPr>
      </w:pPr>
      <w:r w:rsidRPr="003044BB">
        <w:rPr>
          <w:b/>
        </w:rPr>
        <w:t xml:space="preserve">Renewable share in the transport sector </w:t>
      </w:r>
      <w:r w:rsidR="00E00E04" w:rsidRPr="003044BB">
        <w:rPr>
          <w:b/>
        </w:rPr>
        <w:t>by</w:t>
      </w:r>
      <w:r w:rsidRPr="003044BB">
        <w:rPr>
          <w:b/>
        </w:rPr>
        <w:t xml:space="preserve"> energy source</w:t>
      </w:r>
    </w:p>
    <w:p w14:paraId="723277FD" w14:textId="794443A9" w:rsidR="0044710E" w:rsidRPr="00DC16ED" w:rsidRDefault="00BB1579" w:rsidP="00DC16ED">
      <w:pPr>
        <w:pStyle w:val="Brdtext"/>
        <w:rPr>
          <w:b/>
          <w:iCs/>
          <w:sz w:val="20"/>
          <w:szCs w:val="18"/>
          <w:lang w:val="en-GB"/>
        </w:rPr>
      </w:pPr>
      <w:r>
        <w:t>By 2015, 24.0%</w:t>
      </w:r>
      <w:r w:rsidR="002011AD" w:rsidRPr="00DC16ED">
        <w:t xml:space="preserve"> of the transport sector´s energy use is renewable according to the Re</w:t>
      </w:r>
      <w:r w:rsidR="003044BB" w:rsidRPr="00DC16ED">
        <w:t>ne</w:t>
      </w:r>
      <w:r w:rsidR="002011AD" w:rsidRPr="00DC16ED">
        <w:t xml:space="preserve">wable Energy Directive calculation method. </w:t>
      </w:r>
      <w:r w:rsidR="002011AD" w:rsidRPr="008E2A7B">
        <w:t>The increase from the previous year was 2.9 percentage points</w:t>
      </w:r>
      <w:r w:rsidR="0044710E" w:rsidRPr="008E2A7B">
        <w:t xml:space="preserve">. </w:t>
      </w:r>
      <w:r w:rsidR="002011AD" w:rsidRPr="008E2A7B">
        <w:t xml:space="preserve">The share of renewable has increased rapidly in the transport sector from 6.2% in 2005 and is shown in </w:t>
      </w:r>
      <w:r w:rsidR="003044BB">
        <w:fldChar w:fldCharType="begin"/>
      </w:r>
      <w:r w:rsidR="003044BB">
        <w:instrText xml:space="preserve"> REF _Ref496280165 \h </w:instrText>
      </w:r>
      <w:r w:rsidR="00DC16ED">
        <w:instrText xml:space="preserve"> \* MERGEFORMAT </w:instrText>
      </w:r>
      <w:r w:rsidR="003044BB">
        <w:fldChar w:fldCharType="separate"/>
      </w:r>
      <w:r w:rsidR="00BE5B09" w:rsidRPr="008E2A7B">
        <w:rPr>
          <w:lang w:val="en-GB"/>
        </w:rPr>
        <w:t xml:space="preserve">Figure </w:t>
      </w:r>
      <w:r w:rsidR="00BE5B09">
        <w:rPr>
          <w:noProof/>
          <w:lang w:val="en-GB"/>
        </w:rPr>
        <w:t>13</w:t>
      </w:r>
      <w:r w:rsidR="003044BB">
        <w:fldChar w:fldCharType="end"/>
      </w:r>
      <w:r w:rsidR="003044BB">
        <w:t>.</w:t>
      </w:r>
    </w:p>
    <w:p w14:paraId="3E062F75" w14:textId="53EEBC62" w:rsidR="0044710E" w:rsidRPr="008E2A7B" w:rsidRDefault="0044710E" w:rsidP="0044710E">
      <w:pPr>
        <w:pStyle w:val="Beskrivning"/>
        <w:rPr>
          <w:szCs w:val="20"/>
          <w:lang w:val="en-GB"/>
        </w:rPr>
      </w:pPr>
      <w:bookmarkStart w:id="58" w:name="_Ref496280165"/>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13</w:t>
      </w:r>
      <w:r w:rsidRPr="008E2A7B">
        <w:rPr>
          <w:lang w:val="en-GB"/>
        </w:rPr>
        <w:fldChar w:fldCharType="end"/>
      </w:r>
      <w:bookmarkEnd w:id="58"/>
      <w:r w:rsidRPr="008E2A7B">
        <w:rPr>
          <w:szCs w:val="20"/>
          <w:lang w:val="en-GB"/>
        </w:rPr>
        <w:t xml:space="preserve"> Actual use of biofuels and electricity in the transport sector (TWh) and renewable</w:t>
      </w:r>
      <w:r w:rsidR="00E00E04" w:rsidRPr="008E2A7B">
        <w:rPr>
          <w:szCs w:val="20"/>
          <w:lang w:val="en-GB"/>
        </w:rPr>
        <w:t>s</w:t>
      </w:r>
      <w:r w:rsidRPr="008E2A7B">
        <w:rPr>
          <w:szCs w:val="20"/>
          <w:lang w:val="en-GB"/>
        </w:rPr>
        <w:t xml:space="preserve"> share (incl. double counts) according to the </w:t>
      </w:r>
      <w:r w:rsidR="00E00E04" w:rsidRPr="008E2A7B">
        <w:rPr>
          <w:szCs w:val="20"/>
          <w:lang w:val="en-GB"/>
        </w:rPr>
        <w:t>Renewable Energy Directive</w:t>
      </w:r>
      <w:r w:rsidRPr="008E2A7B">
        <w:rPr>
          <w:szCs w:val="20"/>
          <w:lang w:val="en-GB"/>
        </w:rPr>
        <w:t xml:space="preserve"> calculation method (%), 2005-2015</w:t>
      </w:r>
    </w:p>
    <w:p w14:paraId="0E577293" w14:textId="77777777" w:rsidR="0044710E" w:rsidRPr="008E2A7B" w:rsidRDefault="0044710E" w:rsidP="0044710E">
      <w:pPr>
        <w:pStyle w:val="Brdtext"/>
        <w:rPr>
          <w:lang w:val="en-GB"/>
        </w:rPr>
      </w:pPr>
      <w:r w:rsidRPr="008E2A7B">
        <w:rPr>
          <w:noProof/>
          <w:lang w:val="en-GB" w:eastAsia="sv-SE"/>
        </w:rPr>
        <w:drawing>
          <wp:inline distT="0" distB="0" distL="0" distR="0" wp14:anchorId="149847AB" wp14:editId="31021B3A">
            <wp:extent cx="4849495" cy="2977287"/>
            <wp:effectExtent l="0" t="0" r="8255" b="0"/>
            <wp:docPr id="60" name="Diagram 60">
              <a:extLst xmlns:a="http://schemas.openxmlformats.org/drawingml/2006/main">
                <a:ext uri="{FF2B5EF4-FFF2-40B4-BE49-F238E27FC236}">
                  <a16:creationId xmlns:a16="http://schemas.microsoft.com/office/drawing/2014/main" id="{DEBA9B27-A92E-4727-A965-7162594DAB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BD3276D" w14:textId="3B9EAAAB" w:rsidR="0044710E" w:rsidRPr="008E2A7B" w:rsidRDefault="0044710E" w:rsidP="0044710E">
      <w:pPr>
        <w:pStyle w:val="Brdtext"/>
        <w:rPr>
          <w:lang w:val="en-GB"/>
        </w:rPr>
      </w:pPr>
      <w:r w:rsidRPr="008E2A7B">
        <w:rPr>
          <w:lang w:val="en-GB"/>
        </w:rPr>
        <w:lastRenderedPageBreak/>
        <w:t xml:space="preserve">It is mainly the use of biofuels that contribute to the high share of renewable energy in the transport sector. The biofuels used in Sweden are mainly biodiesel (HVO and FAME) followed by ethanol and biogas. It is particularly HVO that has increased significantly over the last 5 years. As HVO's chemical composition is identical to that </w:t>
      </w:r>
      <w:r w:rsidR="00E00E04" w:rsidRPr="008E2A7B">
        <w:rPr>
          <w:lang w:val="en-GB"/>
        </w:rPr>
        <w:t>of</w:t>
      </w:r>
      <w:r w:rsidRPr="008E2A7B">
        <w:rPr>
          <w:lang w:val="en-GB"/>
        </w:rPr>
        <w:t xml:space="preserve"> fossil diesel, HVO can be blended with fossil diesel at high levels, and that is </w:t>
      </w:r>
      <w:r w:rsidR="00E00E04" w:rsidRPr="008E2A7B">
        <w:rPr>
          <w:lang w:val="en-GB"/>
        </w:rPr>
        <w:t xml:space="preserve">the main use of </w:t>
      </w:r>
      <w:r w:rsidRPr="008E2A7B">
        <w:rPr>
          <w:lang w:val="en-GB"/>
        </w:rPr>
        <w:t>HVO.</w:t>
      </w:r>
    </w:p>
    <w:p w14:paraId="7E9C5902" w14:textId="62AAD9A9" w:rsidR="0044710E" w:rsidRPr="008E2A7B" w:rsidRDefault="00E00E04" w:rsidP="0044710E">
      <w:pPr>
        <w:pStyle w:val="Brdtext"/>
        <w:rPr>
          <w:lang w:val="en-GB"/>
        </w:rPr>
      </w:pPr>
      <w:r w:rsidRPr="008E2A7B">
        <w:rPr>
          <w:lang w:val="en-GB"/>
        </w:rPr>
        <w:t xml:space="preserve">In order </w:t>
      </w:r>
      <w:r w:rsidR="0044710E" w:rsidRPr="008E2A7B">
        <w:rPr>
          <w:lang w:val="en-GB"/>
        </w:rPr>
        <w:t>to promote biofuels produced from waste and residues</w:t>
      </w:r>
      <w:r w:rsidRPr="008E2A7B">
        <w:rPr>
          <w:lang w:val="en-GB"/>
        </w:rPr>
        <w:t xml:space="preserve">, these fuels are double </w:t>
      </w:r>
      <w:r w:rsidR="0044710E" w:rsidRPr="008E2A7B">
        <w:rPr>
          <w:lang w:val="en-GB"/>
        </w:rPr>
        <w:t>count</w:t>
      </w:r>
      <w:r w:rsidRPr="008E2A7B">
        <w:rPr>
          <w:lang w:val="en-GB"/>
        </w:rPr>
        <w:t>ed</w:t>
      </w:r>
      <w:r w:rsidR="0044710E" w:rsidRPr="008E2A7B">
        <w:rPr>
          <w:lang w:val="en-GB"/>
        </w:rPr>
        <w:t xml:space="preserve"> against the ten-year goal of the </w:t>
      </w:r>
      <w:r w:rsidRPr="008E2A7B">
        <w:rPr>
          <w:lang w:val="en-GB"/>
        </w:rPr>
        <w:t>Renewable Energy Directive</w:t>
      </w:r>
      <w:r w:rsidR="0044710E" w:rsidRPr="008E2A7B">
        <w:rPr>
          <w:lang w:val="en-GB"/>
        </w:rPr>
        <w:t xml:space="preserve">. In Sweden, double counting affects the outcome </w:t>
      </w:r>
      <w:r w:rsidRPr="008E2A7B">
        <w:rPr>
          <w:lang w:val="en-GB"/>
        </w:rPr>
        <w:t xml:space="preserve">significantly </w:t>
      </w:r>
      <w:r w:rsidR="0044710E" w:rsidRPr="008E2A7B">
        <w:rPr>
          <w:lang w:val="en-GB"/>
        </w:rPr>
        <w:t>because Swedish HVO and biogas are largely produced from waste and residues.</w:t>
      </w:r>
    </w:p>
    <w:p w14:paraId="4F0FAED1" w14:textId="3EA3C760" w:rsidR="0044710E" w:rsidRPr="008E2A7B" w:rsidRDefault="0044710E" w:rsidP="0044710E">
      <w:pPr>
        <w:pStyle w:val="Brdtext"/>
        <w:rPr>
          <w:lang w:val="en-GB"/>
        </w:rPr>
      </w:pPr>
      <w:r w:rsidRPr="008E2A7B">
        <w:rPr>
          <w:lang w:val="en-GB"/>
        </w:rPr>
        <w:t>The renewable part of the electricity used in the transport sector</w:t>
      </w:r>
      <w:r w:rsidR="00E00E04" w:rsidRPr="008E2A7B">
        <w:rPr>
          <w:lang w:val="en-GB"/>
        </w:rPr>
        <w:t xml:space="preserve"> is promoted in the calculation method</w:t>
      </w:r>
      <w:r w:rsidRPr="008E2A7B">
        <w:rPr>
          <w:lang w:val="en-GB"/>
        </w:rPr>
        <w:t xml:space="preserve">. The electricity that Sweden reports and seen in </w:t>
      </w:r>
      <w:r w:rsidRPr="008E2A7B">
        <w:rPr>
          <w:lang w:val="en-GB"/>
        </w:rPr>
        <w:fldChar w:fldCharType="begin"/>
      </w:r>
      <w:r w:rsidRPr="008E2A7B">
        <w:rPr>
          <w:lang w:val="en-GB"/>
        </w:rPr>
        <w:instrText xml:space="preserve"> REF _Ref496280165 \h </w:instrText>
      </w:r>
      <w:r w:rsidRPr="008E2A7B">
        <w:rPr>
          <w:lang w:val="en-GB"/>
        </w:rPr>
      </w:r>
      <w:r w:rsidRPr="008E2A7B">
        <w:rPr>
          <w:lang w:val="en-GB"/>
        </w:rPr>
        <w:fldChar w:fldCharType="separate"/>
      </w:r>
      <w:r w:rsidRPr="008E2A7B">
        <w:rPr>
          <w:lang w:val="en-GB"/>
        </w:rPr>
        <w:t xml:space="preserve">Figure </w:t>
      </w:r>
      <w:r w:rsidRPr="008E2A7B">
        <w:rPr>
          <w:noProof/>
          <w:lang w:val="en-GB"/>
        </w:rPr>
        <w:t>12</w:t>
      </w:r>
      <w:r w:rsidRPr="008E2A7B">
        <w:rPr>
          <w:lang w:val="en-GB"/>
        </w:rPr>
        <w:fldChar w:fldCharType="end"/>
      </w:r>
      <w:r w:rsidRPr="008E2A7B">
        <w:rPr>
          <w:lang w:val="en-GB"/>
        </w:rPr>
        <w:t xml:space="preserve"> is used by rail traffic. Use of electricity for cars, etc. in road traffic or other modes of </w:t>
      </w:r>
      <w:r w:rsidR="00DC318E" w:rsidRPr="008E2A7B">
        <w:rPr>
          <w:lang w:val="en-GB"/>
        </w:rPr>
        <w:t>transport is not reported as the</w:t>
      </w:r>
      <w:r w:rsidRPr="008E2A7B">
        <w:rPr>
          <w:lang w:val="en-GB"/>
        </w:rPr>
        <w:t>s</w:t>
      </w:r>
      <w:r w:rsidR="00DC318E" w:rsidRPr="008E2A7B">
        <w:rPr>
          <w:lang w:val="en-GB"/>
        </w:rPr>
        <w:t>e data</w:t>
      </w:r>
      <w:r w:rsidRPr="008E2A7B">
        <w:rPr>
          <w:lang w:val="en-GB"/>
        </w:rPr>
        <w:t xml:space="preserve"> are not available in the official statistics.</w:t>
      </w:r>
    </w:p>
    <w:p w14:paraId="27B262F7" w14:textId="4D55AE1C" w:rsidR="0044710E" w:rsidRPr="008E2A7B" w:rsidRDefault="0044710E" w:rsidP="0044710E">
      <w:pPr>
        <w:pStyle w:val="Brdtext"/>
        <w:rPr>
          <w:lang w:val="en-GB"/>
        </w:rPr>
      </w:pPr>
      <w:r w:rsidRPr="008E2A7B">
        <w:rPr>
          <w:lang w:val="en-GB"/>
        </w:rPr>
        <w:t>Between 2005 and 2015, the total energy consumption for domestic transport has decreased from 91 to 87 TWh, which contributes to the increased share of renewable</w:t>
      </w:r>
      <w:r w:rsidR="00DC318E" w:rsidRPr="008E2A7B">
        <w:rPr>
          <w:lang w:val="en-GB"/>
        </w:rPr>
        <w:t>s</w:t>
      </w:r>
      <w:r w:rsidRPr="008E2A7B">
        <w:rPr>
          <w:lang w:val="en-GB"/>
        </w:rPr>
        <w:t xml:space="preserve">. Without the </w:t>
      </w:r>
      <w:r w:rsidR="00E00E04" w:rsidRPr="008E2A7B">
        <w:rPr>
          <w:lang w:val="en-GB"/>
        </w:rPr>
        <w:t>Renewable Energy Directive</w:t>
      </w:r>
      <w:r w:rsidRPr="008E2A7B">
        <w:rPr>
          <w:lang w:val="en-GB"/>
        </w:rPr>
        <w:t>'s calculation method, where some fuels are double counted, the share of renewable energy in the transport sector was 18% in 2015.</w:t>
      </w:r>
    </w:p>
    <w:p w14:paraId="018B6BCF" w14:textId="77777777" w:rsidR="0044710E" w:rsidRPr="008E2A7B" w:rsidRDefault="0044710E" w:rsidP="0044710E">
      <w:pPr>
        <w:pStyle w:val="Rubrik3"/>
        <w:rPr>
          <w:lang w:val="en-GB"/>
        </w:rPr>
      </w:pPr>
      <w:r w:rsidRPr="008E2A7B">
        <w:rPr>
          <w:lang w:val="en-GB"/>
        </w:rPr>
        <w:t>Projections of development with existing policies and measures at least until 2040 (including for the year 2030)</w:t>
      </w:r>
    </w:p>
    <w:p w14:paraId="5CB3A203" w14:textId="17055D35" w:rsidR="0044710E" w:rsidRPr="008E2A7B" w:rsidRDefault="0044710E" w:rsidP="0044710E">
      <w:pPr>
        <w:pStyle w:val="Brdtext"/>
        <w:rPr>
          <w:lang w:val="en-GB"/>
        </w:rPr>
      </w:pPr>
      <w:r w:rsidRPr="008E2A7B">
        <w:rPr>
          <w:lang w:val="en-GB"/>
        </w:rPr>
        <w:t xml:space="preserve">The most recent scenarios are </w:t>
      </w:r>
      <w:r w:rsidRPr="008E2A7B">
        <w:rPr>
          <w:i/>
          <w:lang w:val="en-GB"/>
        </w:rPr>
        <w:t>Scenarios of Sweden's energy system 2016</w:t>
      </w:r>
      <w:r w:rsidRPr="008E2A7B">
        <w:rPr>
          <w:rStyle w:val="Fotnotsreferens"/>
          <w:i/>
          <w:lang w:val="en-GB"/>
        </w:rPr>
        <w:footnoteReference w:id="45"/>
      </w:r>
      <w:r w:rsidRPr="008E2A7B">
        <w:rPr>
          <w:lang w:val="en-GB"/>
        </w:rPr>
        <w:t xml:space="preserve"> and the base year of the scenarios is 2014. The reference scenario is based on the conditions given by the European Commission and </w:t>
      </w:r>
      <w:r w:rsidR="00DC318E" w:rsidRPr="008E2A7B">
        <w:rPr>
          <w:lang w:val="en-GB"/>
        </w:rPr>
        <w:t xml:space="preserve">on </w:t>
      </w:r>
      <w:r w:rsidRPr="008E2A7B">
        <w:rPr>
          <w:lang w:val="en-GB"/>
        </w:rPr>
        <w:t>policies and measures decided before 30 June 2016</w:t>
      </w:r>
      <w:r w:rsidR="00DC318E" w:rsidRPr="008E2A7B">
        <w:rPr>
          <w:lang w:val="en-GB"/>
        </w:rPr>
        <w:t>,</w:t>
      </w:r>
      <w:r w:rsidRPr="008E2A7B">
        <w:rPr>
          <w:lang w:val="en-GB"/>
        </w:rPr>
        <w:t xml:space="preserve"> according to the conditions presented in 4.1. </w:t>
      </w:r>
    </w:p>
    <w:p w14:paraId="725B47AC" w14:textId="51043F79" w:rsidR="0044710E" w:rsidRPr="008E2A7B" w:rsidRDefault="0044710E" w:rsidP="0044710E">
      <w:pPr>
        <w:pStyle w:val="Brdtext"/>
        <w:rPr>
          <w:lang w:val="en-GB"/>
        </w:rPr>
      </w:pPr>
      <w:r w:rsidRPr="008E2A7B">
        <w:rPr>
          <w:lang w:val="en-GB"/>
        </w:rPr>
        <w:t xml:space="preserve">In addition to the reference scenario, a low-price scenario has been performed for the electricity system. The purpose of the scenario is to model the electricity market with lower fossil prices. The low-price scenario uses lower prices for natural gas and coal as well as a lower price for EU ETS </w:t>
      </w:r>
      <w:r w:rsidR="00DC318E" w:rsidRPr="008E2A7B">
        <w:rPr>
          <w:lang w:val="en-GB"/>
        </w:rPr>
        <w:t xml:space="preserve">allowances </w:t>
      </w:r>
      <w:r w:rsidR="00386101" w:rsidRPr="008E2A7B">
        <w:rPr>
          <w:lang w:val="en-GB"/>
        </w:rPr>
        <w:t>according to Table 15-17</w:t>
      </w:r>
      <w:r w:rsidRPr="008E2A7B">
        <w:rPr>
          <w:lang w:val="en-GB"/>
        </w:rPr>
        <w:t xml:space="preserve"> below. Since </w:t>
      </w:r>
      <w:r w:rsidR="00DC318E" w:rsidRPr="008E2A7B">
        <w:rPr>
          <w:lang w:val="en-GB"/>
        </w:rPr>
        <w:t xml:space="preserve">oil prices, unlike </w:t>
      </w:r>
      <w:r w:rsidRPr="008E2A7B">
        <w:rPr>
          <w:lang w:val="en-GB"/>
        </w:rPr>
        <w:t>the price</w:t>
      </w:r>
      <w:r w:rsidR="00DC318E" w:rsidRPr="008E2A7B">
        <w:rPr>
          <w:lang w:val="en-GB"/>
        </w:rPr>
        <w:t>s</w:t>
      </w:r>
      <w:r w:rsidRPr="008E2A7B">
        <w:rPr>
          <w:lang w:val="en-GB"/>
        </w:rPr>
        <w:t xml:space="preserve"> of natural gas and coal</w:t>
      </w:r>
      <w:r w:rsidR="00DC318E" w:rsidRPr="008E2A7B">
        <w:rPr>
          <w:lang w:val="en-GB"/>
        </w:rPr>
        <w:t>, do not</w:t>
      </w:r>
      <w:r w:rsidRPr="008E2A7B">
        <w:rPr>
          <w:lang w:val="en-GB"/>
        </w:rPr>
        <w:t xml:space="preserve"> affect the Swedish electricity market, oil prices are the same as in the reference scenario. In this scenario, the extension and </w:t>
      </w:r>
      <w:r w:rsidR="00DC318E" w:rsidRPr="008E2A7B">
        <w:rPr>
          <w:lang w:val="en-GB"/>
        </w:rPr>
        <w:t xml:space="preserve">increased ambition </w:t>
      </w:r>
      <w:r w:rsidRPr="008E2A7B">
        <w:rPr>
          <w:lang w:val="en-GB"/>
        </w:rPr>
        <w:t xml:space="preserve">of the electricity certificate system with 18 TWh is also added. </w:t>
      </w:r>
    </w:p>
    <w:p w14:paraId="32D97D15" w14:textId="477280BE" w:rsidR="0044710E" w:rsidRPr="008E2A7B" w:rsidRDefault="0044710E" w:rsidP="0044710E">
      <w:pPr>
        <w:pStyle w:val="Beskrivning"/>
        <w:rPr>
          <w:szCs w:val="20"/>
          <w:lang w:val="en-GB"/>
        </w:rPr>
      </w:pPr>
      <w:r w:rsidRPr="008E2A7B">
        <w:rPr>
          <w:lang w:val="en-GB"/>
        </w:rPr>
        <w:lastRenderedPageBreak/>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15</w:t>
      </w:r>
      <w:r w:rsidRPr="008E2A7B">
        <w:rPr>
          <w:lang w:val="en-GB"/>
        </w:rPr>
        <w:fldChar w:fldCharType="end"/>
      </w:r>
      <w:r w:rsidRPr="008E2A7B">
        <w:rPr>
          <w:szCs w:val="20"/>
          <w:lang w:val="en-GB"/>
        </w:rPr>
        <w:t xml:space="preserve"> Assumed world market prices for coal</w:t>
      </w:r>
      <w:r w:rsidR="00DC318E" w:rsidRPr="008E2A7B">
        <w:rPr>
          <w:szCs w:val="20"/>
          <w:lang w:val="en-GB"/>
        </w:rPr>
        <w:t>,</w:t>
      </w:r>
      <w:r w:rsidRPr="008E2A7B">
        <w:rPr>
          <w:szCs w:val="20"/>
          <w:lang w:val="en-GB"/>
        </w:rPr>
        <w:t xml:space="preserve"> USD/tonne, low-price scenario</w:t>
      </w:r>
    </w:p>
    <w:tbl>
      <w:tblPr>
        <w:tblStyle w:val="Enkeltabell1"/>
        <w:tblW w:w="5000" w:type="pct"/>
        <w:tblLook w:val="04A0" w:firstRow="1" w:lastRow="0" w:firstColumn="1" w:lastColumn="0" w:noHBand="0" w:noVBand="1"/>
      </w:tblPr>
      <w:tblGrid>
        <w:gridCol w:w="1396"/>
        <w:gridCol w:w="1840"/>
        <w:gridCol w:w="1840"/>
        <w:gridCol w:w="1840"/>
      </w:tblGrid>
      <w:tr w:rsidR="0044710E" w:rsidRPr="008E2A7B" w14:paraId="278B35AC" w14:textId="77777777" w:rsidTr="0044710E">
        <w:trPr>
          <w:cnfStyle w:val="100000000000" w:firstRow="1" w:lastRow="0" w:firstColumn="0" w:lastColumn="0" w:oddVBand="0" w:evenVBand="0" w:oddHBand="0" w:evenHBand="0" w:firstRowFirstColumn="0" w:firstRowLastColumn="0" w:lastRowFirstColumn="0" w:lastRowLastColumn="0"/>
          <w:trHeight w:val="400"/>
        </w:trPr>
        <w:tc>
          <w:tcPr>
            <w:tcW w:w="1010" w:type="pct"/>
          </w:tcPr>
          <w:p w14:paraId="5CA0622C"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1330" w:type="pct"/>
          </w:tcPr>
          <w:p w14:paraId="0FE32022"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1330" w:type="pct"/>
          </w:tcPr>
          <w:p w14:paraId="17546C48"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1330" w:type="pct"/>
          </w:tcPr>
          <w:p w14:paraId="1CCAB4EA"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71817F55" w14:textId="77777777" w:rsidTr="0044710E">
        <w:tc>
          <w:tcPr>
            <w:tcW w:w="1010" w:type="pct"/>
          </w:tcPr>
          <w:p w14:paraId="2296D7F6" w14:textId="77777777" w:rsidR="0044710E" w:rsidRPr="008E2A7B" w:rsidRDefault="0044710E" w:rsidP="0044710E">
            <w:pPr>
              <w:keepNext/>
              <w:jc w:val="center"/>
              <w:rPr>
                <w:rFonts w:cstheme="minorHAnsi"/>
                <w:sz w:val="20"/>
                <w:lang w:val="en-GB"/>
              </w:rPr>
            </w:pPr>
            <w:r w:rsidRPr="008E2A7B">
              <w:rPr>
                <w:rFonts w:cstheme="minorHAnsi"/>
                <w:sz w:val="20"/>
                <w:lang w:val="en-GB"/>
              </w:rPr>
              <w:t>54</w:t>
            </w:r>
          </w:p>
        </w:tc>
        <w:tc>
          <w:tcPr>
            <w:tcW w:w="1330" w:type="pct"/>
          </w:tcPr>
          <w:p w14:paraId="0FE7AEFE" w14:textId="77777777" w:rsidR="0044710E" w:rsidRPr="008E2A7B" w:rsidRDefault="0044710E" w:rsidP="0044710E">
            <w:pPr>
              <w:keepNext/>
              <w:jc w:val="center"/>
              <w:rPr>
                <w:rFonts w:cstheme="minorHAnsi"/>
                <w:sz w:val="20"/>
                <w:lang w:val="en-GB"/>
              </w:rPr>
            </w:pPr>
            <w:r w:rsidRPr="008E2A7B">
              <w:rPr>
                <w:rFonts w:cstheme="minorHAnsi"/>
                <w:sz w:val="20"/>
                <w:lang w:val="en-GB"/>
              </w:rPr>
              <w:t>61</w:t>
            </w:r>
          </w:p>
        </w:tc>
        <w:tc>
          <w:tcPr>
            <w:tcW w:w="1330" w:type="pct"/>
          </w:tcPr>
          <w:p w14:paraId="463109B5" w14:textId="77777777" w:rsidR="0044710E" w:rsidRPr="008E2A7B" w:rsidRDefault="0044710E" w:rsidP="0044710E">
            <w:pPr>
              <w:keepNext/>
              <w:jc w:val="center"/>
              <w:rPr>
                <w:rFonts w:cstheme="minorHAnsi"/>
                <w:sz w:val="20"/>
                <w:lang w:val="en-GB"/>
              </w:rPr>
            </w:pPr>
            <w:r w:rsidRPr="008E2A7B">
              <w:rPr>
                <w:rFonts w:cstheme="minorHAnsi"/>
                <w:sz w:val="20"/>
                <w:lang w:val="en-GB"/>
              </w:rPr>
              <w:t>84</w:t>
            </w:r>
          </w:p>
        </w:tc>
        <w:tc>
          <w:tcPr>
            <w:tcW w:w="1330" w:type="pct"/>
          </w:tcPr>
          <w:p w14:paraId="624E50E0" w14:textId="77777777" w:rsidR="0044710E" w:rsidRPr="008E2A7B" w:rsidRDefault="0044710E" w:rsidP="0044710E">
            <w:pPr>
              <w:keepNext/>
              <w:jc w:val="center"/>
              <w:rPr>
                <w:rFonts w:cstheme="minorHAnsi"/>
                <w:sz w:val="20"/>
                <w:lang w:val="en-GB"/>
              </w:rPr>
            </w:pPr>
            <w:r w:rsidRPr="008E2A7B">
              <w:rPr>
                <w:rFonts w:cstheme="minorHAnsi"/>
                <w:sz w:val="20"/>
                <w:lang w:val="en-GB"/>
              </w:rPr>
              <w:t>93</w:t>
            </w:r>
          </w:p>
        </w:tc>
      </w:tr>
      <w:tr w:rsidR="0044710E" w:rsidRPr="008E2A7B" w14:paraId="505E1AFB" w14:textId="77777777" w:rsidTr="0044710E">
        <w:trPr>
          <w:trHeight w:val="80"/>
        </w:trPr>
        <w:tc>
          <w:tcPr>
            <w:tcW w:w="1010" w:type="pct"/>
          </w:tcPr>
          <w:p w14:paraId="0FFED78B" w14:textId="77777777" w:rsidR="0044710E" w:rsidRPr="008E2A7B" w:rsidRDefault="0044710E" w:rsidP="0044710E">
            <w:pPr>
              <w:keepNext/>
              <w:rPr>
                <w:rFonts w:cstheme="minorHAnsi"/>
                <w:sz w:val="20"/>
                <w:lang w:val="en-GB"/>
              </w:rPr>
            </w:pPr>
          </w:p>
        </w:tc>
        <w:tc>
          <w:tcPr>
            <w:tcW w:w="1330" w:type="pct"/>
          </w:tcPr>
          <w:p w14:paraId="3E9FA61F" w14:textId="77777777" w:rsidR="0044710E" w:rsidRPr="008E2A7B" w:rsidRDefault="0044710E" w:rsidP="0044710E">
            <w:pPr>
              <w:keepNext/>
              <w:jc w:val="center"/>
              <w:rPr>
                <w:rFonts w:cstheme="minorHAnsi"/>
                <w:sz w:val="20"/>
                <w:lang w:val="en-GB"/>
              </w:rPr>
            </w:pPr>
          </w:p>
        </w:tc>
        <w:tc>
          <w:tcPr>
            <w:tcW w:w="1330" w:type="pct"/>
          </w:tcPr>
          <w:p w14:paraId="0DB4B6B3" w14:textId="77777777" w:rsidR="0044710E" w:rsidRPr="008E2A7B" w:rsidRDefault="0044710E" w:rsidP="0044710E">
            <w:pPr>
              <w:keepNext/>
              <w:jc w:val="center"/>
              <w:rPr>
                <w:rFonts w:cstheme="minorHAnsi"/>
                <w:sz w:val="20"/>
                <w:lang w:val="en-GB"/>
              </w:rPr>
            </w:pPr>
          </w:p>
        </w:tc>
        <w:tc>
          <w:tcPr>
            <w:tcW w:w="1330" w:type="pct"/>
          </w:tcPr>
          <w:p w14:paraId="68D1B6C9" w14:textId="77777777" w:rsidR="0044710E" w:rsidRPr="008E2A7B" w:rsidRDefault="0044710E" w:rsidP="0044710E">
            <w:pPr>
              <w:keepNext/>
              <w:jc w:val="center"/>
              <w:rPr>
                <w:rFonts w:cstheme="minorHAnsi"/>
                <w:sz w:val="20"/>
                <w:lang w:val="en-GB"/>
              </w:rPr>
            </w:pPr>
          </w:p>
        </w:tc>
      </w:tr>
    </w:tbl>
    <w:p w14:paraId="453DE07B" w14:textId="77777777" w:rsidR="0044710E" w:rsidRPr="008E2A7B" w:rsidRDefault="0044710E" w:rsidP="0044710E">
      <w:pPr>
        <w:pStyle w:val="Brdtext"/>
        <w:rPr>
          <w:lang w:val="en-GB"/>
        </w:rPr>
      </w:pPr>
    </w:p>
    <w:p w14:paraId="71D9AB98" w14:textId="7B58A1B2"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16</w:t>
      </w:r>
      <w:r w:rsidRPr="008E2A7B">
        <w:rPr>
          <w:lang w:val="en-GB"/>
        </w:rPr>
        <w:fldChar w:fldCharType="end"/>
      </w:r>
      <w:r w:rsidRPr="008E2A7B">
        <w:rPr>
          <w:szCs w:val="20"/>
          <w:lang w:val="en-GB"/>
        </w:rPr>
        <w:t xml:space="preserve"> Assumed world market prices for natural gas, USD/mmBTU, low-price scenario</w:t>
      </w:r>
    </w:p>
    <w:tbl>
      <w:tblPr>
        <w:tblStyle w:val="Enkeltabell1"/>
        <w:tblW w:w="5000" w:type="pct"/>
        <w:tblLook w:val="04A0" w:firstRow="1" w:lastRow="0" w:firstColumn="1" w:lastColumn="0" w:noHBand="0" w:noVBand="1"/>
      </w:tblPr>
      <w:tblGrid>
        <w:gridCol w:w="1396"/>
        <w:gridCol w:w="1840"/>
        <w:gridCol w:w="1840"/>
        <w:gridCol w:w="1840"/>
      </w:tblGrid>
      <w:tr w:rsidR="0044710E" w:rsidRPr="008E2A7B" w14:paraId="4866282B" w14:textId="77777777" w:rsidTr="0044710E">
        <w:trPr>
          <w:cnfStyle w:val="100000000000" w:firstRow="1" w:lastRow="0" w:firstColumn="0" w:lastColumn="0" w:oddVBand="0" w:evenVBand="0" w:oddHBand="0" w:evenHBand="0" w:firstRowFirstColumn="0" w:firstRowLastColumn="0" w:lastRowFirstColumn="0" w:lastRowLastColumn="0"/>
          <w:trHeight w:val="420"/>
        </w:trPr>
        <w:tc>
          <w:tcPr>
            <w:tcW w:w="599" w:type="pct"/>
          </w:tcPr>
          <w:p w14:paraId="4698C90D"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789" w:type="pct"/>
          </w:tcPr>
          <w:p w14:paraId="6E65C1AD"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789" w:type="pct"/>
          </w:tcPr>
          <w:p w14:paraId="50C3EE67"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789" w:type="pct"/>
          </w:tcPr>
          <w:p w14:paraId="079DB645"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5930434E" w14:textId="77777777" w:rsidTr="0044710E">
        <w:trPr>
          <w:trHeight w:val="412"/>
        </w:trPr>
        <w:tc>
          <w:tcPr>
            <w:tcW w:w="599" w:type="pct"/>
          </w:tcPr>
          <w:p w14:paraId="121FCED1" w14:textId="77777777" w:rsidR="0044710E" w:rsidRPr="008E2A7B" w:rsidRDefault="0044710E" w:rsidP="0044710E">
            <w:pPr>
              <w:keepNext/>
              <w:jc w:val="center"/>
              <w:rPr>
                <w:rFonts w:cstheme="minorHAnsi"/>
                <w:sz w:val="20"/>
                <w:lang w:val="en-GB"/>
              </w:rPr>
            </w:pPr>
            <w:r w:rsidRPr="008E2A7B">
              <w:rPr>
                <w:rFonts w:cstheme="minorHAnsi"/>
                <w:sz w:val="20"/>
                <w:lang w:val="en-GB"/>
              </w:rPr>
              <w:t>6</w:t>
            </w:r>
          </w:p>
        </w:tc>
        <w:tc>
          <w:tcPr>
            <w:tcW w:w="789" w:type="pct"/>
          </w:tcPr>
          <w:p w14:paraId="694DEF8E" w14:textId="77777777" w:rsidR="0044710E" w:rsidRPr="008E2A7B" w:rsidRDefault="0044710E" w:rsidP="0044710E">
            <w:pPr>
              <w:keepNext/>
              <w:jc w:val="center"/>
              <w:rPr>
                <w:rFonts w:cstheme="minorHAnsi"/>
                <w:sz w:val="20"/>
                <w:lang w:val="en-GB"/>
              </w:rPr>
            </w:pPr>
            <w:r w:rsidRPr="008E2A7B">
              <w:rPr>
                <w:rFonts w:cstheme="minorHAnsi"/>
                <w:sz w:val="20"/>
                <w:lang w:val="en-GB"/>
              </w:rPr>
              <w:t>5</w:t>
            </w:r>
          </w:p>
        </w:tc>
        <w:tc>
          <w:tcPr>
            <w:tcW w:w="789" w:type="pct"/>
          </w:tcPr>
          <w:p w14:paraId="6DEC0D4C" w14:textId="77777777" w:rsidR="0044710E" w:rsidRPr="008E2A7B" w:rsidRDefault="0044710E" w:rsidP="0044710E">
            <w:pPr>
              <w:keepNext/>
              <w:jc w:val="center"/>
              <w:rPr>
                <w:rFonts w:cstheme="minorHAnsi"/>
                <w:sz w:val="20"/>
                <w:lang w:val="en-GB"/>
              </w:rPr>
            </w:pPr>
            <w:r w:rsidRPr="008E2A7B">
              <w:rPr>
                <w:rFonts w:cstheme="minorHAnsi"/>
                <w:sz w:val="20"/>
                <w:lang w:val="en-GB"/>
              </w:rPr>
              <w:t>6</w:t>
            </w:r>
          </w:p>
        </w:tc>
        <w:tc>
          <w:tcPr>
            <w:tcW w:w="789" w:type="pct"/>
          </w:tcPr>
          <w:p w14:paraId="13C72056" w14:textId="77777777" w:rsidR="0044710E" w:rsidRPr="008E2A7B" w:rsidRDefault="0044710E" w:rsidP="0044710E">
            <w:pPr>
              <w:keepNext/>
              <w:jc w:val="center"/>
              <w:rPr>
                <w:rFonts w:cstheme="minorHAnsi"/>
                <w:sz w:val="20"/>
                <w:lang w:val="en-GB"/>
              </w:rPr>
            </w:pPr>
            <w:r w:rsidRPr="008E2A7B">
              <w:rPr>
                <w:rFonts w:cstheme="minorHAnsi"/>
                <w:sz w:val="20"/>
                <w:lang w:val="en-GB"/>
              </w:rPr>
              <w:t>7</w:t>
            </w:r>
          </w:p>
        </w:tc>
      </w:tr>
    </w:tbl>
    <w:p w14:paraId="2B92ECCA" w14:textId="77777777" w:rsidR="0044710E" w:rsidRPr="008E2A7B" w:rsidRDefault="0044710E" w:rsidP="0044710E">
      <w:pPr>
        <w:pStyle w:val="Brdtext"/>
        <w:rPr>
          <w:lang w:val="en-GB"/>
        </w:rPr>
      </w:pPr>
    </w:p>
    <w:p w14:paraId="3E92D8F9" w14:textId="5C81D69E" w:rsidR="0044710E" w:rsidRPr="008E2A7B" w:rsidRDefault="0044710E" w:rsidP="0044710E">
      <w:pPr>
        <w:pStyle w:val="Beskrivning"/>
        <w:rPr>
          <w:szCs w:val="20"/>
          <w:lang w:val="en-GB"/>
        </w:rPr>
      </w:pPr>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17</w:t>
      </w:r>
      <w:r w:rsidRPr="008E2A7B">
        <w:rPr>
          <w:lang w:val="en-GB"/>
        </w:rPr>
        <w:fldChar w:fldCharType="end"/>
      </w:r>
      <w:r w:rsidRPr="008E2A7B">
        <w:rPr>
          <w:szCs w:val="20"/>
          <w:lang w:val="en-GB"/>
        </w:rPr>
        <w:t xml:space="preserve"> </w:t>
      </w:r>
      <w:r w:rsidR="00DC318E" w:rsidRPr="008E2A7B">
        <w:rPr>
          <w:szCs w:val="20"/>
          <w:lang w:val="en-GB"/>
        </w:rPr>
        <w:t xml:space="preserve">Assumed prices for ETS </w:t>
      </w:r>
      <w:r w:rsidRPr="008E2A7B">
        <w:rPr>
          <w:szCs w:val="20"/>
          <w:lang w:val="en-GB"/>
        </w:rPr>
        <w:t>allowance</w:t>
      </w:r>
      <w:r w:rsidR="00DC318E" w:rsidRPr="008E2A7B">
        <w:rPr>
          <w:szCs w:val="20"/>
          <w:lang w:val="en-GB"/>
        </w:rPr>
        <w:t>s</w:t>
      </w:r>
      <w:r w:rsidRPr="008E2A7B">
        <w:rPr>
          <w:szCs w:val="20"/>
          <w:lang w:val="en-GB"/>
        </w:rPr>
        <w:t>, EUR/tonne CO2, low-price scenario</w:t>
      </w:r>
    </w:p>
    <w:tbl>
      <w:tblPr>
        <w:tblStyle w:val="Enkeltabell1"/>
        <w:tblpPr w:leftFromText="141" w:rightFromText="141" w:vertAnchor="text" w:tblpY="80"/>
        <w:tblW w:w="5000" w:type="pct"/>
        <w:tblLook w:val="04A0" w:firstRow="1" w:lastRow="0" w:firstColumn="1" w:lastColumn="0" w:noHBand="0" w:noVBand="1"/>
      </w:tblPr>
      <w:tblGrid>
        <w:gridCol w:w="1462"/>
        <w:gridCol w:w="1818"/>
        <w:gridCol w:w="1818"/>
        <w:gridCol w:w="1818"/>
      </w:tblGrid>
      <w:tr w:rsidR="0044710E" w:rsidRPr="008E2A7B" w14:paraId="2210ED95" w14:textId="77777777" w:rsidTr="0044710E">
        <w:trPr>
          <w:cnfStyle w:val="100000000000" w:firstRow="1" w:lastRow="0" w:firstColumn="0" w:lastColumn="0" w:oddVBand="0" w:evenVBand="0" w:oddHBand="0" w:evenHBand="0" w:firstRowFirstColumn="0" w:firstRowLastColumn="0" w:lastRowFirstColumn="0" w:lastRowLastColumn="0"/>
          <w:trHeight w:val="398"/>
        </w:trPr>
        <w:tc>
          <w:tcPr>
            <w:tcW w:w="1057" w:type="pct"/>
          </w:tcPr>
          <w:p w14:paraId="229AAF43" w14:textId="77777777" w:rsidR="0044710E" w:rsidRPr="008E2A7B" w:rsidRDefault="0044710E" w:rsidP="0044710E">
            <w:pPr>
              <w:keepNext/>
              <w:jc w:val="center"/>
              <w:rPr>
                <w:rFonts w:cstheme="minorHAnsi"/>
                <w:b/>
                <w:sz w:val="20"/>
                <w:lang w:val="en-GB"/>
              </w:rPr>
            </w:pPr>
            <w:r w:rsidRPr="008E2A7B">
              <w:rPr>
                <w:rFonts w:cstheme="minorHAnsi"/>
                <w:b/>
                <w:sz w:val="20"/>
                <w:lang w:val="en-GB"/>
              </w:rPr>
              <w:t>2015</w:t>
            </w:r>
          </w:p>
        </w:tc>
        <w:tc>
          <w:tcPr>
            <w:tcW w:w="1314" w:type="pct"/>
          </w:tcPr>
          <w:p w14:paraId="234258E9" w14:textId="77777777" w:rsidR="0044710E" w:rsidRPr="008E2A7B" w:rsidRDefault="0044710E" w:rsidP="0044710E">
            <w:pPr>
              <w:keepNext/>
              <w:jc w:val="center"/>
              <w:rPr>
                <w:rFonts w:cstheme="minorHAnsi"/>
                <w:b/>
                <w:sz w:val="20"/>
                <w:lang w:val="en-GB"/>
              </w:rPr>
            </w:pPr>
            <w:r w:rsidRPr="008E2A7B">
              <w:rPr>
                <w:rFonts w:cstheme="minorHAnsi"/>
                <w:b/>
                <w:sz w:val="20"/>
                <w:lang w:val="en-GB"/>
              </w:rPr>
              <w:t>2020</w:t>
            </w:r>
          </w:p>
        </w:tc>
        <w:tc>
          <w:tcPr>
            <w:tcW w:w="1314" w:type="pct"/>
          </w:tcPr>
          <w:p w14:paraId="4359A5A1" w14:textId="77777777" w:rsidR="0044710E" w:rsidRPr="008E2A7B" w:rsidRDefault="0044710E" w:rsidP="0044710E">
            <w:pPr>
              <w:keepNext/>
              <w:jc w:val="center"/>
              <w:rPr>
                <w:rFonts w:cstheme="minorHAnsi"/>
                <w:b/>
                <w:sz w:val="20"/>
                <w:lang w:val="en-GB"/>
              </w:rPr>
            </w:pPr>
            <w:r w:rsidRPr="008E2A7B">
              <w:rPr>
                <w:rFonts w:cstheme="minorHAnsi"/>
                <w:b/>
                <w:sz w:val="20"/>
                <w:lang w:val="en-GB"/>
              </w:rPr>
              <w:t>2030</w:t>
            </w:r>
          </w:p>
        </w:tc>
        <w:tc>
          <w:tcPr>
            <w:tcW w:w="1314" w:type="pct"/>
          </w:tcPr>
          <w:p w14:paraId="6133FA29" w14:textId="77777777" w:rsidR="0044710E" w:rsidRPr="008E2A7B" w:rsidRDefault="0044710E" w:rsidP="0044710E">
            <w:pPr>
              <w:keepNext/>
              <w:jc w:val="center"/>
              <w:rPr>
                <w:rFonts w:cstheme="minorHAnsi"/>
                <w:b/>
                <w:sz w:val="20"/>
                <w:lang w:val="en-GB"/>
              </w:rPr>
            </w:pPr>
            <w:r w:rsidRPr="008E2A7B">
              <w:rPr>
                <w:rFonts w:cstheme="minorHAnsi"/>
                <w:b/>
                <w:sz w:val="20"/>
                <w:lang w:val="en-GB"/>
              </w:rPr>
              <w:t>2040</w:t>
            </w:r>
          </w:p>
        </w:tc>
      </w:tr>
      <w:tr w:rsidR="0044710E" w:rsidRPr="008E2A7B" w14:paraId="1A56B5F7" w14:textId="77777777" w:rsidTr="0044710E">
        <w:trPr>
          <w:trHeight w:val="405"/>
        </w:trPr>
        <w:tc>
          <w:tcPr>
            <w:tcW w:w="1057" w:type="pct"/>
          </w:tcPr>
          <w:p w14:paraId="7E773C2D" w14:textId="77777777" w:rsidR="0044710E" w:rsidRPr="008E2A7B" w:rsidRDefault="0044710E" w:rsidP="0044710E">
            <w:pPr>
              <w:keepNext/>
              <w:jc w:val="center"/>
              <w:rPr>
                <w:rFonts w:cstheme="minorHAnsi"/>
                <w:sz w:val="20"/>
                <w:lang w:val="en-GB"/>
              </w:rPr>
            </w:pPr>
            <w:r w:rsidRPr="008E2A7B">
              <w:rPr>
                <w:rFonts w:cstheme="minorHAnsi"/>
                <w:sz w:val="20"/>
                <w:lang w:val="en-GB"/>
              </w:rPr>
              <w:t>7.5</w:t>
            </w:r>
          </w:p>
        </w:tc>
        <w:tc>
          <w:tcPr>
            <w:tcW w:w="1314" w:type="pct"/>
          </w:tcPr>
          <w:p w14:paraId="3F4C7C64" w14:textId="77777777" w:rsidR="0044710E" w:rsidRPr="008E2A7B" w:rsidRDefault="0044710E" w:rsidP="0044710E">
            <w:pPr>
              <w:keepNext/>
              <w:jc w:val="center"/>
              <w:rPr>
                <w:rFonts w:cstheme="minorHAnsi"/>
                <w:sz w:val="20"/>
                <w:lang w:val="en-GB"/>
              </w:rPr>
            </w:pPr>
            <w:r w:rsidRPr="008E2A7B">
              <w:rPr>
                <w:rFonts w:cstheme="minorHAnsi"/>
                <w:sz w:val="20"/>
                <w:lang w:val="en-GB"/>
              </w:rPr>
              <w:t>6</w:t>
            </w:r>
          </w:p>
        </w:tc>
        <w:tc>
          <w:tcPr>
            <w:tcW w:w="1314" w:type="pct"/>
          </w:tcPr>
          <w:p w14:paraId="744CCD7C" w14:textId="77777777" w:rsidR="0044710E" w:rsidRPr="008E2A7B" w:rsidRDefault="0044710E" w:rsidP="0044710E">
            <w:pPr>
              <w:keepNext/>
              <w:jc w:val="center"/>
              <w:rPr>
                <w:rFonts w:cstheme="minorHAnsi"/>
                <w:sz w:val="20"/>
                <w:lang w:val="en-GB"/>
              </w:rPr>
            </w:pPr>
            <w:r w:rsidRPr="008E2A7B">
              <w:rPr>
                <w:rFonts w:cstheme="minorHAnsi"/>
                <w:sz w:val="20"/>
                <w:lang w:val="en-GB"/>
              </w:rPr>
              <w:t>15</w:t>
            </w:r>
          </w:p>
        </w:tc>
        <w:tc>
          <w:tcPr>
            <w:tcW w:w="1314" w:type="pct"/>
          </w:tcPr>
          <w:p w14:paraId="417400FD" w14:textId="77777777" w:rsidR="0044710E" w:rsidRPr="008E2A7B" w:rsidRDefault="0044710E" w:rsidP="0044710E">
            <w:pPr>
              <w:keepNext/>
              <w:jc w:val="center"/>
              <w:rPr>
                <w:rFonts w:cstheme="minorHAnsi"/>
                <w:sz w:val="20"/>
                <w:lang w:val="en-GB"/>
              </w:rPr>
            </w:pPr>
            <w:r w:rsidRPr="008E2A7B">
              <w:rPr>
                <w:rFonts w:cstheme="minorHAnsi"/>
                <w:sz w:val="20"/>
                <w:lang w:val="en-GB"/>
              </w:rPr>
              <w:t>20</w:t>
            </w:r>
          </w:p>
        </w:tc>
      </w:tr>
    </w:tbl>
    <w:p w14:paraId="0B8F8639" w14:textId="77777777" w:rsidR="0044710E" w:rsidRPr="008E2A7B" w:rsidRDefault="0044710E" w:rsidP="0044710E">
      <w:pPr>
        <w:pStyle w:val="Brdtext"/>
        <w:rPr>
          <w:b/>
          <w:lang w:val="en-GB"/>
        </w:rPr>
      </w:pPr>
    </w:p>
    <w:p w14:paraId="1C1CE2BF" w14:textId="411B00EA" w:rsidR="0044710E" w:rsidRPr="008E2A7B" w:rsidRDefault="0044710E" w:rsidP="0044710E">
      <w:pPr>
        <w:pStyle w:val="Brdtext"/>
        <w:contextualSpacing/>
        <w:rPr>
          <w:b/>
          <w:lang w:val="en-GB"/>
        </w:rPr>
      </w:pPr>
      <w:r w:rsidRPr="008E2A7B">
        <w:rPr>
          <w:b/>
          <w:lang w:val="en-GB"/>
        </w:rPr>
        <w:t xml:space="preserve">Scenarios for </w:t>
      </w:r>
      <w:r w:rsidR="00DC318E" w:rsidRPr="008E2A7B">
        <w:rPr>
          <w:b/>
          <w:lang w:val="en-GB"/>
        </w:rPr>
        <w:t xml:space="preserve">the </w:t>
      </w:r>
      <w:r w:rsidRPr="008E2A7B">
        <w:rPr>
          <w:b/>
          <w:lang w:val="en-GB"/>
        </w:rPr>
        <w:t xml:space="preserve">total share </w:t>
      </w:r>
      <w:r w:rsidR="00DC318E" w:rsidRPr="008E2A7B">
        <w:rPr>
          <w:b/>
          <w:lang w:val="en-GB"/>
        </w:rPr>
        <w:t xml:space="preserve">of </w:t>
      </w:r>
      <w:r w:rsidRPr="008E2A7B">
        <w:rPr>
          <w:b/>
          <w:lang w:val="en-GB"/>
        </w:rPr>
        <w:t>renewable</w:t>
      </w:r>
      <w:r w:rsidR="00DC318E" w:rsidRPr="008E2A7B">
        <w:rPr>
          <w:b/>
          <w:lang w:val="en-GB"/>
        </w:rPr>
        <w:t>s</w:t>
      </w:r>
    </w:p>
    <w:p w14:paraId="1B33690B" w14:textId="632DDED6" w:rsidR="0044710E" w:rsidRPr="008E2A7B" w:rsidRDefault="0044710E" w:rsidP="0044710E">
      <w:pPr>
        <w:pStyle w:val="Brdtext"/>
        <w:contextualSpacing/>
        <w:rPr>
          <w:lang w:val="en-GB"/>
        </w:rPr>
      </w:pPr>
      <w:r w:rsidRPr="008E2A7B">
        <w:rPr>
          <w:lang w:val="en-GB"/>
        </w:rPr>
        <w:t>The share of renewable energy in relation to gross energy use is increasing from the 2014 share of 53% to 58% by 2020. The share continues to rise to 65</w:t>
      </w:r>
      <w:r w:rsidR="0010714E" w:rsidRPr="008E2A7B">
        <w:rPr>
          <w:lang w:val="en-GB"/>
        </w:rPr>
        <w:t>%</w:t>
      </w:r>
      <w:r w:rsidRPr="008E2A7B">
        <w:rPr>
          <w:lang w:val="en-GB"/>
        </w:rPr>
        <w:t xml:space="preserve"> and 72% in 2030 and 2040 respectively, shown in </w:t>
      </w:r>
      <w:r w:rsidR="00386101" w:rsidRPr="008E2A7B">
        <w:rPr>
          <w:lang w:val="en-GB"/>
        </w:rPr>
        <w:fldChar w:fldCharType="begin"/>
      </w:r>
      <w:r w:rsidR="00386101" w:rsidRPr="008E2A7B">
        <w:rPr>
          <w:lang w:val="en-GB"/>
        </w:rPr>
        <w:instrText xml:space="preserve"> REF _Ref496280367 \h </w:instrText>
      </w:r>
      <w:r w:rsidR="00386101" w:rsidRPr="008E2A7B">
        <w:rPr>
          <w:lang w:val="en-GB"/>
        </w:rPr>
      </w:r>
      <w:r w:rsidR="00386101" w:rsidRPr="008E2A7B">
        <w:rPr>
          <w:lang w:val="en-GB"/>
        </w:rPr>
        <w:fldChar w:fldCharType="separate"/>
      </w:r>
      <w:r w:rsidR="00DE338A" w:rsidRPr="008E2A7B">
        <w:rPr>
          <w:lang w:val="en-GB"/>
        </w:rPr>
        <w:t xml:space="preserve">Figure </w:t>
      </w:r>
      <w:r w:rsidR="00DE338A" w:rsidRPr="008E2A7B">
        <w:rPr>
          <w:noProof/>
          <w:lang w:val="en-GB"/>
        </w:rPr>
        <w:t>14</w:t>
      </w:r>
      <w:r w:rsidR="00386101" w:rsidRPr="008E2A7B">
        <w:rPr>
          <w:lang w:val="en-GB"/>
        </w:rPr>
        <w:fldChar w:fldCharType="end"/>
      </w:r>
      <w:r w:rsidRPr="008E2A7B">
        <w:rPr>
          <w:lang w:val="en-GB"/>
        </w:rPr>
        <w:t>.</w:t>
      </w:r>
    </w:p>
    <w:p w14:paraId="1E51928E" w14:textId="77777777" w:rsidR="0044710E" w:rsidRPr="008E2A7B" w:rsidRDefault="0044710E" w:rsidP="0044710E">
      <w:pPr>
        <w:pStyle w:val="Brdtext"/>
        <w:contextualSpacing/>
        <w:rPr>
          <w:lang w:val="en-GB"/>
        </w:rPr>
      </w:pPr>
    </w:p>
    <w:p w14:paraId="3A7016F8" w14:textId="19D6135D" w:rsidR="0044710E" w:rsidRPr="008E2A7B" w:rsidRDefault="0044710E" w:rsidP="0044710E">
      <w:pPr>
        <w:pStyle w:val="Beskrivning"/>
        <w:rPr>
          <w:szCs w:val="20"/>
          <w:lang w:val="en-GB"/>
        </w:rPr>
      </w:pPr>
      <w:bookmarkStart w:id="59" w:name="_Ref496280367"/>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14</w:t>
      </w:r>
      <w:r w:rsidRPr="008E2A7B">
        <w:rPr>
          <w:lang w:val="en-GB"/>
        </w:rPr>
        <w:fldChar w:fldCharType="end"/>
      </w:r>
      <w:bookmarkEnd w:id="59"/>
      <w:r w:rsidRPr="008E2A7B">
        <w:rPr>
          <w:szCs w:val="20"/>
          <w:lang w:val="en-GB"/>
        </w:rPr>
        <w:t xml:space="preserve"> Renewable</w:t>
      </w:r>
      <w:r w:rsidR="0010714E" w:rsidRPr="008E2A7B">
        <w:rPr>
          <w:szCs w:val="20"/>
          <w:lang w:val="en-GB"/>
        </w:rPr>
        <w:t>s</w:t>
      </w:r>
      <w:r w:rsidRPr="008E2A7B">
        <w:rPr>
          <w:szCs w:val="20"/>
          <w:lang w:val="en-GB"/>
        </w:rPr>
        <w:t xml:space="preserve"> share in the reference scenario, 2005-2040,</w:t>
      </w:r>
      <w:r w:rsidR="0010714E" w:rsidRPr="008E2A7B">
        <w:rPr>
          <w:szCs w:val="20"/>
          <w:lang w:val="en-GB"/>
        </w:rPr>
        <w:t xml:space="preserve"> </w:t>
      </w:r>
      <w:r w:rsidRPr="008E2A7B">
        <w:rPr>
          <w:szCs w:val="20"/>
          <w:lang w:val="en-GB"/>
        </w:rPr>
        <w:t>%</w:t>
      </w:r>
    </w:p>
    <w:p w14:paraId="792E0993" w14:textId="6DBA0E94" w:rsidR="0044710E" w:rsidRPr="008E2A7B" w:rsidRDefault="00D324CA" w:rsidP="0044710E">
      <w:pPr>
        <w:pStyle w:val="Brdtext"/>
        <w:rPr>
          <w:lang w:val="en-GB"/>
        </w:rPr>
      </w:pPr>
      <w:r w:rsidRPr="008E2A7B">
        <w:rPr>
          <w:noProof/>
          <w:lang w:val="en-GB"/>
        </w:rPr>
        <w:drawing>
          <wp:inline distT="0" distB="0" distL="0" distR="0" wp14:anchorId="7A1CB2BC" wp14:editId="347FA946">
            <wp:extent cx="5257800" cy="2809875"/>
            <wp:effectExtent l="0" t="0" r="0" b="9525"/>
            <wp:docPr id="65" name="Bildobjekt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69967" cy="2816377"/>
                    </a:xfrm>
                    <a:prstGeom prst="rect">
                      <a:avLst/>
                    </a:prstGeom>
                    <a:noFill/>
                  </pic:spPr>
                </pic:pic>
              </a:graphicData>
            </a:graphic>
          </wp:inline>
        </w:drawing>
      </w:r>
    </w:p>
    <w:p w14:paraId="7632324D" w14:textId="4544EC5D" w:rsidR="0044710E" w:rsidRPr="008E2A7B" w:rsidRDefault="0044710E" w:rsidP="0044710E">
      <w:pPr>
        <w:pStyle w:val="Brdtext"/>
        <w:rPr>
          <w:lang w:val="en-GB"/>
        </w:rPr>
      </w:pPr>
      <w:r w:rsidRPr="008E2A7B">
        <w:rPr>
          <w:lang w:val="en-GB"/>
        </w:rPr>
        <w:lastRenderedPageBreak/>
        <w:t xml:space="preserve">The increased share is due to the fact that the energy consumption is expected to decrease somewhat between 2020 and 2040, but above all, that the use of renewable energy is increasing. In this scenario, it is mainly wind power that increase heavily until 2040 on the basis of current conditions, shown in </w:t>
      </w:r>
      <w:r w:rsidR="005E04D1" w:rsidRPr="008E2A7B">
        <w:rPr>
          <w:lang w:val="en-GB"/>
        </w:rPr>
        <w:fldChar w:fldCharType="begin"/>
      </w:r>
      <w:r w:rsidR="005E04D1" w:rsidRPr="008E2A7B">
        <w:rPr>
          <w:lang w:val="en-GB"/>
        </w:rPr>
        <w:instrText xml:space="preserve"> REF _Ref496280421 \h </w:instrText>
      </w:r>
      <w:r w:rsidR="005E04D1" w:rsidRPr="008E2A7B">
        <w:rPr>
          <w:lang w:val="en-GB"/>
        </w:rPr>
      </w:r>
      <w:r w:rsidR="005E04D1" w:rsidRPr="008E2A7B">
        <w:rPr>
          <w:lang w:val="en-GB"/>
        </w:rPr>
        <w:fldChar w:fldCharType="separate"/>
      </w:r>
      <w:r w:rsidR="00C11CAC" w:rsidRPr="008E2A7B">
        <w:rPr>
          <w:lang w:val="en-GB"/>
        </w:rPr>
        <w:t xml:space="preserve">Figure </w:t>
      </w:r>
      <w:r w:rsidR="00C11CAC" w:rsidRPr="008E2A7B">
        <w:rPr>
          <w:noProof/>
          <w:lang w:val="en-GB"/>
        </w:rPr>
        <w:t>15</w:t>
      </w:r>
      <w:r w:rsidR="005E04D1" w:rsidRPr="008E2A7B">
        <w:rPr>
          <w:lang w:val="en-GB"/>
        </w:rPr>
        <w:fldChar w:fldCharType="end"/>
      </w:r>
      <w:r w:rsidRPr="008E2A7B">
        <w:rPr>
          <w:lang w:val="en-GB"/>
        </w:rPr>
        <w:t xml:space="preserve"> below. </w:t>
      </w:r>
    </w:p>
    <w:p w14:paraId="7EC0B55F" w14:textId="7F4C8C07" w:rsidR="0044710E" w:rsidRPr="008E2A7B" w:rsidRDefault="0044710E" w:rsidP="0044710E">
      <w:pPr>
        <w:pStyle w:val="Beskrivning"/>
        <w:rPr>
          <w:szCs w:val="20"/>
          <w:lang w:val="en-GB"/>
        </w:rPr>
      </w:pPr>
      <w:bookmarkStart w:id="60" w:name="_Ref496280421"/>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15</w:t>
      </w:r>
      <w:r w:rsidRPr="008E2A7B">
        <w:rPr>
          <w:lang w:val="en-GB"/>
        </w:rPr>
        <w:fldChar w:fldCharType="end"/>
      </w:r>
      <w:bookmarkEnd w:id="60"/>
      <w:r w:rsidRPr="008E2A7B">
        <w:rPr>
          <w:szCs w:val="20"/>
          <w:lang w:val="en-GB"/>
        </w:rPr>
        <w:t xml:space="preserve"> Renewable energy by power source and energy use in the reference scenario, 2005-2040, TWh</w:t>
      </w:r>
    </w:p>
    <w:p w14:paraId="41FAF207" w14:textId="77777777" w:rsidR="0044710E" w:rsidRPr="008E2A7B" w:rsidRDefault="0044710E" w:rsidP="0044710E">
      <w:pPr>
        <w:pStyle w:val="Brdtext"/>
        <w:rPr>
          <w:lang w:val="en-GB"/>
        </w:rPr>
      </w:pPr>
      <w:r w:rsidRPr="008E2A7B">
        <w:rPr>
          <w:noProof/>
          <w:lang w:val="en-GB" w:eastAsia="sv-SE"/>
        </w:rPr>
        <w:drawing>
          <wp:inline distT="0" distB="0" distL="0" distR="0" wp14:anchorId="42D04377" wp14:editId="4AB8FD01">
            <wp:extent cx="5595620" cy="3196742"/>
            <wp:effectExtent l="0" t="0" r="5080" b="3810"/>
            <wp:docPr id="64" name="Diagram 64">
              <a:extLst xmlns:a="http://schemas.openxmlformats.org/drawingml/2006/main">
                <a:ext uri="{FF2B5EF4-FFF2-40B4-BE49-F238E27FC236}">
                  <a16:creationId xmlns:a16="http://schemas.microsoft.com/office/drawing/2014/main" id="{59C978BF-3DEF-4115-8236-C42D5A0955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323BB67" w14:textId="3C39C300" w:rsidR="0044710E" w:rsidRPr="008E2A7B" w:rsidRDefault="0044710E" w:rsidP="0044710E">
      <w:pPr>
        <w:pStyle w:val="Brdtext"/>
        <w:rPr>
          <w:lang w:val="en-GB"/>
        </w:rPr>
      </w:pPr>
      <w:r w:rsidRPr="008E2A7B">
        <w:rPr>
          <w:lang w:val="en-GB"/>
        </w:rPr>
        <w:t xml:space="preserve">In the low-price scenario with </w:t>
      </w:r>
      <w:r w:rsidR="0010714E" w:rsidRPr="008E2A7B">
        <w:rPr>
          <w:lang w:val="en-GB"/>
        </w:rPr>
        <w:t xml:space="preserve">prices of </w:t>
      </w:r>
      <w:r w:rsidRPr="008E2A7B">
        <w:rPr>
          <w:lang w:val="en-GB"/>
        </w:rPr>
        <w:t xml:space="preserve">fossil fuels and emission allowances at a significantly lower level and with the </w:t>
      </w:r>
      <w:r w:rsidR="0010714E" w:rsidRPr="008E2A7B">
        <w:rPr>
          <w:lang w:val="en-GB"/>
        </w:rPr>
        <w:t xml:space="preserve">increased ambition </w:t>
      </w:r>
      <w:r w:rsidRPr="008E2A7B">
        <w:rPr>
          <w:lang w:val="en-GB"/>
        </w:rPr>
        <w:t>of the electricity certificate system by 18 TWh by 2030, the share of renewable</w:t>
      </w:r>
      <w:r w:rsidR="0010714E" w:rsidRPr="008E2A7B">
        <w:rPr>
          <w:lang w:val="en-GB"/>
        </w:rPr>
        <w:t>s</w:t>
      </w:r>
      <w:r w:rsidRPr="008E2A7B">
        <w:rPr>
          <w:lang w:val="en-GB"/>
        </w:rPr>
        <w:t xml:space="preserve"> is lower, 64</w:t>
      </w:r>
      <w:r w:rsidR="0010714E" w:rsidRPr="008E2A7B">
        <w:rPr>
          <w:lang w:val="en-GB"/>
        </w:rPr>
        <w:t>%</w:t>
      </w:r>
      <w:r w:rsidRPr="008E2A7B">
        <w:rPr>
          <w:lang w:val="en-GB"/>
        </w:rPr>
        <w:t xml:space="preserve"> and 63% in 2030 and 2040 respectively.</w:t>
      </w:r>
    </w:p>
    <w:p w14:paraId="1CD9357D" w14:textId="64C8AC43" w:rsidR="0044710E" w:rsidRPr="008E2A7B" w:rsidRDefault="0044710E" w:rsidP="0044710E">
      <w:pPr>
        <w:pStyle w:val="Brdtext"/>
        <w:contextualSpacing/>
        <w:rPr>
          <w:b/>
          <w:lang w:val="en-GB"/>
        </w:rPr>
      </w:pPr>
      <w:r w:rsidRPr="008E2A7B">
        <w:rPr>
          <w:b/>
          <w:lang w:val="en-GB"/>
        </w:rPr>
        <w:t xml:space="preserve">Scenarios for </w:t>
      </w:r>
      <w:r w:rsidR="0010714E" w:rsidRPr="008E2A7B">
        <w:rPr>
          <w:b/>
          <w:lang w:val="en-GB"/>
        </w:rPr>
        <w:t xml:space="preserve">the </w:t>
      </w:r>
      <w:r w:rsidRPr="008E2A7B">
        <w:rPr>
          <w:b/>
          <w:lang w:val="en-GB"/>
        </w:rPr>
        <w:t>renewable</w:t>
      </w:r>
      <w:r w:rsidR="0010714E" w:rsidRPr="008E2A7B">
        <w:rPr>
          <w:b/>
          <w:lang w:val="en-GB"/>
        </w:rPr>
        <w:t>s</w:t>
      </w:r>
      <w:r w:rsidRPr="008E2A7B">
        <w:rPr>
          <w:b/>
          <w:lang w:val="en-GB"/>
        </w:rPr>
        <w:t xml:space="preserve"> share in the heating and cooling sector</w:t>
      </w:r>
    </w:p>
    <w:p w14:paraId="2DFB24BE" w14:textId="30E290E4" w:rsidR="0044710E" w:rsidRPr="008E2A7B" w:rsidRDefault="0044710E" w:rsidP="0010714E">
      <w:pPr>
        <w:pStyle w:val="Brdtext"/>
        <w:rPr>
          <w:lang w:val="en-GB"/>
        </w:rPr>
      </w:pPr>
      <w:r w:rsidRPr="008E2A7B">
        <w:rPr>
          <w:lang w:val="en-GB"/>
        </w:rPr>
        <w:t xml:space="preserve">The share of renewables in the heating and cooling sector relative to the energy use is slightly increasing, from 68% in 2014 to 69% by 2030. By 2040, the </w:t>
      </w:r>
      <w:r w:rsidR="0010714E" w:rsidRPr="008E2A7B">
        <w:rPr>
          <w:lang w:val="en-GB"/>
        </w:rPr>
        <w:t xml:space="preserve">share </w:t>
      </w:r>
      <w:r w:rsidRPr="008E2A7B">
        <w:rPr>
          <w:lang w:val="en-GB"/>
        </w:rPr>
        <w:t>of renewable</w:t>
      </w:r>
      <w:r w:rsidR="0010714E" w:rsidRPr="008E2A7B">
        <w:rPr>
          <w:lang w:val="en-GB"/>
        </w:rPr>
        <w:t>s</w:t>
      </w:r>
      <w:r w:rsidRPr="008E2A7B">
        <w:rPr>
          <w:lang w:val="en-GB"/>
        </w:rPr>
        <w:t xml:space="preserve"> is 71% in the reference scenario. The energy used in the sector today is already largely renewable, but the increased share is due to a slight increase in the use of biofuels, but above all the increased use of heat pumps. In the low-price scenario, the share is the same for 2030, 69%, but decreases to 67% for 2040.</w:t>
      </w:r>
    </w:p>
    <w:p w14:paraId="16BD4D64" w14:textId="34959203" w:rsidR="0044710E" w:rsidRPr="008E2A7B" w:rsidRDefault="0044710E" w:rsidP="0044710E">
      <w:pPr>
        <w:pStyle w:val="Brdtext"/>
        <w:contextualSpacing/>
        <w:rPr>
          <w:b/>
          <w:lang w:val="en-GB"/>
        </w:rPr>
      </w:pPr>
      <w:r w:rsidRPr="008E2A7B">
        <w:rPr>
          <w:b/>
          <w:lang w:val="en-GB"/>
        </w:rPr>
        <w:t xml:space="preserve">Scenarios for </w:t>
      </w:r>
      <w:r w:rsidR="0010714E" w:rsidRPr="008E2A7B">
        <w:rPr>
          <w:b/>
          <w:lang w:val="en-GB"/>
        </w:rPr>
        <w:t xml:space="preserve">the </w:t>
      </w:r>
      <w:r w:rsidRPr="008E2A7B">
        <w:rPr>
          <w:b/>
          <w:lang w:val="en-GB"/>
        </w:rPr>
        <w:t>renewable</w:t>
      </w:r>
      <w:r w:rsidR="0010714E" w:rsidRPr="008E2A7B">
        <w:rPr>
          <w:b/>
          <w:lang w:val="en-GB"/>
        </w:rPr>
        <w:t>s</w:t>
      </w:r>
      <w:r w:rsidRPr="008E2A7B">
        <w:rPr>
          <w:b/>
          <w:lang w:val="en-GB"/>
        </w:rPr>
        <w:t xml:space="preserve"> share in the electricity sector</w:t>
      </w:r>
    </w:p>
    <w:p w14:paraId="774EA9ED" w14:textId="63E68500" w:rsidR="0044710E" w:rsidRPr="008E2A7B" w:rsidRDefault="0044710E" w:rsidP="0044710E">
      <w:pPr>
        <w:pStyle w:val="Brdtext"/>
        <w:contextualSpacing/>
        <w:rPr>
          <w:lang w:val="en-GB"/>
        </w:rPr>
      </w:pPr>
      <w:r w:rsidRPr="008E2A7B">
        <w:rPr>
          <w:lang w:val="en-GB"/>
        </w:rPr>
        <w:t xml:space="preserve">The share of renewable electricity increases in the reference scenario from 63% in 2014 to 85% in 2030 and further to 100% in 2040, shown in </w:t>
      </w:r>
      <w:r w:rsidR="005E04D1" w:rsidRPr="008E2A7B">
        <w:rPr>
          <w:lang w:val="en-GB"/>
        </w:rPr>
        <w:fldChar w:fldCharType="begin"/>
      </w:r>
      <w:r w:rsidR="005E04D1" w:rsidRPr="008E2A7B">
        <w:rPr>
          <w:lang w:val="en-GB"/>
        </w:rPr>
        <w:instrText xml:space="preserve"> REF _Ref496280513 \h </w:instrText>
      </w:r>
      <w:r w:rsidR="005E04D1" w:rsidRPr="008E2A7B">
        <w:rPr>
          <w:lang w:val="en-GB"/>
        </w:rPr>
      </w:r>
      <w:r w:rsidR="005E04D1" w:rsidRPr="008E2A7B">
        <w:rPr>
          <w:lang w:val="en-GB"/>
        </w:rPr>
        <w:fldChar w:fldCharType="separate"/>
      </w:r>
      <w:r w:rsidR="00C11CAC" w:rsidRPr="008E2A7B">
        <w:rPr>
          <w:lang w:val="en-GB"/>
        </w:rPr>
        <w:t xml:space="preserve">Figure </w:t>
      </w:r>
      <w:r w:rsidR="00C11CAC" w:rsidRPr="008E2A7B">
        <w:rPr>
          <w:noProof/>
          <w:lang w:val="en-GB"/>
        </w:rPr>
        <w:t>16</w:t>
      </w:r>
      <w:r w:rsidR="005E04D1" w:rsidRPr="008E2A7B">
        <w:rPr>
          <w:lang w:val="en-GB"/>
        </w:rPr>
        <w:fldChar w:fldCharType="end"/>
      </w:r>
      <w:r w:rsidRPr="008E2A7B">
        <w:rPr>
          <w:lang w:val="en-GB"/>
        </w:rPr>
        <w:t xml:space="preserve">, according to the </w:t>
      </w:r>
      <w:r w:rsidR="00E00E04" w:rsidRPr="008E2A7B">
        <w:rPr>
          <w:lang w:val="en-GB"/>
        </w:rPr>
        <w:t>Renewable Energy Directive</w:t>
      </w:r>
      <w:r w:rsidRPr="008E2A7B">
        <w:rPr>
          <w:lang w:val="en-GB"/>
        </w:rPr>
        <w:t xml:space="preserve">. If the share instead is calculated as renewable electricity production related to the </w:t>
      </w:r>
      <w:r w:rsidRPr="008E2A7B">
        <w:rPr>
          <w:lang w:val="en-GB"/>
        </w:rPr>
        <w:lastRenderedPageBreak/>
        <w:t xml:space="preserve">total electricity production the share will become lower in 2040, approximately 83%. </w:t>
      </w:r>
    </w:p>
    <w:p w14:paraId="1FD9D692" w14:textId="77777777" w:rsidR="0044710E" w:rsidRPr="008E2A7B" w:rsidRDefault="0044710E" w:rsidP="0044710E">
      <w:pPr>
        <w:pStyle w:val="Brdtext"/>
        <w:contextualSpacing/>
        <w:rPr>
          <w:lang w:val="en-GB"/>
        </w:rPr>
      </w:pPr>
    </w:p>
    <w:p w14:paraId="0309610E" w14:textId="5FE1A808" w:rsidR="0044710E" w:rsidRPr="008E2A7B" w:rsidRDefault="0044710E" w:rsidP="0044710E">
      <w:pPr>
        <w:pStyle w:val="Beskrivning"/>
        <w:rPr>
          <w:szCs w:val="20"/>
          <w:lang w:val="en-GB"/>
        </w:rPr>
      </w:pPr>
      <w:bookmarkStart w:id="61" w:name="_Ref496280513"/>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16</w:t>
      </w:r>
      <w:r w:rsidRPr="008E2A7B">
        <w:rPr>
          <w:lang w:val="en-GB"/>
        </w:rPr>
        <w:fldChar w:fldCharType="end"/>
      </w:r>
      <w:bookmarkEnd w:id="61"/>
      <w:r w:rsidRPr="008E2A7B">
        <w:rPr>
          <w:szCs w:val="20"/>
          <w:lang w:val="en-GB"/>
        </w:rPr>
        <w:t xml:space="preserve"> Renewable electricity production and total electricity use in the reference scenario, 2005-2040, TWh</w:t>
      </w:r>
    </w:p>
    <w:p w14:paraId="19DD0A8A" w14:textId="77777777" w:rsidR="0044710E" w:rsidRPr="008E2A7B" w:rsidRDefault="0044710E" w:rsidP="0044710E">
      <w:pPr>
        <w:pStyle w:val="Brdtext"/>
        <w:rPr>
          <w:lang w:val="en-GB"/>
        </w:rPr>
      </w:pPr>
      <w:r w:rsidRPr="008E2A7B">
        <w:rPr>
          <w:noProof/>
          <w:lang w:val="en-GB" w:eastAsia="sv-SE"/>
        </w:rPr>
        <w:drawing>
          <wp:inline distT="0" distB="0" distL="0" distR="0" wp14:anchorId="35CEE1DC" wp14:editId="5CBB8E3C">
            <wp:extent cx="5186045" cy="2940710"/>
            <wp:effectExtent l="0" t="0" r="0" b="0"/>
            <wp:docPr id="66" name="Diagram 66">
              <a:extLst xmlns:a="http://schemas.openxmlformats.org/drawingml/2006/main">
                <a:ext uri="{FF2B5EF4-FFF2-40B4-BE49-F238E27FC236}">
                  <a16:creationId xmlns:a16="http://schemas.microsoft.com/office/drawing/2014/main" id="{6436C01F-BAF7-4A62-87F4-565BA45415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FEA094E" w14:textId="4825B71A" w:rsidR="0044710E" w:rsidRPr="008E2A7B" w:rsidRDefault="0044710E" w:rsidP="0044710E">
      <w:pPr>
        <w:pStyle w:val="Brdtext"/>
        <w:rPr>
          <w:lang w:val="en-GB"/>
        </w:rPr>
      </w:pPr>
      <w:r w:rsidRPr="008E2A7B">
        <w:rPr>
          <w:lang w:val="en-GB"/>
        </w:rPr>
        <w:t xml:space="preserve">It is mainly wind power production that increases in the reference scenario, but solar power </w:t>
      </w:r>
      <w:r w:rsidR="0010714E" w:rsidRPr="008E2A7B">
        <w:rPr>
          <w:lang w:val="en-GB"/>
        </w:rPr>
        <w:t>also increases</w:t>
      </w:r>
      <w:r w:rsidRPr="008E2A7B">
        <w:rPr>
          <w:lang w:val="en-GB"/>
        </w:rPr>
        <w:t xml:space="preserve"> around 2030. The large increase in wind power depends on the conditions under which the scenario is based and in this case, prices for fossil fuels and emission allowances are high, which leads to a sufficiently high electricity price to make wind power profitable.</w:t>
      </w:r>
    </w:p>
    <w:p w14:paraId="6073D684" w14:textId="09641BF1" w:rsidR="0044710E" w:rsidRPr="008E2A7B" w:rsidRDefault="0044710E" w:rsidP="0044710E">
      <w:pPr>
        <w:pStyle w:val="Brdtext"/>
        <w:rPr>
          <w:lang w:val="en-GB"/>
        </w:rPr>
      </w:pPr>
      <w:r w:rsidRPr="008E2A7B">
        <w:rPr>
          <w:lang w:val="en-GB"/>
        </w:rPr>
        <w:t>In the low-price scenario, the share of renewable electricity is lower than in the reference scenario, 81</w:t>
      </w:r>
      <w:r w:rsidR="0010714E" w:rsidRPr="008E2A7B">
        <w:rPr>
          <w:lang w:val="en-GB"/>
        </w:rPr>
        <w:t>%</w:t>
      </w:r>
      <w:r w:rsidRPr="008E2A7B">
        <w:rPr>
          <w:lang w:val="en-GB"/>
        </w:rPr>
        <w:t xml:space="preserve"> and 78% respectively in 2030 and 2040. This is explained by the fact that the natural gas in this scenario becomes </w:t>
      </w:r>
      <w:r w:rsidR="0010714E" w:rsidRPr="008E2A7B">
        <w:rPr>
          <w:lang w:val="en-GB"/>
        </w:rPr>
        <w:t>profitable and increases</w:t>
      </w:r>
      <w:r w:rsidRPr="008E2A7B">
        <w:rPr>
          <w:lang w:val="en-GB"/>
        </w:rPr>
        <w:t xml:space="preserve"> </w:t>
      </w:r>
      <w:r w:rsidR="0010714E" w:rsidRPr="008E2A7B">
        <w:rPr>
          <w:lang w:val="en-GB"/>
        </w:rPr>
        <w:t xml:space="preserve">at the expense of </w:t>
      </w:r>
      <w:r w:rsidRPr="008E2A7B">
        <w:rPr>
          <w:lang w:val="en-GB"/>
        </w:rPr>
        <w:t>renewable</w:t>
      </w:r>
      <w:r w:rsidR="0010714E" w:rsidRPr="008E2A7B">
        <w:rPr>
          <w:lang w:val="en-GB"/>
        </w:rPr>
        <w:t>s</w:t>
      </w:r>
      <w:r w:rsidRPr="008E2A7B">
        <w:rPr>
          <w:lang w:val="en-GB"/>
        </w:rPr>
        <w:t>. This means that with lower future prices for fossil fuels and above all a lower price of</w:t>
      </w:r>
      <w:r w:rsidR="0010714E" w:rsidRPr="008E2A7B">
        <w:rPr>
          <w:lang w:val="en-GB"/>
        </w:rPr>
        <w:t xml:space="preserve"> emission allowances</w:t>
      </w:r>
      <w:r w:rsidRPr="008E2A7B">
        <w:rPr>
          <w:lang w:val="en-GB"/>
        </w:rPr>
        <w:t>, Sweden's target of 100% renewable electricity will not be reached in 2040.</w:t>
      </w:r>
    </w:p>
    <w:p w14:paraId="56F97658" w14:textId="1B7B1A75" w:rsidR="0044710E" w:rsidRPr="008E2A7B" w:rsidRDefault="0044710E" w:rsidP="0044710E">
      <w:pPr>
        <w:pStyle w:val="Brdtext"/>
        <w:contextualSpacing/>
        <w:rPr>
          <w:b/>
          <w:lang w:val="en-GB"/>
        </w:rPr>
      </w:pPr>
      <w:r w:rsidRPr="008E2A7B">
        <w:rPr>
          <w:b/>
          <w:lang w:val="en-GB"/>
        </w:rPr>
        <w:t xml:space="preserve">Scenarios for </w:t>
      </w:r>
      <w:r w:rsidR="0010714E" w:rsidRPr="008E2A7B">
        <w:rPr>
          <w:b/>
          <w:lang w:val="en-GB"/>
        </w:rPr>
        <w:t xml:space="preserve">the </w:t>
      </w:r>
      <w:r w:rsidRPr="008E2A7B">
        <w:rPr>
          <w:b/>
          <w:lang w:val="en-GB"/>
        </w:rPr>
        <w:t>renewable</w:t>
      </w:r>
      <w:r w:rsidR="0010714E" w:rsidRPr="008E2A7B">
        <w:rPr>
          <w:b/>
          <w:lang w:val="en-GB"/>
        </w:rPr>
        <w:t>s</w:t>
      </w:r>
      <w:r w:rsidRPr="008E2A7B">
        <w:rPr>
          <w:b/>
          <w:lang w:val="en-GB"/>
        </w:rPr>
        <w:t xml:space="preserve"> share in the transport sector</w:t>
      </w:r>
    </w:p>
    <w:p w14:paraId="3B3DF97E" w14:textId="6D6F76F2" w:rsidR="0044710E" w:rsidRPr="008E2A7B" w:rsidRDefault="0044710E" w:rsidP="0044710E">
      <w:pPr>
        <w:pStyle w:val="Brdtext"/>
        <w:contextualSpacing/>
        <w:rPr>
          <w:lang w:val="en-GB"/>
        </w:rPr>
      </w:pPr>
      <w:r w:rsidRPr="008E2A7B">
        <w:rPr>
          <w:lang w:val="en-GB"/>
        </w:rPr>
        <w:t>The share of renewable</w:t>
      </w:r>
      <w:r w:rsidR="0010714E" w:rsidRPr="008E2A7B">
        <w:rPr>
          <w:lang w:val="en-GB"/>
        </w:rPr>
        <w:t>s</w:t>
      </w:r>
      <w:r w:rsidRPr="008E2A7B">
        <w:rPr>
          <w:lang w:val="en-GB"/>
        </w:rPr>
        <w:t xml:space="preserve"> in the transport sector increases in the reference scenario from 21% in 2014 to 46% by 2030 and further to 50% by 2040, shown in </w:t>
      </w:r>
      <w:r w:rsidR="005E04D1" w:rsidRPr="008E2A7B">
        <w:rPr>
          <w:lang w:val="en-GB"/>
        </w:rPr>
        <w:fldChar w:fldCharType="begin"/>
      </w:r>
      <w:r w:rsidR="005E04D1" w:rsidRPr="008E2A7B">
        <w:rPr>
          <w:lang w:val="en-GB"/>
        </w:rPr>
        <w:instrText xml:space="preserve"> REF _Ref496280572 \h </w:instrText>
      </w:r>
      <w:r w:rsidR="005E04D1" w:rsidRPr="008E2A7B">
        <w:rPr>
          <w:lang w:val="en-GB"/>
        </w:rPr>
      </w:r>
      <w:r w:rsidR="005E04D1" w:rsidRPr="008E2A7B">
        <w:rPr>
          <w:lang w:val="en-GB"/>
        </w:rPr>
        <w:fldChar w:fldCharType="separate"/>
      </w:r>
      <w:r w:rsidR="00C11CAC" w:rsidRPr="008E2A7B">
        <w:rPr>
          <w:lang w:val="en-GB"/>
        </w:rPr>
        <w:t xml:space="preserve">Figure </w:t>
      </w:r>
      <w:r w:rsidR="00C11CAC" w:rsidRPr="008E2A7B">
        <w:rPr>
          <w:noProof/>
          <w:lang w:val="en-GB"/>
        </w:rPr>
        <w:t>17</w:t>
      </w:r>
      <w:r w:rsidR="005E04D1" w:rsidRPr="008E2A7B">
        <w:rPr>
          <w:lang w:val="en-GB"/>
        </w:rPr>
        <w:fldChar w:fldCharType="end"/>
      </w:r>
      <w:r w:rsidRPr="008E2A7B">
        <w:rPr>
          <w:lang w:val="en-GB"/>
        </w:rPr>
        <w:t>.</w:t>
      </w:r>
    </w:p>
    <w:p w14:paraId="53992359" w14:textId="77777777" w:rsidR="0044710E" w:rsidRPr="008E2A7B" w:rsidRDefault="0044710E" w:rsidP="0044710E">
      <w:pPr>
        <w:pStyle w:val="Brdtext"/>
        <w:contextualSpacing/>
        <w:rPr>
          <w:lang w:val="en-GB"/>
        </w:rPr>
      </w:pPr>
    </w:p>
    <w:p w14:paraId="66253440" w14:textId="77777777" w:rsidR="002E30C4" w:rsidRDefault="002E30C4">
      <w:pPr>
        <w:spacing w:after="160" w:line="0" w:lineRule="auto"/>
        <w:rPr>
          <w:b/>
          <w:iCs/>
          <w:sz w:val="20"/>
          <w:szCs w:val="18"/>
          <w:lang w:val="en-GB"/>
        </w:rPr>
      </w:pPr>
      <w:bookmarkStart w:id="62" w:name="_Ref496280572"/>
      <w:r>
        <w:rPr>
          <w:lang w:val="en-GB"/>
        </w:rPr>
        <w:br w:type="page"/>
      </w:r>
    </w:p>
    <w:p w14:paraId="34EDFF99" w14:textId="5CF84538" w:rsidR="0044710E" w:rsidRPr="008E2A7B" w:rsidRDefault="0044710E" w:rsidP="0044710E">
      <w:pPr>
        <w:pStyle w:val="Beskrivning"/>
        <w:rPr>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17</w:t>
      </w:r>
      <w:r w:rsidRPr="008E2A7B">
        <w:rPr>
          <w:lang w:val="en-GB"/>
        </w:rPr>
        <w:fldChar w:fldCharType="end"/>
      </w:r>
      <w:bookmarkEnd w:id="62"/>
      <w:r w:rsidRPr="008E2A7B">
        <w:rPr>
          <w:szCs w:val="20"/>
          <w:lang w:val="en-GB"/>
        </w:rPr>
        <w:t xml:space="preserve"> Actual and </w:t>
      </w:r>
      <w:r w:rsidR="0010714E" w:rsidRPr="008E2A7B">
        <w:rPr>
          <w:szCs w:val="20"/>
          <w:lang w:val="en-GB"/>
        </w:rPr>
        <w:t xml:space="preserve">projected </w:t>
      </w:r>
      <w:r w:rsidRPr="008E2A7B">
        <w:rPr>
          <w:szCs w:val="20"/>
          <w:lang w:val="en-GB"/>
        </w:rPr>
        <w:t>energy use, in the reference scenario, of biofuels and electricity in the transport sector (TWh) and renewable</w:t>
      </w:r>
      <w:r w:rsidR="0010714E" w:rsidRPr="008E2A7B">
        <w:rPr>
          <w:szCs w:val="20"/>
          <w:lang w:val="en-GB"/>
        </w:rPr>
        <w:t>s</w:t>
      </w:r>
      <w:r w:rsidRPr="008E2A7B">
        <w:rPr>
          <w:szCs w:val="20"/>
          <w:lang w:val="en-GB"/>
        </w:rPr>
        <w:t xml:space="preserve"> share (incl. double counting) according to the </w:t>
      </w:r>
      <w:r w:rsidR="00E00E04" w:rsidRPr="008E2A7B">
        <w:rPr>
          <w:szCs w:val="20"/>
          <w:lang w:val="en-GB"/>
        </w:rPr>
        <w:t>Renewable Energy Directive</w:t>
      </w:r>
      <w:r w:rsidRPr="008E2A7B">
        <w:rPr>
          <w:szCs w:val="20"/>
          <w:lang w:val="en-GB"/>
        </w:rPr>
        <w:t xml:space="preserve"> (%) 2005–2040</w:t>
      </w:r>
    </w:p>
    <w:p w14:paraId="29736A7F" w14:textId="77777777" w:rsidR="0044710E" w:rsidRPr="008E2A7B" w:rsidRDefault="0044710E" w:rsidP="0044710E">
      <w:pPr>
        <w:pStyle w:val="Brdtext"/>
        <w:rPr>
          <w:lang w:val="en-GB"/>
        </w:rPr>
      </w:pPr>
      <w:r w:rsidRPr="008E2A7B">
        <w:rPr>
          <w:noProof/>
          <w:lang w:val="en-GB" w:eastAsia="sv-SE"/>
        </w:rPr>
        <w:drawing>
          <wp:inline distT="0" distB="0" distL="0" distR="0" wp14:anchorId="224C816B" wp14:editId="6C0DB5BE">
            <wp:extent cx="5113020" cy="2969971"/>
            <wp:effectExtent l="0" t="0" r="0" b="1905"/>
            <wp:docPr id="68" name="Diagram 68">
              <a:extLst xmlns:a="http://schemas.openxmlformats.org/drawingml/2006/main">
                <a:ext uri="{FF2B5EF4-FFF2-40B4-BE49-F238E27FC236}">
                  <a16:creationId xmlns:a16="http://schemas.microsoft.com/office/drawing/2014/main" id="{BCB50120-2CCC-4E1D-975C-80C0ED88AF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BC962C7" w14:textId="4D57587A" w:rsidR="0044710E" w:rsidRPr="008E2A7B" w:rsidRDefault="0044710E" w:rsidP="0044710E">
      <w:pPr>
        <w:pStyle w:val="Brdtext"/>
        <w:rPr>
          <w:lang w:val="en-GB"/>
        </w:rPr>
      </w:pPr>
      <w:r w:rsidRPr="008E2A7B">
        <w:rPr>
          <w:lang w:val="en-GB"/>
        </w:rPr>
        <w:t xml:space="preserve">The share of renewables increases mainly until 2020 but </w:t>
      </w:r>
      <w:r w:rsidR="0010714E" w:rsidRPr="008E2A7B">
        <w:rPr>
          <w:lang w:val="en-GB"/>
        </w:rPr>
        <w:t xml:space="preserve">the rate of increase </w:t>
      </w:r>
      <w:r w:rsidRPr="008E2A7B">
        <w:rPr>
          <w:lang w:val="en-GB"/>
        </w:rPr>
        <w:t>decreases thereafte</w:t>
      </w:r>
      <w:r w:rsidR="0010714E" w:rsidRPr="008E2A7B">
        <w:rPr>
          <w:lang w:val="en-GB"/>
        </w:rPr>
        <w:t xml:space="preserve">r. This is </w:t>
      </w:r>
      <w:r w:rsidR="00184E09" w:rsidRPr="008E2A7B">
        <w:rPr>
          <w:lang w:val="en-GB"/>
        </w:rPr>
        <w:t xml:space="preserve">because </w:t>
      </w:r>
      <w:r w:rsidRPr="008E2A7B">
        <w:rPr>
          <w:lang w:val="en-GB"/>
        </w:rPr>
        <w:t xml:space="preserve">in the scenario, there </w:t>
      </w:r>
      <w:r w:rsidR="00184E09" w:rsidRPr="008E2A7B">
        <w:rPr>
          <w:lang w:val="en-GB"/>
        </w:rPr>
        <w:t xml:space="preserve">are </w:t>
      </w:r>
      <w:r w:rsidRPr="008E2A7B">
        <w:rPr>
          <w:lang w:val="en-GB"/>
        </w:rPr>
        <w:t>no further measure</w:t>
      </w:r>
      <w:r w:rsidR="00184E09" w:rsidRPr="008E2A7B">
        <w:rPr>
          <w:lang w:val="en-GB"/>
        </w:rPr>
        <w:t>s</w:t>
      </w:r>
      <w:r w:rsidRPr="008E2A7B">
        <w:rPr>
          <w:lang w:val="en-GB"/>
        </w:rPr>
        <w:t xml:space="preserve"> beyond 2020</w:t>
      </w:r>
      <w:r w:rsidR="00184E09" w:rsidRPr="008E2A7B">
        <w:rPr>
          <w:lang w:val="en-GB"/>
        </w:rPr>
        <w:t xml:space="preserve"> to promote</w:t>
      </w:r>
      <w:r w:rsidRPr="008E2A7B">
        <w:rPr>
          <w:lang w:val="en-GB"/>
        </w:rPr>
        <w:t xml:space="preserve"> a continued increase in the amount of biofuels</w:t>
      </w:r>
      <w:r w:rsidR="00184E09" w:rsidRPr="008E2A7B">
        <w:rPr>
          <w:lang w:val="en-GB"/>
        </w:rPr>
        <w:t xml:space="preserve"> in addition to the measures currently in place</w:t>
      </w:r>
      <w:r w:rsidRPr="008E2A7B">
        <w:rPr>
          <w:lang w:val="en-GB"/>
        </w:rPr>
        <w:t xml:space="preserve">. However, the fact that the </w:t>
      </w:r>
      <w:r w:rsidR="00184E09" w:rsidRPr="008E2A7B">
        <w:rPr>
          <w:lang w:val="en-GB"/>
        </w:rPr>
        <w:t xml:space="preserve">share </w:t>
      </w:r>
      <w:r w:rsidRPr="008E2A7B">
        <w:rPr>
          <w:lang w:val="en-GB"/>
        </w:rPr>
        <w:t xml:space="preserve">will increase slightly by 2040 is due to the fact that energy consumption is decreasing somewhat and that the share of renewable electricity is higher. It is an increased use of biodiesel </w:t>
      </w:r>
      <w:r w:rsidR="00184E09" w:rsidRPr="008E2A7B">
        <w:rPr>
          <w:lang w:val="en-GB"/>
        </w:rPr>
        <w:t xml:space="preserve">(HVO) </w:t>
      </w:r>
      <w:r w:rsidRPr="008E2A7B">
        <w:rPr>
          <w:lang w:val="en-GB"/>
        </w:rPr>
        <w:t>that contributes most to the increased share of renewable</w:t>
      </w:r>
      <w:r w:rsidR="00184E09" w:rsidRPr="008E2A7B">
        <w:rPr>
          <w:lang w:val="en-GB"/>
        </w:rPr>
        <w:t>s</w:t>
      </w:r>
      <w:r w:rsidRPr="008E2A7B">
        <w:rPr>
          <w:lang w:val="en-GB"/>
        </w:rPr>
        <w:t>.</w:t>
      </w:r>
    </w:p>
    <w:p w14:paraId="07DF4191" w14:textId="1AB24584" w:rsidR="0044710E" w:rsidRDefault="0044710E" w:rsidP="0044710E">
      <w:pPr>
        <w:pStyle w:val="Brdtext"/>
        <w:rPr>
          <w:lang w:val="en-GB"/>
        </w:rPr>
      </w:pPr>
      <w:r w:rsidRPr="008E2A7B">
        <w:rPr>
          <w:lang w:val="en-GB"/>
        </w:rPr>
        <w:t>In the low-price scenario, the share of renewable energy in the transport sector is 46</w:t>
      </w:r>
      <w:r w:rsidR="00184E09" w:rsidRPr="008E2A7B">
        <w:rPr>
          <w:lang w:val="en-GB"/>
        </w:rPr>
        <w:t>%</w:t>
      </w:r>
      <w:r w:rsidRPr="008E2A7B">
        <w:rPr>
          <w:lang w:val="en-GB"/>
        </w:rPr>
        <w:t xml:space="preserve"> and 48% in 2030 and 2040, which is only a slightly lower </w:t>
      </w:r>
      <w:r w:rsidR="00184E09" w:rsidRPr="008E2A7B">
        <w:rPr>
          <w:lang w:val="en-GB"/>
        </w:rPr>
        <w:t xml:space="preserve">share </w:t>
      </w:r>
      <w:r w:rsidRPr="008E2A7B">
        <w:rPr>
          <w:lang w:val="en-GB"/>
        </w:rPr>
        <w:t>for the year 2040 than in the reference scenario. The renewable share in electricity generation is lower in the low-price scenario which affects the calculation of the transport sector.</w:t>
      </w:r>
    </w:p>
    <w:p w14:paraId="770368B0" w14:textId="77777777" w:rsidR="00D96AB7" w:rsidRDefault="00D96AB7" w:rsidP="0044710E">
      <w:pPr>
        <w:pStyle w:val="Brdtext"/>
        <w:rPr>
          <w:lang w:val="en-GB"/>
        </w:rPr>
      </w:pPr>
    </w:p>
    <w:p w14:paraId="13F4BB40" w14:textId="01650D6A" w:rsidR="00D96AB7" w:rsidRPr="00D96AB7" w:rsidRDefault="00D96AB7" w:rsidP="00D96AB7">
      <w:pPr>
        <w:spacing w:after="160" w:line="0" w:lineRule="auto"/>
        <w:rPr>
          <w:spacing w:val="5"/>
          <w:sz w:val="22"/>
          <w:lang w:val="en-GB"/>
        </w:rPr>
      </w:pPr>
      <w:r>
        <w:rPr>
          <w:lang w:val="en-GB"/>
        </w:rPr>
        <w:br w:type="page"/>
      </w:r>
    </w:p>
    <w:p w14:paraId="1AE2FFEA" w14:textId="77777777" w:rsidR="0044710E" w:rsidRPr="008E2A7B" w:rsidRDefault="0044710E" w:rsidP="0044710E">
      <w:pPr>
        <w:pStyle w:val="Rubrik2"/>
        <w:rPr>
          <w:lang w:val="en-GB"/>
        </w:rPr>
      </w:pPr>
      <w:bookmarkStart w:id="63" w:name="_Toc499285556"/>
      <w:r w:rsidRPr="008E2A7B">
        <w:rPr>
          <w:lang w:val="en-GB"/>
        </w:rPr>
        <w:lastRenderedPageBreak/>
        <w:t>Dimension Energy efficiency</w:t>
      </w:r>
      <w:bookmarkEnd w:id="63"/>
      <w:r w:rsidRPr="008E2A7B">
        <w:rPr>
          <w:lang w:val="en-GB"/>
        </w:rPr>
        <w:t xml:space="preserve"> </w:t>
      </w:r>
    </w:p>
    <w:p w14:paraId="11807C3E" w14:textId="77777777" w:rsidR="0044710E" w:rsidRPr="008E2A7B" w:rsidRDefault="0044710E" w:rsidP="0044710E">
      <w:pPr>
        <w:pStyle w:val="i-lista"/>
        <w:numPr>
          <w:ilvl w:val="1"/>
          <w:numId w:val="34"/>
        </w:numPr>
        <w:rPr>
          <w:i/>
          <w:lang w:val="en-GB"/>
        </w:rPr>
      </w:pPr>
      <w:r w:rsidRPr="008E2A7B">
        <w:rPr>
          <w:i/>
          <w:lang w:val="en-GB"/>
        </w:rPr>
        <w:t>Current primary and final energy consumption in the economy and per sector (including industry, residential, service and transport)</w:t>
      </w:r>
    </w:p>
    <w:p w14:paraId="092B0DE6" w14:textId="65C7F852" w:rsidR="0044710E" w:rsidRPr="008E2A7B" w:rsidRDefault="0044710E" w:rsidP="0044710E">
      <w:pPr>
        <w:pStyle w:val="Brdtext"/>
        <w:rPr>
          <w:lang w:val="en-GB"/>
        </w:rPr>
      </w:pPr>
      <w:r w:rsidRPr="008E2A7B">
        <w:rPr>
          <w:lang w:val="en-GB"/>
        </w:rPr>
        <w:t xml:space="preserve">The primary and final energy consumption totally and per sector is presented in </w:t>
      </w:r>
      <w:r w:rsidR="006B0558" w:rsidRPr="008E2A7B">
        <w:rPr>
          <w:lang w:val="en-GB"/>
        </w:rPr>
        <w:fldChar w:fldCharType="begin"/>
      </w:r>
      <w:r w:rsidR="006B0558" w:rsidRPr="008E2A7B">
        <w:rPr>
          <w:lang w:val="en-GB"/>
        </w:rPr>
        <w:instrText xml:space="preserve"> REF _Ref496280838 \h </w:instrText>
      </w:r>
      <w:r w:rsidR="006B0558" w:rsidRPr="008E2A7B">
        <w:rPr>
          <w:lang w:val="en-GB"/>
        </w:rPr>
      </w:r>
      <w:r w:rsidR="006B0558" w:rsidRPr="008E2A7B">
        <w:rPr>
          <w:lang w:val="en-GB"/>
        </w:rPr>
        <w:fldChar w:fldCharType="separate"/>
      </w:r>
      <w:r w:rsidR="006B0558" w:rsidRPr="008E2A7B">
        <w:rPr>
          <w:lang w:val="en-GB"/>
        </w:rPr>
        <w:t xml:space="preserve">Table </w:t>
      </w:r>
      <w:r w:rsidR="006B0558" w:rsidRPr="008E2A7B">
        <w:rPr>
          <w:noProof/>
          <w:lang w:val="en-GB"/>
        </w:rPr>
        <w:t>18</w:t>
      </w:r>
      <w:r w:rsidR="006B0558" w:rsidRPr="008E2A7B">
        <w:rPr>
          <w:lang w:val="en-GB"/>
        </w:rPr>
        <w:fldChar w:fldCharType="end"/>
      </w:r>
      <w:r w:rsidRPr="008E2A7B">
        <w:rPr>
          <w:lang w:val="en-GB"/>
        </w:rPr>
        <w:t xml:space="preserve">. </w:t>
      </w:r>
    </w:p>
    <w:p w14:paraId="53C0ECF2" w14:textId="56B92FF6" w:rsidR="0044710E" w:rsidRPr="008E2A7B" w:rsidRDefault="0044710E" w:rsidP="0044710E">
      <w:pPr>
        <w:pStyle w:val="Beskrivning"/>
        <w:rPr>
          <w:szCs w:val="20"/>
          <w:lang w:val="en-GB"/>
        </w:rPr>
      </w:pPr>
      <w:bookmarkStart w:id="64" w:name="_Ref496280838"/>
      <w:r w:rsidRPr="008E2A7B">
        <w:rPr>
          <w:lang w:val="en-GB"/>
        </w:rPr>
        <w:t xml:space="preserve">Table </w:t>
      </w:r>
      <w:r w:rsidR="00722FEC" w:rsidRPr="008E2A7B">
        <w:rPr>
          <w:lang w:val="en-GB"/>
        </w:rPr>
        <w:fldChar w:fldCharType="begin"/>
      </w:r>
      <w:r w:rsidR="00722FEC" w:rsidRPr="008E2A7B">
        <w:rPr>
          <w:lang w:val="en-GB"/>
        </w:rPr>
        <w:instrText xml:space="preserve"> SEQ Table \* ARABIC </w:instrText>
      </w:r>
      <w:r w:rsidR="00722FEC" w:rsidRPr="008E2A7B">
        <w:rPr>
          <w:lang w:val="en-GB"/>
        </w:rPr>
        <w:fldChar w:fldCharType="separate"/>
      </w:r>
      <w:r w:rsidR="009D5B3B">
        <w:rPr>
          <w:noProof/>
          <w:lang w:val="en-GB"/>
        </w:rPr>
        <w:t>18</w:t>
      </w:r>
      <w:r w:rsidR="00722FEC" w:rsidRPr="008E2A7B">
        <w:rPr>
          <w:noProof/>
          <w:lang w:val="en-GB"/>
        </w:rPr>
        <w:fldChar w:fldCharType="end"/>
      </w:r>
      <w:bookmarkEnd w:id="64"/>
      <w:r w:rsidRPr="008E2A7B">
        <w:rPr>
          <w:szCs w:val="20"/>
          <w:lang w:val="en-GB"/>
        </w:rPr>
        <w:t xml:space="preserve"> Energy consumption 2015 [TWh]</w:t>
      </w:r>
    </w:p>
    <w:tbl>
      <w:tblPr>
        <w:tblStyle w:val="Enkeltabell1"/>
        <w:tblW w:w="7980" w:type="dxa"/>
        <w:tblLook w:val="04A0" w:firstRow="1" w:lastRow="0" w:firstColumn="1" w:lastColumn="0" w:noHBand="0" w:noVBand="1"/>
      </w:tblPr>
      <w:tblGrid>
        <w:gridCol w:w="6900"/>
        <w:gridCol w:w="1080"/>
      </w:tblGrid>
      <w:tr w:rsidR="0044710E" w:rsidRPr="008E2A7B" w14:paraId="062937E4" w14:textId="77777777" w:rsidTr="0044710E">
        <w:trPr>
          <w:cnfStyle w:val="100000000000" w:firstRow="1" w:lastRow="0" w:firstColumn="0" w:lastColumn="0" w:oddVBand="0" w:evenVBand="0" w:oddHBand="0" w:evenHBand="0" w:firstRowFirstColumn="0" w:firstRowLastColumn="0" w:lastRowFirstColumn="0" w:lastRowLastColumn="0"/>
          <w:trHeight w:val="285"/>
        </w:trPr>
        <w:tc>
          <w:tcPr>
            <w:tcW w:w="6900" w:type="dxa"/>
            <w:noWrap/>
            <w:hideMark/>
          </w:tcPr>
          <w:p w14:paraId="2B4EE931" w14:textId="77777777" w:rsidR="0044710E" w:rsidRPr="008E2A7B" w:rsidRDefault="0044710E" w:rsidP="0044710E">
            <w:pPr>
              <w:rPr>
                <w:rFonts w:cstheme="minorHAnsi"/>
                <w:color w:val="000000"/>
                <w:sz w:val="20"/>
                <w:lang w:val="en-GB"/>
              </w:rPr>
            </w:pPr>
            <w:r w:rsidRPr="008E2A7B">
              <w:rPr>
                <w:rFonts w:cstheme="minorHAnsi"/>
                <w:color w:val="000000"/>
                <w:sz w:val="20"/>
                <w:lang w:val="en-GB"/>
              </w:rPr>
              <w:t> </w:t>
            </w:r>
          </w:p>
        </w:tc>
        <w:tc>
          <w:tcPr>
            <w:tcW w:w="1080" w:type="dxa"/>
            <w:noWrap/>
            <w:hideMark/>
          </w:tcPr>
          <w:p w14:paraId="0D54B826" w14:textId="77777777" w:rsidR="0044710E" w:rsidRPr="008E2A7B" w:rsidRDefault="0044710E" w:rsidP="0044710E">
            <w:pPr>
              <w:jc w:val="right"/>
              <w:rPr>
                <w:rFonts w:cstheme="minorHAnsi"/>
                <w:b/>
                <w:color w:val="000000"/>
                <w:sz w:val="20"/>
                <w:lang w:val="en-GB"/>
              </w:rPr>
            </w:pPr>
            <w:r w:rsidRPr="008E2A7B">
              <w:rPr>
                <w:rFonts w:cstheme="minorHAnsi"/>
                <w:b/>
                <w:color w:val="000000"/>
                <w:sz w:val="20"/>
                <w:lang w:val="en-GB"/>
              </w:rPr>
              <w:t>2015</w:t>
            </w:r>
          </w:p>
        </w:tc>
      </w:tr>
      <w:tr w:rsidR="0044710E" w:rsidRPr="008E2A7B" w14:paraId="21BD1F7C" w14:textId="77777777" w:rsidTr="0044710E">
        <w:trPr>
          <w:trHeight w:val="285"/>
        </w:trPr>
        <w:tc>
          <w:tcPr>
            <w:tcW w:w="6900" w:type="dxa"/>
            <w:noWrap/>
            <w:hideMark/>
          </w:tcPr>
          <w:p w14:paraId="7651CE23" w14:textId="77777777" w:rsidR="0044710E" w:rsidRPr="008E2A7B" w:rsidRDefault="0044710E" w:rsidP="0044710E">
            <w:pPr>
              <w:rPr>
                <w:rFonts w:cstheme="minorHAnsi"/>
                <w:color w:val="000000"/>
                <w:sz w:val="20"/>
                <w:lang w:val="en-GB"/>
              </w:rPr>
            </w:pPr>
            <w:r w:rsidRPr="008E2A7B">
              <w:rPr>
                <w:rFonts w:cstheme="minorHAnsi"/>
                <w:color w:val="000000"/>
                <w:sz w:val="20"/>
                <w:lang w:val="en-GB"/>
              </w:rPr>
              <w:t>Total energy consumption including non-energy use</w:t>
            </w:r>
          </w:p>
        </w:tc>
        <w:tc>
          <w:tcPr>
            <w:tcW w:w="1080" w:type="dxa"/>
            <w:noWrap/>
            <w:hideMark/>
          </w:tcPr>
          <w:p w14:paraId="3B5E0A47" w14:textId="77777777" w:rsidR="0044710E" w:rsidRPr="008E2A7B" w:rsidRDefault="0044710E" w:rsidP="0044710E">
            <w:pPr>
              <w:jc w:val="right"/>
              <w:rPr>
                <w:rFonts w:cstheme="minorHAnsi"/>
                <w:color w:val="000000"/>
                <w:sz w:val="20"/>
                <w:lang w:val="en-GB"/>
              </w:rPr>
            </w:pPr>
            <w:r w:rsidRPr="008E2A7B">
              <w:rPr>
                <w:rFonts w:cstheme="minorHAnsi"/>
                <w:color w:val="000000"/>
                <w:sz w:val="20"/>
                <w:lang w:val="en-GB"/>
              </w:rPr>
              <w:t>540</w:t>
            </w:r>
          </w:p>
        </w:tc>
      </w:tr>
      <w:tr w:rsidR="0044710E" w:rsidRPr="008E2A7B" w14:paraId="6382C96F" w14:textId="77777777" w:rsidTr="0044710E">
        <w:trPr>
          <w:trHeight w:val="285"/>
        </w:trPr>
        <w:tc>
          <w:tcPr>
            <w:tcW w:w="6900" w:type="dxa"/>
            <w:noWrap/>
            <w:hideMark/>
          </w:tcPr>
          <w:p w14:paraId="6F6D9BC8" w14:textId="77777777" w:rsidR="0044710E" w:rsidRPr="008E2A7B" w:rsidRDefault="0044710E" w:rsidP="0044710E">
            <w:pPr>
              <w:rPr>
                <w:rFonts w:cstheme="minorHAnsi"/>
                <w:color w:val="000000"/>
                <w:sz w:val="20"/>
                <w:lang w:val="en-GB"/>
              </w:rPr>
            </w:pPr>
            <w:r w:rsidRPr="008E2A7B">
              <w:rPr>
                <w:rFonts w:cstheme="minorHAnsi"/>
                <w:color w:val="000000"/>
                <w:sz w:val="20"/>
                <w:lang w:val="en-GB"/>
              </w:rPr>
              <w:t>Total energy consumption excluding non-energy use</w:t>
            </w:r>
          </w:p>
        </w:tc>
        <w:tc>
          <w:tcPr>
            <w:tcW w:w="1080" w:type="dxa"/>
            <w:noWrap/>
            <w:hideMark/>
          </w:tcPr>
          <w:p w14:paraId="5AFE2949" w14:textId="77777777" w:rsidR="0044710E" w:rsidRPr="008E2A7B" w:rsidRDefault="0044710E" w:rsidP="0044710E">
            <w:pPr>
              <w:jc w:val="right"/>
              <w:rPr>
                <w:rFonts w:cstheme="minorHAnsi"/>
                <w:color w:val="000000"/>
                <w:sz w:val="20"/>
                <w:lang w:val="en-GB"/>
              </w:rPr>
            </w:pPr>
            <w:r w:rsidRPr="008E2A7B">
              <w:rPr>
                <w:rFonts w:cstheme="minorHAnsi"/>
                <w:color w:val="000000"/>
                <w:sz w:val="20"/>
                <w:lang w:val="en-GB"/>
              </w:rPr>
              <w:t>505</w:t>
            </w:r>
          </w:p>
        </w:tc>
      </w:tr>
      <w:tr w:rsidR="0044710E" w:rsidRPr="008E2A7B" w14:paraId="354B8EF6" w14:textId="77777777" w:rsidTr="0044710E">
        <w:trPr>
          <w:trHeight w:val="285"/>
        </w:trPr>
        <w:tc>
          <w:tcPr>
            <w:tcW w:w="6900" w:type="dxa"/>
            <w:noWrap/>
            <w:hideMark/>
          </w:tcPr>
          <w:p w14:paraId="2B768117" w14:textId="77777777" w:rsidR="0044710E" w:rsidRPr="008E2A7B" w:rsidRDefault="0044710E" w:rsidP="0044710E">
            <w:pPr>
              <w:rPr>
                <w:rFonts w:cstheme="minorHAnsi"/>
                <w:color w:val="000000"/>
                <w:sz w:val="20"/>
                <w:lang w:val="en-GB"/>
              </w:rPr>
            </w:pPr>
            <w:r w:rsidRPr="008E2A7B">
              <w:rPr>
                <w:rFonts w:cstheme="minorHAnsi"/>
                <w:color w:val="000000"/>
                <w:sz w:val="20"/>
                <w:lang w:val="en-GB"/>
              </w:rPr>
              <w:t>Total energy consumption</w:t>
            </w:r>
          </w:p>
        </w:tc>
        <w:tc>
          <w:tcPr>
            <w:tcW w:w="1080" w:type="dxa"/>
            <w:noWrap/>
            <w:hideMark/>
          </w:tcPr>
          <w:p w14:paraId="7C431A0E" w14:textId="77777777" w:rsidR="0044710E" w:rsidRPr="008E2A7B" w:rsidRDefault="0044710E" w:rsidP="0044710E">
            <w:pPr>
              <w:jc w:val="right"/>
              <w:rPr>
                <w:rFonts w:cstheme="minorHAnsi"/>
                <w:color w:val="000000"/>
                <w:sz w:val="20"/>
                <w:lang w:val="en-GB"/>
              </w:rPr>
            </w:pPr>
            <w:r w:rsidRPr="008E2A7B">
              <w:rPr>
                <w:rFonts w:cstheme="minorHAnsi"/>
                <w:color w:val="000000"/>
                <w:sz w:val="20"/>
                <w:lang w:val="en-GB"/>
              </w:rPr>
              <w:t>370</w:t>
            </w:r>
          </w:p>
        </w:tc>
      </w:tr>
      <w:tr w:rsidR="0044710E" w:rsidRPr="008E2A7B" w14:paraId="4D121DFB" w14:textId="77777777" w:rsidTr="0044710E">
        <w:trPr>
          <w:trHeight w:val="285"/>
        </w:trPr>
        <w:tc>
          <w:tcPr>
            <w:tcW w:w="6900" w:type="dxa"/>
            <w:noWrap/>
            <w:hideMark/>
          </w:tcPr>
          <w:p w14:paraId="2EB84138" w14:textId="77777777" w:rsidR="0044710E" w:rsidRPr="008E2A7B" w:rsidRDefault="0044710E" w:rsidP="0044710E">
            <w:pPr>
              <w:rPr>
                <w:rFonts w:cstheme="minorHAnsi"/>
                <w:i/>
                <w:color w:val="000000"/>
                <w:sz w:val="20"/>
                <w:lang w:val="en-GB"/>
              </w:rPr>
            </w:pPr>
            <w:r w:rsidRPr="008E2A7B">
              <w:rPr>
                <w:rFonts w:cstheme="minorHAnsi"/>
                <w:i/>
                <w:color w:val="000000"/>
                <w:sz w:val="20"/>
                <w:lang w:val="en-GB"/>
              </w:rPr>
              <w:t xml:space="preserve">  Industry</w:t>
            </w:r>
          </w:p>
        </w:tc>
        <w:tc>
          <w:tcPr>
            <w:tcW w:w="1080" w:type="dxa"/>
            <w:noWrap/>
            <w:hideMark/>
          </w:tcPr>
          <w:p w14:paraId="6DAAD09E" w14:textId="77777777" w:rsidR="0044710E" w:rsidRPr="008E2A7B" w:rsidRDefault="0044710E" w:rsidP="0044710E">
            <w:pPr>
              <w:jc w:val="right"/>
              <w:rPr>
                <w:rFonts w:cstheme="minorHAnsi"/>
                <w:i/>
                <w:color w:val="000000"/>
                <w:sz w:val="20"/>
                <w:lang w:val="en-GB"/>
              </w:rPr>
            </w:pPr>
            <w:r w:rsidRPr="008E2A7B">
              <w:rPr>
                <w:rFonts w:cstheme="minorHAnsi"/>
                <w:i/>
                <w:color w:val="000000"/>
                <w:sz w:val="20"/>
                <w:lang w:val="en-GB"/>
              </w:rPr>
              <w:t>140</w:t>
            </w:r>
          </w:p>
        </w:tc>
      </w:tr>
      <w:tr w:rsidR="0044710E" w:rsidRPr="008E2A7B" w14:paraId="1410F3EF" w14:textId="77777777" w:rsidTr="0044710E">
        <w:trPr>
          <w:trHeight w:val="285"/>
        </w:trPr>
        <w:tc>
          <w:tcPr>
            <w:tcW w:w="6900" w:type="dxa"/>
            <w:noWrap/>
            <w:hideMark/>
          </w:tcPr>
          <w:p w14:paraId="4B150544" w14:textId="77777777" w:rsidR="0044710E" w:rsidRPr="008E2A7B" w:rsidRDefault="0044710E" w:rsidP="0044710E">
            <w:pPr>
              <w:rPr>
                <w:rFonts w:cstheme="minorHAnsi"/>
                <w:i/>
                <w:color w:val="000000"/>
                <w:sz w:val="20"/>
                <w:lang w:val="en-GB"/>
              </w:rPr>
            </w:pPr>
            <w:r w:rsidRPr="008E2A7B">
              <w:rPr>
                <w:rFonts w:cstheme="minorHAnsi"/>
                <w:i/>
                <w:color w:val="000000"/>
                <w:sz w:val="20"/>
                <w:lang w:val="en-GB"/>
              </w:rPr>
              <w:t xml:space="preserve">  Residential</w:t>
            </w:r>
          </w:p>
        </w:tc>
        <w:tc>
          <w:tcPr>
            <w:tcW w:w="1080" w:type="dxa"/>
            <w:noWrap/>
            <w:hideMark/>
          </w:tcPr>
          <w:p w14:paraId="0077EECE" w14:textId="77777777" w:rsidR="0044710E" w:rsidRPr="008E2A7B" w:rsidRDefault="0044710E" w:rsidP="0044710E">
            <w:pPr>
              <w:jc w:val="right"/>
              <w:rPr>
                <w:rFonts w:cstheme="minorHAnsi"/>
                <w:i/>
                <w:color w:val="000000"/>
                <w:sz w:val="20"/>
                <w:lang w:val="en-GB"/>
              </w:rPr>
            </w:pPr>
            <w:r w:rsidRPr="008E2A7B">
              <w:rPr>
                <w:rFonts w:cstheme="minorHAnsi"/>
                <w:i/>
                <w:color w:val="000000"/>
                <w:sz w:val="20"/>
                <w:lang w:val="en-GB"/>
              </w:rPr>
              <w:t>84</w:t>
            </w:r>
          </w:p>
        </w:tc>
      </w:tr>
      <w:tr w:rsidR="0044710E" w:rsidRPr="008E2A7B" w14:paraId="2394EA33" w14:textId="77777777" w:rsidTr="0044710E">
        <w:trPr>
          <w:trHeight w:val="285"/>
        </w:trPr>
        <w:tc>
          <w:tcPr>
            <w:tcW w:w="6900" w:type="dxa"/>
            <w:noWrap/>
            <w:hideMark/>
          </w:tcPr>
          <w:p w14:paraId="696AD9E9" w14:textId="77777777" w:rsidR="0044710E" w:rsidRPr="008E2A7B" w:rsidRDefault="0044710E" w:rsidP="0044710E">
            <w:pPr>
              <w:rPr>
                <w:rFonts w:cstheme="minorHAnsi"/>
                <w:i/>
                <w:color w:val="000000"/>
                <w:sz w:val="20"/>
                <w:lang w:val="en-GB"/>
              </w:rPr>
            </w:pPr>
            <w:r w:rsidRPr="008E2A7B">
              <w:rPr>
                <w:rFonts w:cstheme="minorHAnsi"/>
                <w:i/>
                <w:color w:val="000000"/>
                <w:sz w:val="20"/>
                <w:lang w:val="en-GB"/>
              </w:rPr>
              <w:t xml:space="preserve">  Services</w:t>
            </w:r>
          </w:p>
        </w:tc>
        <w:tc>
          <w:tcPr>
            <w:tcW w:w="1080" w:type="dxa"/>
            <w:noWrap/>
            <w:hideMark/>
          </w:tcPr>
          <w:p w14:paraId="4336ACED" w14:textId="77777777" w:rsidR="0044710E" w:rsidRPr="008E2A7B" w:rsidRDefault="0044710E" w:rsidP="0044710E">
            <w:pPr>
              <w:jc w:val="right"/>
              <w:rPr>
                <w:rFonts w:cstheme="minorHAnsi"/>
                <w:i/>
                <w:color w:val="000000"/>
                <w:sz w:val="20"/>
                <w:lang w:val="en-GB"/>
              </w:rPr>
            </w:pPr>
            <w:r w:rsidRPr="008E2A7B">
              <w:rPr>
                <w:rFonts w:cstheme="minorHAnsi"/>
                <w:i/>
                <w:color w:val="000000"/>
                <w:sz w:val="20"/>
                <w:lang w:val="en-GB"/>
              </w:rPr>
              <w:t>59</w:t>
            </w:r>
          </w:p>
        </w:tc>
      </w:tr>
      <w:tr w:rsidR="0044710E" w:rsidRPr="008E2A7B" w14:paraId="7ED8F949" w14:textId="77777777" w:rsidTr="0044710E">
        <w:trPr>
          <w:trHeight w:val="285"/>
        </w:trPr>
        <w:tc>
          <w:tcPr>
            <w:tcW w:w="6900" w:type="dxa"/>
            <w:noWrap/>
            <w:hideMark/>
          </w:tcPr>
          <w:p w14:paraId="22E961CC" w14:textId="77777777" w:rsidR="0044710E" w:rsidRPr="008E2A7B" w:rsidRDefault="0044710E" w:rsidP="0044710E">
            <w:pPr>
              <w:rPr>
                <w:rFonts w:cstheme="minorHAnsi"/>
                <w:i/>
                <w:color w:val="000000"/>
                <w:sz w:val="20"/>
                <w:lang w:val="en-GB"/>
              </w:rPr>
            </w:pPr>
            <w:r w:rsidRPr="008E2A7B">
              <w:rPr>
                <w:rFonts w:cstheme="minorHAnsi"/>
                <w:i/>
                <w:color w:val="000000"/>
                <w:sz w:val="20"/>
                <w:lang w:val="en-GB"/>
              </w:rPr>
              <w:t xml:space="preserve">  Transport</w:t>
            </w:r>
          </w:p>
        </w:tc>
        <w:tc>
          <w:tcPr>
            <w:tcW w:w="1080" w:type="dxa"/>
            <w:noWrap/>
            <w:hideMark/>
          </w:tcPr>
          <w:p w14:paraId="6E599C95" w14:textId="77777777" w:rsidR="0044710E" w:rsidRPr="008E2A7B" w:rsidRDefault="0044710E" w:rsidP="0044710E">
            <w:pPr>
              <w:jc w:val="right"/>
              <w:rPr>
                <w:rFonts w:cstheme="minorHAnsi"/>
                <w:i/>
                <w:color w:val="000000"/>
                <w:sz w:val="20"/>
                <w:lang w:val="en-GB"/>
              </w:rPr>
            </w:pPr>
            <w:r w:rsidRPr="008E2A7B">
              <w:rPr>
                <w:rFonts w:cstheme="minorHAnsi"/>
                <w:i/>
                <w:color w:val="000000"/>
                <w:sz w:val="20"/>
                <w:lang w:val="en-GB"/>
              </w:rPr>
              <w:t>87</w:t>
            </w:r>
          </w:p>
        </w:tc>
      </w:tr>
    </w:tbl>
    <w:p w14:paraId="64E05AC8" w14:textId="77777777" w:rsidR="0044710E" w:rsidRPr="008E2A7B" w:rsidRDefault="0044710E" w:rsidP="0044710E">
      <w:pPr>
        <w:pStyle w:val="i-lista"/>
        <w:numPr>
          <w:ilvl w:val="1"/>
          <w:numId w:val="34"/>
        </w:numPr>
        <w:rPr>
          <w:i/>
          <w:lang w:val="en-GB"/>
        </w:rPr>
      </w:pPr>
      <w:r w:rsidRPr="008E2A7B">
        <w:rPr>
          <w:i/>
          <w:lang w:val="en-GB"/>
        </w:rPr>
        <w:t>Current potential for the application of high-efficiency cogeneration and efficient district heating and cooling</w:t>
      </w:r>
    </w:p>
    <w:p w14:paraId="0E078ED7" w14:textId="441261E7" w:rsidR="0044710E" w:rsidRPr="008E2A7B" w:rsidRDefault="0044710E" w:rsidP="0044710E">
      <w:pPr>
        <w:pStyle w:val="Brdtext"/>
        <w:rPr>
          <w:lang w:val="en-GB"/>
        </w:rPr>
      </w:pPr>
      <w:r w:rsidRPr="008E2A7B">
        <w:rPr>
          <w:lang w:val="en-GB"/>
        </w:rPr>
        <w:t xml:space="preserve">The numbers in this chapter </w:t>
      </w:r>
      <w:r w:rsidR="00184E09" w:rsidRPr="008E2A7B">
        <w:rPr>
          <w:lang w:val="en-GB"/>
        </w:rPr>
        <w:t xml:space="preserve">are </w:t>
      </w:r>
      <w:r w:rsidRPr="008E2A7B">
        <w:rPr>
          <w:lang w:val="en-GB"/>
        </w:rPr>
        <w:t xml:space="preserve">from the report </w:t>
      </w:r>
      <w:r w:rsidRPr="008E2A7B">
        <w:rPr>
          <w:i/>
          <w:lang w:val="en-GB"/>
        </w:rPr>
        <w:t>Comprehensive assessment of the potential for using high-efficiency cogeneration, district heating and district cooling, promotion of effective heat and cooling in accordance with the provisions of Article 14 (1) of the Energy Efficiency Directive - ER 2013: 24</w:t>
      </w:r>
      <w:r w:rsidRPr="008E2A7B">
        <w:rPr>
          <w:lang w:val="en-GB"/>
        </w:rPr>
        <w:t>.</w:t>
      </w:r>
    </w:p>
    <w:p w14:paraId="52FF7BF6" w14:textId="17BB69B4" w:rsidR="0044710E" w:rsidRPr="008E2A7B" w:rsidRDefault="0044710E" w:rsidP="0044710E">
      <w:pPr>
        <w:pStyle w:val="Brdtext"/>
        <w:rPr>
          <w:lang w:val="en-GB"/>
        </w:rPr>
      </w:pPr>
      <w:r w:rsidRPr="008E2A7B">
        <w:rPr>
          <w:lang w:val="en-GB"/>
        </w:rPr>
        <w:t>New connection of district heating that takes place both in existing and in new buildings does not compensate the decline that occurs at the same time in the already connected buildings due to efficiency improvements and conversions to heat pumps. In 2011</w:t>
      </w:r>
      <w:r w:rsidR="00184E09" w:rsidRPr="008E2A7B">
        <w:rPr>
          <w:lang w:val="en-GB"/>
        </w:rPr>
        <w:t>,</w:t>
      </w:r>
      <w:r w:rsidRPr="008E2A7B">
        <w:rPr>
          <w:lang w:val="en-GB"/>
        </w:rPr>
        <w:t xml:space="preserve"> 54.7 TWh of district heating was produced, which is expected to decrease to 51 TWh in 2030, despite the fact that new connections to existing buildings and new buildings are estimated to amount to 8 TWh in 2030. The net reduction is thus estimated at approximately 4 TWh</w:t>
      </w:r>
      <w:r w:rsidR="006F133C" w:rsidRPr="008E2A7B">
        <w:rPr>
          <w:lang w:val="en-GB"/>
        </w:rPr>
        <w:t>,</w:t>
      </w:r>
      <w:r w:rsidRPr="008E2A7B">
        <w:rPr>
          <w:lang w:val="en-GB"/>
        </w:rPr>
        <w:t xml:space="preserve"> </w:t>
      </w:r>
      <w:r w:rsidR="006F133C" w:rsidRPr="008E2A7B">
        <w:rPr>
          <w:lang w:val="en-GB"/>
        </w:rPr>
        <w:t>or</w:t>
      </w:r>
      <w:r w:rsidRPr="008E2A7B">
        <w:rPr>
          <w:lang w:val="en-GB"/>
        </w:rPr>
        <w:t xml:space="preserve"> 12 TWh without new connections, shown in </w:t>
      </w:r>
      <w:r w:rsidR="006B0558" w:rsidRPr="008E2A7B">
        <w:rPr>
          <w:lang w:val="en-GB"/>
        </w:rPr>
        <w:fldChar w:fldCharType="begin"/>
      </w:r>
      <w:r w:rsidR="006B0558" w:rsidRPr="008E2A7B">
        <w:rPr>
          <w:lang w:val="en-GB"/>
        </w:rPr>
        <w:instrText xml:space="preserve"> REF _Ref496280888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18</w:t>
      </w:r>
      <w:r w:rsidR="006B0558" w:rsidRPr="008E2A7B">
        <w:rPr>
          <w:lang w:val="en-GB"/>
        </w:rPr>
        <w:fldChar w:fldCharType="end"/>
      </w:r>
      <w:r w:rsidRPr="008E2A7B">
        <w:rPr>
          <w:lang w:val="en-GB"/>
        </w:rPr>
        <w:t xml:space="preserve">. </w:t>
      </w:r>
    </w:p>
    <w:p w14:paraId="79BE7311" w14:textId="77777777" w:rsidR="006B0558" w:rsidRPr="008E2A7B" w:rsidRDefault="006B0558">
      <w:pPr>
        <w:spacing w:after="160" w:line="0" w:lineRule="auto"/>
        <w:rPr>
          <w:b/>
          <w:iCs/>
          <w:sz w:val="20"/>
          <w:szCs w:val="18"/>
          <w:lang w:val="en-GB"/>
        </w:rPr>
      </w:pPr>
      <w:bookmarkStart w:id="65" w:name="_Ref496280888"/>
      <w:r w:rsidRPr="008E2A7B">
        <w:rPr>
          <w:lang w:val="en-GB"/>
        </w:rPr>
        <w:br w:type="page"/>
      </w:r>
    </w:p>
    <w:p w14:paraId="2E436C80" w14:textId="1AE43CF5" w:rsidR="0044710E" w:rsidRPr="008E2A7B" w:rsidRDefault="0044710E" w:rsidP="0044710E">
      <w:pPr>
        <w:pStyle w:val="Beskrivning"/>
        <w:rPr>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18</w:t>
      </w:r>
      <w:r w:rsidRPr="008E2A7B">
        <w:rPr>
          <w:lang w:val="en-GB"/>
        </w:rPr>
        <w:fldChar w:fldCharType="end"/>
      </w:r>
      <w:bookmarkEnd w:id="65"/>
      <w:r w:rsidRPr="008E2A7B">
        <w:rPr>
          <w:szCs w:val="20"/>
          <w:lang w:val="en-GB"/>
        </w:rPr>
        <w:t xml:space="preserve"> The estimated development for Sweden's combined district heating supplies up to and including 2030, TWh</w:t>
      </w:r>
    </w:p>
    <w:p w14:paraId="6BA6460F" w14:textId="77777777" w:rsidR="0044710E" w:rsidRPr="008E2A7B" w:rsidRDefault="0044710E" w:rsidP="0044710E">
      <w:pPr>
        <w:pStyle w:val="Brdtext"/>
        <w:rPr>
          <w:lang w:val="en-GB"/>
        </w:rPr>
      </w:pPr>
      <w:r w:rsidRPr="008E2A7B">
        <w:rPr>
          <w:b/>
          <w:noProof/>
          <w:sz w:val="20"/>
          <w:szCs w:val="20"/>
          <w:lang w:val="en-GB" w:eastAsia="sv-SE"/>
        </w:rPr>
        <mc:AlternateContent>
          <mc:Choice Requires="wpc">
            <w:drawing>
              <wp:anchor distT="0" distB="0" distL="114300" distR="114300" simplePos="0" relativeHeight="251658240" behindDoc="0" locked="0" layoutInCell="1" allowOverlap="1" wp14:anchorId="65022BFD" wp14:editId="1F5E6D64">
                <wp:simplePos x="0" y="0"/>
                <wp:positionH relativeFrom="margin">
                  <wp:align>left</wp:align>
                </wp:positionH>
                <wp:positionV relativeFrom="paragraph">
                  <wp:posOffset>291465</wp:posOffset>
                </wp:positionV>
                <wp:extent cx="5537200" cy="2940685"/>
                <wp:effectExtent l="0" t="0" r="0" b="0"/>
                <wp:wrapTopAndBottom/>
                <wp:docPr id="44" name="Arbetsyta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5"/>
                        <wps:cNvSpPr>
                          <a:spLocks noChangeArrowheads="1"/>
                        </wps:cNvSpPr>
                        <wps:spPr bwMode="auto">
                          <a:xfrm>
                            <a:off x="1898015" y="3175"/>
                            <a:ext cx="3515995" cy="2607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Freeform 7"/>
                        <wps:cNvSpPr>
                          <a:spLocks noEditPoints="1"/>
                        </wps:cNvSpPr>
                        <wps:spPr bwMode="auto">
                          <a:xfrm>
                            <a:off x="461010" y="3175"/>
                            <a:ext cx="1735455" cy="1884680"/>
                          </a:xfrm>
                          <a:custGeom>
                            <a:avLst/>
                            <a:gdLst>
                              <a:gd name="T0" fmla="*/ 257 w 2733"/>
                              <a:gd name="T1" fmla="*/ 2959 h 2968"/>
                              <a:gd name="T2" fmla="*/ 546 w 2733"/>
                              <a:gd name="T3" fmla="*/ 2959 h 2968"/>
                              <a:gd name="T4" fmla="*/ 798 w 2733"/>
                              <a:gd name="T5" fmla="*/ 2968 h 2968"/>
                              <a:gd name="T6" fmla="*/ 1015 w 2733"/>
                              <a:gd name="T7" fmla="*/ 2968 h 2968"/>
                              <a:gd name="T8" fmla="*/ 1267 w 2733"/>
                              <a:gd name="T9" fmla="*/ 2959 h 2968"/>
                              <a:gd name="T10" fmla="*/ 1583 w 2733"/>
                              <a:gd name="T11" fmla="*/ 2959 h 2968"/>
                              <a:gd name="T12" fmla="*/ 1872 w 2733"/>
                              <a:gd name="T13" fmla="*/ 2959 h 2968"/>
                              <a:gd name="T14" fmla="*/ 2124 w 2733"/>
                              <a:gd name="T15" fmla="*/ 2968 h 2968"/>
                              <a:gd name="T16" fmla="*/ 2341 w 2733"/>
                              <a:gd name="T17" fmla="*/ 2968 h 2968"/>
                              <a:gd name="T18" fmla="*/ 2593 w 2733"/>
                              <a:gd name="T19" fmla="*/ 2959 h 2968"/>
                              <a:gd name="T20" fmla="*/ 126 w 2733"/>
                              <a:gd name="T21" fmla="*/ 2360 h 2968"/>
                              <a:gd name="T22" fmla="*/ 415 w 2733"/>
                              <a:gd name="T23" fmla="*/ 2360 h 2968"/>
                              <a:gd name="T24" fmla="*/ 668 w 2733"/>
                              <a:gd name="T25" fmla="*/ 2369 h 2968"/>
                              <a:gd name="T26" fmla="*/ 884 w 2733"/>
                              <a:gd name="T27" fmla="*/ 2369 h 2968"/>
                              <a:gd name="T28" fmla="*/ 1137 w 2733"/>
                              <a:gd name="T29" fmla="*/ 2360 h 2968"/>
                              <a:gd name="T30" fmla="*/ 1452 w 2733"/>
                              <a:gd name="T31" fmla="*/ 2360 h 2968"/>
                              <a:gd name="T32" fmla="*/ 1741 w 2733"/>
                              <a:gd name="T33" fmla="*/ 2360 h 2968"/>
                              <a:gd name="T34" fmla="*/ 1993 w 2733"/>
                              <a:gd name="T35" fmla="*/ 2369 h 2968"/>
                              <a:gd name="T36" fmla="*/ 2210 w 2733"/>
                              <a:gd name="T37" fmla="*/ 2369 h 2968"/>
                              <a:gd name="T38" fmla="*/ 2462 w 2733"/>
                              <a:gd name="T39" fmla="*/ 2360 h 2968"/>
                              <a:gd name="T40" fmla="*/ 0 w 2733"/>
                              <a:gd name="T41" fmla="*/ 1775 h 2968"/>
                              <a:gd name="T42" fmla="*/ 289 w 2733"/>
                              <a:gd name="T43" fmla="*/ 1775 h 2968"/>
                              <a:gd name="T44" fmla="*/ 541 w 2733"/>
                              <a:gd name="T45" fmla="*/ 1784 h 2968"/>
                              <a:gd name="T46" fmla="*/ 758 w 2733"/>
                              <a:gd name="T47" fmla="*/ 1784 h 2968"/>
                              <a:gd name="T48" fmla="*/ 1010 w 2733"/>
                              <a:gd name="T49" fmla="*/ 1775 h 2968"/>
                              <a:gd name="T50" fmla="*/ 1326 w 2733"/>
                              <a:gd name="T51" fmla="*/ 1775 h 2968"/>
                              <a:gd name="T52" fmla="*/ 1615 w 2733"/>
                              <a:gd name="T53" fmla="*/ 1775 h 2968"/>
                              <a:gd name="T54" fmla="*/ 1867 w 2733"/>
                              <a:gd name="T55" fmla="*/ 1784 h 2968"/>
                              <a:gd name="T56" fmla="*/ 2084 w 2733"/>
                              <a:gd name="T57" fmla="*/ 1784 h 2968"/>
                              <a:gd name="T58" fmla="*/ 2336 w 2733"/>
                              <a:gd name="T59" fmla="*/ 1775 h 2968"/>
                              <a:gd name="T60" fmla="*/ 2652 w 2733"/>
                              <a:gd name="T61" fmla="*/ 1775 h 2968"/>
                              <a:gd name="T62" fmla="*/ 162 w 2733"/>
                              <a:gd name="T63" fmla="*/ 1180 h 2968"/>
                              <a:gd name="T64" fmla="*/ 415 w 2733"/>
                              <a:gd name="T65" fmla="*/ 1189 h 2968"/>
                              <a:gd name="T66" fmla="*/ 631 w 2733"/>
                              <a:gd name="T67" fmla="*/ 1189 h 2968"/>
                              <a:gd name="T68" fmla="*/ 884 w 2733"/>
                              <a:gd name="T69" fmla="*/ 1180 h 2968"/>
                              <a:gd name="T70" fmla="*/ 1200 w 2733"/>
                              <a:gd name="T71" fmla="*/ 1180 h 2968"/>
                              <a:gd name="T72" fmla="*/ 1488 w 2733"/>
                              <a:gd name="T73" fmla="*/ 1180 h 2968"/>
                              <a:gd name="T74" fmla="*/ 1741 w 2733"/>
                              <a:gd name="T75" fmla="*/ 1189 h 2968"/>
                              <a:gd name="T76" fmla="*/ 1957 w 2733"/>
                              <a:gd name="T77" fmla="*/ 1189 h 2968"/>
                              <a:gd name="T78" fmla="*/ 2210 w 2733"/>
                              <a:gd name="T79" fmla="*/ 1180 h 2968"/>
                              <a:gd name="T80" fmla="*/ 2526 w 2733"/>
                              <a:gd name="T81" fmla="*/ 1180 h 2968"/>
                              <a:gd name="T82" fmla="*/ 36 w 2733"/>
                              <a:gd name="T83" fmla="*/ 595 h 2968"/>
                              <a:gd name="T84" fmla="*/ 289 w 2733"/>
                              <a:gd name="T85" fmla="*/ 604 h 2968"/>
                              <a:gd name="T86" fmla="*/ 505 w 2733"/>
                              <a:gd name="T87" fmla="*/ 604 h 2968"/>
                              <a:gd name="T88" fmla="*/ 758 w 2733"/>
                              <a:gd name="T89" fmla="*/ 595 h 2968"/>
                              <a:gd name="T90" fmla="*/ 1073 w 2733"/>
                              <a:gd name="T91" fmla="*/ 595 h 2968"/>
                              <a:gd name="T92" fmla="*/ 1362 w 2733"/>
                              <a:gd name="T93" fmla="*/ 595 h 2968"/>
                              <a:gd name="T94" fmla="*/ 1615 w 2733"/>
                              <a:gd name="T95" fmla="*/ 604 h 2968"/>
                              <a:gd name="T96" fmla="*/ 1831 w 2733"/>
                              <a:gd name="T97" fmla="*/ 604 h 2968"/>
                              <a:gd name="T98" fmla="*/ 2084 w 2733"/>
                              <a:gd name="T99" fmla="*/ 595 h 2968"/>
                              <a:gd name="T100" fmla="*/ 2399 w 2733"/>
                              <a:gd name="T101" fmla="*/ 595 h 2968"/>
                              <a:gd name="T102" fmla="*/ 2688 w 2733"/>
                              <a:gd name="T103" fmla="*/ 595 h 2968"/>
                              <a:gd name="T104" fmla="*/ 162 w 2733"/>
                              <a:gd name="T105" fmla="*/ 9 h 2968"/>
                              <a:gd name="T106" fmla="*/ 379 w 2733"/>
                              <a:gd name="T107" fmla="*/ 9 h 2968"/>
                              <a:gd name="T108" fmla="*/ 631 w 2733"/>
                              <a:gd name="T109" fmla="*/ 0 h 2968"/>
                              <a:gd name="T110" fmla="*/ 947 w 2733"/>
                              <a:gd name="T111" fmla="*/ 0 h 2968"/>
                              <a:gd name="T112" fmla="*/ 1236 w 2733"/>
                              <a:gd name="T113" fmla="*/ 0 h 2968"/>
                              <a:gd name="T114" fmla="*/ 1488 w 2733"/>
                              <a:gd name="T115" fmla="*/ 9 h 2968"/>
                              <a:gd name="T116" fmla="*/ 1705 w 2733"/>
                              <a:gd name="T117" fmla="*/ 9 h 2968"/>
                              <a:gd name="T118" fmla="*/ 1957 w 2733"/>
                              <a:gd name="T119" fmla="*/ 0 h 2968"/>
                              <a:gd name="T120" fmla="*/ 2273 w 2733"/>
                              <a:gd name="T121" fmla="*/ 0 h 2968"/>
                              <a:gd name="T122" fmla="*/ 2562 w 2733"/>
                              <a:gd name="T123" fmla="*/ 0 h 29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733" h="2968">
                                <a:moveTo>
                                  <a:pt x="5" y="2959"/>
                                </a:moveTo>
                                <a:lnTo>
                                  <a:pt x="41" y="2959"/>
                                </a:lnTo>
                                <a:lnTo>
                                  <a:pt x="41" y="2968"/>
                                </a:lnTo>
                                <a:lnTo>
                                  <a:pt x="5" y="2968"/>
                                </a:lnTo>
                                <a:lnTo>
                                  <a:pt x="5" y="2959"/>
                                </a:lnTo>
                                <a:close/>
                                <a:moveTo>
                                  <a:pt x="68" y="2959"/>
                                </a:moveTo>
                                <a:lnTo>
                                  <a:pt x="104" y="2959"/>
                                </a:lnTo>
                                <a:lnTo>
                                  <a:pt x="104" y="2968"/>
                                </a:lnTo>
                                <a:lnTo>
                                  <a:pt x="68" y="2968"/>
                                </a:lnTo>
                                <a:lnTo>
                                  <a:pt x="68" y="2959"/>
                                </a:lnTo>
                                <a:close/>
                                <a:moveTo>
                                  <a:pt x="131" y="2959"/>
                                </a:moveTo>
                                <a:lnTo>
                                  <a:pt x="167" y="2959"/>
                                </a:lnTo>
                                <a:lnTo>
                                  <a:pt x="167" y="2968"/>
                                </a:lnTo>
                                <a:lnTo>
                                  <a:pt x="131" y="2968"/>
                                </a:lnTo>
                                <a:lnTo>
                                  <a:pt x="131" y="2959"/>
                                </a:lnTo>
                                <a:close/>
                                <a:moveTo>
                                  <a:pt x="194" y="2959"/>
                                </a:moveTo>
                                <a:lnTo>
                                  <a:pt x="230" y="2959"/>
                                </a:lnTo>
                                <a:lnTo>
                                  <a:pt x="230" y="2968"/>
                                </a:lnTo>
                                <a:lnTo>
                                  <a:pt x="194" y="2968"/>
                                </a:lnTo>
                                <a:lnTo>
                                  <a:pt x="194" y="2959"/>
                                </a:lnTo>
                                <a:close/>
                                <a:moveTo>
                                  <a:pt x="257" y="2959"/>
                                </a:moveTo>
                                <a:lnTo>
                                  <a:pt x="293" y="2959"/>
                                </a:lnTo>
                                <a:lnTo>
                                  <a:pt x="293" y="2968"/>
                                </a:lnTo>
                                <a:lnTo>
                                  <a:pt x="257" y="2968"/>
                                </a:lnTo>
                                <a:lnTo>
                                  <a:pt x="257" y="2959"/>
                                </a:lnTo>
                                <a:close/>
                                <a:moveTo>
                                  <a:pt x="320" y="2959"/>
                                </a:moveTo>
                                <a:lnTo>
                                  <a:pt x="356" y="2959"/>
                                </a:lnTo>
                                <a:lnTo>
                                  <a:pt x="356" y="2968"/>
                                </a:lnTo>
                                <a:lnTo>
                                  <a:pt x="320" y="2968"/>
                                </a:lnTo>
                                <a:lnTo>
                                  <a:pt x="320" y="2959"/>
                                </a:lnTo>
                                <a:close/>
                                <a:moveTo>
                                  <a:pt x="383" y="2959"/>
                                </a:moveTo>
                                <a:lnTo>
                                  <a:pt x="419" y="2959"/>
                                </a:lnTo>
                                <a:lnTo>
                                  <a:pt x="419" y="2968"/>
                                </a:lnTo>
                                <a:lnTo>
                                  <a:pt x="383" y="2968"/>
                                </a:lnTo>
                                <a:lnTo>
                                  <a:pt x="383" y="2959"/>
                                </a:lnTo>
                                <a:close/>
                                <a:moveTo>
                                  <a:pt x="447" y="2959"/>
                                </a:moveTo>
                                <a:lnTo>
                                  <a:pt x="483" y="2959"/>
                                </a:lnTo>
                                <a:lnTo>
                                  <a:pt x="483" y="2968"/>
                                </a:lnTo>
                                <a:lnTo>
                                  <a:pt x="447" y="2968"/>
                                </a:lnTo>
                                <a:lnTo>
                                  <a:pt x="447" y="2959"/>
                                </a:lnTo>
                                <a:close/>
                                <a:moveTo>
                                  <a:pt x="510" y="2959"/>
                                </a:moveTo>
                                <a:lnTo>
                                  <a:pt x="546" y="2959"/>
                                </a:lnTo>
                                <a:lnTo>
                                  <a:pt x="546" y="2968"/>
                                </a:lnTo>
                                <a:lnTo>
                                  <a:pt x="510" y="2968"/>
                                </a:lnTo>
                                <a:lnTo>
                                  <a:pt x="510" y="2959"/>
                                </a:lnTo>
                                <a:close/>
                                <a:moveTo>
                                  <a:pt x="573" y="2959"/>
                                </a:moveTo>
                                <a:lnTo>
                                  <a:pt x="609" y="2959"/>
                                </a:lnTo>
                                <a:lnTo>
                                  <a:pt x="609" y="2968"/>
                                </a:lnTo>
                                <a:lnTo>
                                  <a:pt x="573" y="2968"/>
                                </a:lnTo>
                                <a:lnTo>
                                  <a:pt x="573" y="2959"/>
                                </a:lnTo>
                                <a:close/>
                                <a:moveTo>
                                  <a:pt x="636" y="2959"/>
                                </a:moveTo>
                                <a:lnTo>
                                  <a:pt x="672" y="2959"/>
                                </a:lnTo>
                                <a:lnTo>
                                  <a:pt x="672" y="2968"/>
                                </a:lnTo>
                                <a:lnTo>
                                  <a:pt x="636" y="2968"/>
                                </a:lnTo>
                                <a:lnTo>
                                  <a:pt x="636" y="2959"/>
                                </a:lnTo>
                                <a:close/>
                                <a:moveTo>
                                  <a:pt x="699" y="2959"/>
                                </a:moveTo>
                                <a:lnTo>
                                  <a:pt x="735" y="2959"/>
                                </a:lnTo>
                                <a:lnTo>
                                  <a:pt x="735" y="2968"/>
                                </a:lnTo>
                                <a:lnTo>
                                  <a:pt x="699" y="2968"/>
                                </a:lnTo>
                                <a:lnTo>
                                  <a:pt x="699" y="2959"/>
                                </a:lnTo>
                                <a:close/>
                                <a:moveTo>
                                  <a:pt x="762" y="2959"/>
                                </a:moveTo>
                                <a:lnTo>
                                  <a:pt x="798" y="2959"/>
                                </a:lnTo>
                                <a:lnTo>
                                  <a:pt x="798" y="2968"/>
                                </a:lnTo>
                                <a:lnTo>
                                  <a:pt x="762" y="2968"/>
                                </a:lnTo>
                                <a:lnTo>
                                  <a:pt x="762" y="2959"/>
                                </a:lnTo>
                                <a:close/>
                                <a:moveTo>
                                  <a:pt x="825" y="2959"/>
                                </a:moveTo>
                                <a:lnTo>
                                  <a:pt x="861" y="2959"/>
                                </a:lnTo>
                                <a:lnTo>
                                  <a:pt x="861" y="2968"/>
                                </a:lnTo>
                                <a:lnTo>
                                  <a:pt x="825" y="2968"/>
                                </a:lnTo>
                                <a:lnTo>
                                  <a:pt x="825" y="2959"/>
                                </a:lnTo>
                                <a:close/>
                                <a:moveTo>
                                  <a:pt x="888" y="2959"/>
                                </a:moveTo>
                                <a:lnTo>
                                  <a:pt x="925" y="2959"/>
                                </a:lnTo>
                                <a:lnTo>
                                  <a:pt x="925" y="2968"/>
                                </a:lnTo>
                                <a:lnTo>
                                  <a:pt x="888" y="2968"/>
                                </a:lnTo>
                                <a:lnTo>
                                  <a:pt x="888" y="2959"/>
                                </a:lnTo>
                                <a:close/>
                                <a:moveTo>
                                  <a:pt x="952" y="2959"/>
                                </a:moveTo>
                                <a:lnTo>
                                  <a:pt x="988" y="2959"/>
                                </a:lnTo>
                                <a:lnTo>
                                  <a:pt x="988" y="2968"/>
                                </a:lnTo>
                                <a:lnTo>
                                  <a:pt x="952" y="2968"/>
                                </a:lnTo>
                                <a:lnTo>
                                  <a:pt x="952" y="2959"/>
                                </a:lnTo>
                                <a:close/>
                                <a:moveTo>
                                  <a:pt x="1015" y="2959"/>
                                </a:moveTo>
                                <a:lnTo>
                                  <a:pt x="1051" y="2959"/>
                                </a:lnTo>
                                <a:lnTo>
                                  <a:pt x="1051" y="2968"/>
                                </a:lnTo>
                                <a:lnTo>
                                  <a:pt x="1015" y="2968"/>
                                </a:lnTo>
                                <a:lnTo>
                                  <a:pt x="1015" y="2959"/>
                                </a:lnTo>
                                <a:close/>
                                <a:moveTo>
                                  <a:pt x="1078" y="2959"/>
                                </a:moveTo>
                                <a:lnTo>
                                  <a:pt x="1114" y="2959"/>
                                </a:lnTo>
                                <a:lnTo>
                                  <a:pt x="1114" y="2968"/>
                                </a:lnTo>
                                <a:lnTo>
                                  <a:pt x="1078" y="2968"/>
                                </a:lnTo>
                                <a:lnTo>
                                  <a:pt x="1078" y="2959"/>
                                </a:lnTo>
                                <a:close/>
                                <a:moveTo>
                                  <a:pt x="1141" y="2959"/>
                                </a:moveTo>
                                <a:lnTo>
                                  <a:pt x="1177" y="2959"/>
                                </a:lnTo>
                                <a:lnTo>
                                  <a:pt x="1177" y="2968"/>
                                </a:lnTo>
                                <a:lnTo>
                                  <a:pt x="1141" y="2968"/>
                                </a:lnTo>
                                <a:lnTo>
                                  <a:pt x="1141" y="2959"/>
                                </a:lnTo>
                                <a:close/>
                                <a:moveTo>
                                  <a:pt x="1204" y="2959"/>
                                </a:moveTo>
                                <a:lnTo>
                                  <a:pt x="1240" y="2959"/>
                                </a:lnTo>
                                <a:lnTo>
                                  <a:pt x="1240" y="2968"/>
                                </a:lnTo>
                                <a:lnTo>
                                  <a:pt x="1204" y="2968"/>
                                </a:lnTo>
                                <a:lnTo>
                                  <a:pt x="1204" y="2959"/>
                                </a:lnTo>
                                <a:close/>
                                <a:moveTo>
                                  <a:pt x="1267" y="2959"/>
                                </a:moveTo>
                                <a:lnTo>
                                  <a:pt x="1303" y="2959"/>
                                </a:lnTo>
                                <a:lnTo>
                                  <a:pt x="1303" y="2968"/>
                                </a:lnTo>
                                <a:lnTo>
                                  <a:pt x="1267" y="2968"/>
                                </a:lnTo>
                                <a:lnTo>
                                  <a:pt x="1267" y="2959"/>
                                </a:lnTo>
                                <a:close/>
                                <a:moveTo>
                                  <a:pt x="1330" y="2959"/>
                                </a:moveTo>
                                <a:lnTo>
                                  <a:pt x="1367" y="2959"/>
                                </a:lnTo>
                                <a:lnTo>
                                  <a:pt x="1367" y="2968"/>
                                </a:lnTo>
                                <a:lnTo>
                                  <a:pt x="1330" y="2968"/>
                                </a:lnTo>
                                <a:lnTo>
                                  <a:pt x="1330" y="2959"/>
                                </a:lnTo>
                                <a:close/>
                                <a:moveTo>
                                  <a:pt x="1394" y="2959"/>
                                </a:moveTo>
                                <a:lnTo>
                                  <a:pt x="1430" y="2959"/>
                                </a:lnTo>
                                <a:lnTo>
                                  <a:pt x="1430" y="2968"/>
                                </a:lnTo>
                                <a:lnTo>
                                  <a:pt x="1394" y="2968"/>
                                </a:lnTo>
                                <a:lnTo>
                                  <a:pt x="1394" y="2959"/>
                                </a:lnTo>
                                <a:close/>
                                <a:moveTo>
                                  <a:pt x="1457" y="2959"/>
                                </a:moveTo>
                                <a:lnTo>
                                  <a:pt x="1493" y="2959"/>
                                </a:lnTo>
                                <a:lnTo>
                                  <a:pt x="1493" y="2968"/>
                                </a:lnTo>
                                <a:lnTo>
                                  <a:pt x="1457" y="2968"/>
                                </a:lnTo>
                                <a:lnTo>
                                  <a:pt x="1457" y="2959"/>
                                </a:lnTo>
                                <a:close/>
                                <a:moveTo>
                                  <a:pt x="1520" y="2959"/>
                                </a:moveTo>
                                <a:lnTo>
                                  <a:pt x="1556" y="2959"/>
                                </a:lnTo>
                                <a:lnTo>
                                  <a:pt x="1556" y="2968"/>
                                </a:lnTo>
                                <a:lnTo>
                                  <a:pt x="1520" y="2968"/>
                                </a:lnTo>
                                <a:lnTo>
                                  <a:pt x="1520" y="2959"/>
                                </a:lnTo>
                                <a:close/>
                                <a:moveTo>
                                  <a:pt x="1583" y="2959"/>
                                </a:moveTo>
                                <a:lnTo>
                                  <a:pt x="1619" y="2959"/>
                                </a:lnTo>
                                <a:lnTo>
                                  <a:pt x="1619" y="2968"/>
                                </a:lnTo>
                                <a:lnTo>
                                  <a:pt x="1583" y="2968"/>
                                </a:lnTo>
                                <a:lnTo>
                                  <a:pt x="1583" y="2959"/>
                                </a:lnTo>
                                <a:close/>
                                <a:moveTo>
                                  <a:pt x="1646" y="2959"/>
                                </a:moveTo>
                                <a:lnTo>
                                  <a:pt x="1682" y="2959"/>
                                </a:lnTo>
                                <a:lnTo>
                                  <a:pt x="1682" y="2968"/>
                                </a:lnTo>
                                <a:lnTo>
                                  <a:pt x="1646" y="2968"/>
                                </a:lnTo>
                                <a:lnTo>
                                  <a:pt x="1646" y="2959"/>
                                </a:lnTo>
                                <a:close/>
                                <a:moveTo>
                                  <a:pt x="1709" y="2959"/>
                                </a:moveTo>
                                <a:lnTo>
                                  <a:pt x="1745" y="2959"/>
                                </a:lnTo>
                                <a:lnTo>
                                  <a:pt x="1745" y="2968"/>
                                </a:lnTo>
                                <a:lnTo>
                                  <a:pt x="1709" y="2968"/>
                                </a:lnTo>
                                <a:lnTo>
                                  <a:pt x="1709" y="2959"/>
                                </a:lnTo>
                                <a:close/>
                                <a:moveTo>
                                  <a:pt x="1772" y="2959"/>
                                </a:moveTo>
                                <a:lnTo>
                                  <a:pt x="1808" y="2959"/>
                                </a:lnTo>
                                <a:lnTo>
                                  <a:pt x="1808" y="2968"/>
                                </a:lnTo>
                                <a:lnTo>
                                  <a:pt x="1772" y="2968"/>
                                </a:lnTo>
                                <a:lnTo>
                                  <a:pt x="1772" y="2959"/>
                                </a:lnTo>
                                <a:close/>
                                <a:moveTo>
                                  <a:pt x="1836" y="2959"/>
                                </a:moveTo>
                                <a:lnTo>
                                  <a:pt x="1872" y="2959"/>
                                </a:lnTo>
                                <a:lnTo>
                                  <a:pt x="1872" y="2968"/>
                                </a:lnTo>
                                <a:lnTo>
                                  <a:pt x="1836" y="2968"/>
                                </a:lnTo>
                                <a:lnTo>
                                  <a:pt x="1836" y="2959"/>
                                </a:lnTo>
                                <a:close/>
                                <a:moveTo>
                                  <a:pt x="1899" y="2959"/>
                                </a:moveTo>
                                <a:lnTo>
                                  <a:pt x="1935" y="2959"/>
                                </a:lnTo>
                                <a:lnTo>
                                  <a:pt x="1935" y="2968"/>
                                </a:lnTo>
                                <a:lnTo>
                                  <a:pt x="1899" y="2968"/>
                                </a:lnTo>
                                <a:lnTo>
                                  <a:pt x="1899" y="2959"/>
                                </a:lnTo>
                                <a:close/>
                                <a:moveTo>
                                  <a:pt x="1962" y="2959"/>
                                </a:moveTo>
                                <a:lnTo>
                                  <a:pt x="1998" y="2959"/>
                                </a:lnTo>
                                <a:lnTo>
                                  <a:pt x="1998" y="2968"/>
                                </a:lnTo>
                                <a:lnTo>
                                  <a:pt x="1962" y="2968"/>
                                </a:lnTo>
                                <a:lnTo>
                                  <a:pt x="1962" y="2959"/>
                                </a:lnTo>
                                <a:close/>
                                <a:moveTo>
                                  <a:pt x="2025" y="2959"/>
                                </a:moveTo>
                                <a:lnTo>
                                  <a:pt x="2061" y="2959"/>
                                </a:lnTo>
                                <a:lnTo>
                                  <a:pt x="2061" y="2968"/>
                                </a:lnTo>
                                <a:lnTo>
                                  <a:pt x="2025" y="2968"/>
                                </a:lnTo>
                                <a:lnTo>
                                  <a:pt x="2025" y="2959"/>
                                </a:lnTo>
                                <a:close/>
                                <a:moveTo>
                                  <a:pt x="2088" y="2959"/>
                                </a:moveTo>
                                <a:lnTo>
                                  <a:pt x="2124" y="2959"/>
                                </a:lnTo>
                                <a:lnTo>
                                  <a:pt x="2124" y="2968"/>
                                </a:lnTo>
                                <a:lnTo>
                                  <a:pt x="2088" y="2968"/>
                                </a:lnTo>
                                <a:lnTo>
                                  <a:pt x="2088" y="2959"/>
                                </a:lnTo>
                                <a:close/>
                                <a:moveTo>
                                  <a:pt x="2151" y="2959"/>
                                </a:moveTo>
                                <a:lnTo>
                                  <a:pt x="2187" y="2959"/>
                                </a:lnTo>
                                <a:lnTo>
                                  <a:pt x="2187" y="2968"/>
                                </a:lnTo>
                                <a:lnTo>
                                  <a:pt x="2151" y="2968"/>
                                </a:lnTo>
                                <a:lnTo>
                                  <a:pt x="2151" y="2959"/>
                                </a:lnTo>
                                <a:close/>
                                <a:moveTo>
                                  <a:pt x="2214" y="2959"/>
                                </a:moveTo>
                                <a:lnTo>
                                  <a:pt x="2250" y="2959"/>
                                </a:lnTo>
                                <a:lnTo>
                                  <a:pt x="2250" y="2968"/>
                                </a:lnTo>
                                <a:lnTo>
                                  <a:pt x="2214" y="2968"/>
                                </a:lnTo>
                                <a:lnTo>
                                  <a:pt x="2214" y="2959"/>
                                </a:lnTo>
                                <a:close/>
                                <a:moveTo>
                                  <a:pt x="2277" y="2959"/>
                                </a:moveTo>
                                <a:lnTo>
                                  <a:pt x="2314" y="2959"/>
                                </a:lnTo>
                                <a:lnTo>
                                  <a:pt x="2314" y="2968"/>
                                </a:lnTo>
                                <a:lnTo>
                                  <a:pt x="2277" y="2968"/>
                                </a:lnTo>
                                <a:lnTo>
                                  <a:pt x="2277" y="2959"/>
                                </a:lnTo>
                                <a:close/>
                                <a:moveTo>
                                  <a:pt x="2341" y="2959"/>
                                </a:moveTo>
                                <a:lnTo>
                                  <a:pt x="2377" y="2959"/>
                                </a:lnTo>
                                <a:lnTo>
                                  <a:pt x="2377" y="2968"/>
                                </a:lnTo>
                                <a:lnTo>
                                  <a:pt x="2341" y="2968"/>
                                </a:lnTo>
                                <a:lnTo>
                                  <a:pt x="2341" y="2959"/>
                                </a:lnTo>
                                <a:close/>
                                <a:moveTo>
                                  <a:pt x="2404" y="2959"/>
                                </a:moveTo>
                                <a:lnTo>
                                  <a:pt x="2440" y="2959"/>
                                </a:lnTo>
                                <a:lnTo>
                                  <a:pt x="2440" y="2968"/>
                                </a:lnTo>
                                <a:lnTo>
                                  <a:pt x="2404" y="2968"/>
                                </a:lnTo>
                                <a:lnTo>
                                  <a:pt x="2404" y="2959"/>
                                </a:lnTo>
                                <a:close/>
                                <a:moveTo>
                                  <a:pt x="2467" y="2959"/>
                                </a:moveTo>
                                <a:lnTo>
                                  <a:pt x="2503" y="2959"/>
                                </a:lnTo>
                                <a:lnTo>
                                  <a:pt x="2503" y="2968"/>
                                </a:lnTo>
                                <a:lnTo>
                                  <a:pt x="2467" y="2968"/>
                                </a:lnTo>
                                <a:lnTo>
                                  <a:pt x="2467" y="2959"/>
                                </a:lnTo>
                                <a:close/>
                                <a:moveTo>
                                  <a:pt x="2530" y="2959"/>
                                </a:moveTo>
                                <a:lnTo>
                                  <a:pt x="2566" y="2959"/>
                                </a:lnTo>
                                <a:lnTo>
                                  <a:pt x="2566" y="2968"/>
                                </a:lnTo>
                                <a:lnTo>
                                  <a:pt x="2530" y="2968"/>
                                </a:lnTo>
                                <a:lnTo>
                                  <a:pt x="2530" y="2959"/>
                                </a:lnTo>
                                <a:close/>
                                <a:moveTo>
                                  <a:pt x="2593" y="2959"/>
                                </a:moveTo>
                                <a:lnTo>
                                  <a:pt x="2629" y="2959"/>
                                </a:lnTo>
                                <a:lnTo>
                                  <a:pt x="2629" y="2968"/>
                                </a:lnTo>
                                <a:lnTo>
                                  <a:pt x="2593" y="2968"/>
                                </a:lnTo>
                                <a:lnTo>
                                  <a:pt x="2593" y="2959"/>
                                </a:lnTo>
                                <a:close/>
                                <a:moveTo>
                                  <a:pt x="2656" y="2959"/>
                                </a:moveTo>
                                <a:lnTo>
                                  <a:pt x="2692" y="2959"/>
                                </a:lnTo>
                                <a:lnTo>
                                  <a:pt x="2692" y="2968"/>
                                </a:lnTo>
                                <a:lnTo>
                                  <a:pt x="2656" y="2968"/>
                                </a:lnTo>
                                <a:lnTo>
                                  <a:pt x="2656" y="2959"/>
                                </a:lnTo>
                                <a:close/>
                                <a:moveTo>
                                  <a:pt x="2719" y="2959"/>
                                </a:moveTo>
                                <a:lnTo>
                                  <a:pt x="2728" y="2959"/>
                                </a:lnTo>
                                <a:lnTo>
                                  <a:pt x="2728" y="2968"/>
                                </a:lnTo>
                                <a:lnTo>
                                  <a:pt x="2719" y="2968"/>
                                </a:lnTo>
                                <a:lnTo>
                                  <a:pt x="2719" y="2959"/>
                                </a:lnTo>
                                <a:close/>
                                <a:moveTo>
                                  <a:pt x="0" y="2360"/>
                                </a:moveTo>
                                <a:lnTo>
                                  <a:pt x="36" y="2360"/>
                                </a:lnTo>
                                <a:lnTo>
                                  <a:pt x="36" y="2369"/>
                                </a:lnTo>
                                <a:lnTo>
                                  <a:pt x="0" y="2369"/>
                                </a:lnTo>
                                <a:lnTo>
                                  <a:pt x="0" y="2360"/>
                                </a:lnTo>
                                <a:close/>
                                <a:moveTo>
                                  <a:pt x="63" y="2360"/>
                                </a:moveTo>
                                <a:lnTo>
                                  <a:pt x="99" y="2360"/>
                                </a:lnTo>
                                <a:lnTo>
                                  <a:pt x="99" y="2369"/>
                                </a:lnTo>
                                <a:lnTo>
                                  <a:pt x="63" y="2369"/>
                                </a:lnTo>
                                <a:lnTo>
                                  <a:pt x="63" y="2360"/>
                                </a:lnTo>
                                <a:close/>
                                <a:moveTo>
                                  <a:pt x="126" y="2360"/>
                                </a:moveTo>
                                <a:lnTo>
                                  <a:pt x="162" y="2360"/>
                                </a:lnTo>
                                <a:lnTo>
                                  <a:pt x="162" y="2369"/>
                                </a:lnTo>
                                <a:lnTo>
                                  <a:pt x="126" y="2369"/>
                                </a:lnTo>
                                <a:lnTo>
                                  <a:pt x="126" y="2360"/>
                                </a:lnTo>
                                <a:close/>
                                <a:moveTo>
                                  <a:pt x="189" y="2360"/>
                                </a:moveTo>
                                <a:lnTo>
                                  <a:pt x="226" y="2360"/>
                                </a:lnTo>
                                <a:lnTo>
                                  <a:pt x="226" y="2369"/>
                                </a:lnTo>
                                <a:lnTo>
                                  <a:pt x="189" y="2369"/>
                                </a:lnTo>
                                <a:lnTo>
                                  <a:pt x="189" y="2360"/>
                                </a:lnTo>
                                <a:close/>
                                <a:moveTo>
                                  <a:pt x="253" y="2360"/>
                                </a:moveTo>
                                <a:lnTo>
                                  <a:pt x="289" y="2360"/>
                                </a:lnTo>
                                <a:lnTo>
                                  <a:pt x="289" y="2369"/>
                                </a:lnTo>
                                <a:lnTo>
                                  <a:pt x="253" y="2369"/>
                                </a:lnTo>
                                <a:lnTo>
                                  <a:pt x="253" y="2360"/>
                                </a:lnTo>
                                <a:close/>
                                <a:moveTo>
                                  <a:pt x="316" y="2360"/>
                                </a:moveTo>
                                <a:lnTo>
                                  <a:pt x="352" y="2360"/>
                                </a:lnTo>
                                <a:lnTo>
                                  <a:pt x="352" y="2369"/>
                                </a:lnTo>
                                <a:lnTo>
                                  <a:pt x="316" y="2369"/>
                                </a:lnTo>
                                <a:lnTo>
                                  <a:pt x="316" y="2360"/>
                                </a:lnTo>
                                <a:close/>
                                <a:moveTo>
                                  <a:pt x="379" y="2360"/>
                                </a:moveTo>
                                <a:lnTo>
                                  <a:pt x="415" y="2360"/>
                                </a:lnTo>
                                <a:lnTo>
                                  <a:pt x="415" y="2369"/>
                                </a:lnTo>
                                <a:lnTo>
                                  <a:pt x="379" y="2369"/>
                                </a:lnTo>
                                <a:lnTo>
                                  <a:pt x="379" y="2360"/>
                                </a:lnTo>
                                <a:close/>
                                <a:moveTo>
                                  <a:pt x="442" y="2360"/>
                                </a:moveTo>
                                <a:lnTo>
                                  <a:pt x="478" y="2360"/>
                                </a:lnTo>
                                <a:lnTo>
                                  <a:pt x="478" y="2369"/>
                                </a:lnTo>
                                <a:lnTo>
                                  <a:pt x="442" y="2369"/>
                                </a:lnTo>
                                <a:lnTo>
                                  <a:pt x="442" y="2360"/>
                                </a:lnTo>
                                <a:close/>
                                <a:moveTo>
                                  <a:pt x="505" y="2360"/>
                                </a:moveTo>
                                <a:lnTo>
                                  <a:pt x="541" y="2360"/>
                                </a:lnTo>
                                <a:lnTo>
                                  <a:pt x="541" y="2369"/>
                                </a:lnTo>
                                <a:lnTo>
                                  <a:pt x="505" y="2369"/>
                                </a:lnTo>
                                <a:lnTo>
                                  <a:pt x="505" y="2360"/>
                                </a:lnTo>
                                <a:close/>
                                <a:moveTo>
                                  <a:pt x="568" y="2360"/>
                                </a:moveTo>
                                <a:lnTo>
                                  <a:pt x="604" y="2360"/>
                                </a:lnTo>
                                <a:lnTo>
                                  <a:pt x="604" y="2369"/>
                                </a:lnTo>
                                <a:lnTo>
                                  <a:pt x="568" y="2369"/>
                                </a:lnTo>
                                <a:lnTo>
                                  <a:pt x="568" y="2360"/>
                                </a:lnTo>
                                <a:close/>
                                <a:moveTo>
                                  <a:pt x="631" y="2360"/>
                                </a:moveTo>
                                <a:lnTo>
                                  <a:pt x="668" y="2360"/>
                                </a:lnTo>
                                <a:lnTo>
                                  <a:pt x="668" y="2369"/>
                                </a:lnTo>
                                <a:lnTo>
                                  <a:pt x="631" y="2369"/>
                                </a:lnTo>
                                <a:lnTo>
                                  <a:pt x="631" y="2360"/>
                                </a:lnTo>
                                <a:close/>
                                <a:moveTo>
                                  <a:pt x="695" y="2360"/>
                                </a:moveTo>
                                <a:lnTo>
                                  <a:pt x="731" y="2360"/>
                                </a:lnTo>
                                <a:lnTo>
                                  <a:pt x="731" y="2369"/>
                                </a:lnTo>
                                <a:lnTo>
                                  <a:pt x="695" y="2369"/>
                                </a:lnTo>
                                <a:lnTo>
                                  <a:pt x="695" y="2360"/>
                                </a:lnTo>
                                <a:close/>
                                <a:moveTo>
                                  <a:pt x="758" y="2360"/>
                                </a:moveTo>
                                <a:lnTo>
                                  <a:pt x="794" y="2360"/>
                                </a:lnTo>
                                <a:lnTo>
                                  <a:pt x="794" y="2369"/>
                                </a:lnTo>
                                <a:lnTo>
                                  <a:pt x="758" y="2369"/>
                                </a:lnTo>
                                <a:lnTo>
                                  <a:pt x="758" y="2360"/>
                                </a:lnTo>
                                <a:close/>
                                <a:moveTo>
                                  <a:pt x="821" y="2360"/>
                                </a:moveTo>
                                <a:lnTo>
                                  <a:pt x="857" y="2360"/>
                                </a:lnTo>
                                <a:lnTo>
                                  <a:pt x="857" y="2369"/>
                                </a:lnTo>
                                <a:lnTo>
                                  <a:pt x="821" y="2369"/>
                                </a:lnTo>
                                <a:lnTo>
                                  <a:pt x="821" y="2360"/>
                                </a:lnTo>
                                <a:close/>
                                <a:moveTo>
                                  <a:pt x="884" y="2360"/>
                                </a:moveTo>
                                <a:lnTo>
                                  <a:pt x="920" y="2360"/>
                                </a:lnTo>
                                <a:lnTo>
                                  <a:pt x="920" y="2369"/>
                                </a:lnTo>
                                <a:lnTo>
                                  <a:pt x="884" y="2369"/>
                                </a:lnTo>
                                <a:lnTo>
                                  <a:pt x="884" y="2360"/>
                                </a:lnTo>
                                <a:close/>
                                <a:moveTo>
                                  <a:pt x="947" y="2360"/>
                                </a:moveTo>
                                <a:lnTo>
                                  <a:pt x="983" y="2360"/>
                                </a:lnTo>
                                <a:lnTo>
                                  <a:pt x="983" y="2369"/>
                                </a:lnTo>
                                <a:lnTo>
                                  <a:pt x="947" y="2369"/>
                                </a:lnTo>
                                <a:lnTo>
                                  <a:pt x="947" y="2360"/>
                                </a:lnTo>
                                <a:close/>
                                <a:moveTo>
                                  <a:pt x="1010" y="2360"/>
                                </a:moveTo>
                                <a:lnTo>
                                  <a:pt x="1046" y="2360"/>
                                </a:lnTo>
                                <a:lnTo>
                                  <a:pt x="1046" y="2369"/>
                                </a:lnTo>
                                <a:lnTo>
                                  <a:pt x="1010" y="2369"/>
                                </a:lnTo>
                                <a:lnTo>
                                  <a:pt x="1010" y="2360"/>
                                </a:lnTo>
                                <a:close/>
                                <a:moveTo>
                                  <a:pt x="1073" y="2360"/>
                                </a:moveTo>
                                <a:lnTo>
                                  <a:pt x="1109" y="2360"/>
                                </a:lnTo>
                                <a:lnTo>
                                  <a:pt x="1109" y="2369"/>
                                </a:lnTo>
                                <a:lnTo>
                                  <a:pt x="1073" y="2369"/>
                                </a:lnTo>
                                <a:lnTo>
                                  <a:pt x="1073" y="2360"/>
                                </a:lnTo>
                                <a:close/>
                                <a:moveTo>
                                  <a:pt x="1137" y="2360"/>
                                </a:moveTo>
                                <a:lnTo>
                                  <a:pt x="1173" y="2360"/>
                                </a:lnTo>
                                <a:lnTo>
                                  <a:pt x="1173" y="2369"/>
                                </a:lnTo>
                                <a:lnTo>
                                  <a:pt x="1137" y="2369"/>
                                </a:lnTo>
                                <a:lnTo>
                                  <a:pt x="1137" y="2360"/>
                                </a:lnTo>
                                <a:close/>
                                <a:moveTo>
                                  <a:pt x="1200" y="2360"/>
                                </a:moveTo>
                                <a:lnTo>
                                  <a:pt x="1236" y="2360"/>
                                </a:lnTo>
                                <a:lnTo>
                                  <a:pt x="1236" y="2369"/>
                                </a:lnTo>
                                <a:lnTo>
                                  <a:pt x="1200" y="2369"/>
                                </a:lnTo>
                                <a:lnTo>
                                  <a:pt x="1200" y="2360"/>
                                </a:lnTo>
                                <a:close/>
                                <a:moveTo>
                                  <a:pt x="1263" y="2360"/>
                                </a:moveTo>
                                <a:lnTo>
                                  <a:pt x="1299" y="2360"/>
                                </a:lnTo>
                                <a:lnTo>
                                  <a:pt x="1299" y="2369"/>
                                </a:lnTo>
                                <a:lnTo>
                                  <a:pt x="1263" y="2369"/>
                                </a:lnTo>
                                <a:lnTo>
                                  <a:pt x="1263" y="2360"/>
                                </a:lnTo>
                                <a:close/>
                                <a:moveTo>
                                  <a:pt x="1326" y="2360"/>
                                </a:moveTo>
                                <a:lnTo>
                                  <a:pt x="1362" y="2360"/>
                                </a:lnTo>
                                <a:lnTo>
                                  <a:pt x="1362" y="2369"/>
                                </a:lnTo>
                                <a:lnTo>
                                  <a:pt x="1326" y="2369"/>
                                </a:lnTo>
                                <a:lnTo>
                                  <a:pt x="1326" y="2360"/>
                                </a:lnTo>
                                <a:close/>
                                <a:moveTo>
                                  <a:pt x="1389" y="2360"/>
                                </a:moveTo>
                                <a:lnTo>
                                  <a:pt x="1425" y="2360"/>
                                </a:lnTo>
                                <a:lnTo>
                                  <a:pt x="1425" y="2369"/>
                                </a:lnTo>
                                <a:lnTo>
                                  <a:pt x="1389" y="2369"/>
                                </a:lnTo>
                                <a:lnTo>
                                  <a:pt x="1389" y="2360"/>
                                </a:lnTo>
                                <a:close/>
                                <a:moveTo>
                                  <a:pt x="1452" y="2360"/>
                                </a:moveTo>
                                <a:lnTo>
                                  <a:pt x="1488" y="2360"/>
                                </a:lnTo>
                                <a:lnTo>
                                  <a:pt x="1488" y="2369"/>
                                </a:lnTo>
                                <a:lnTo>
                                  <a:pt x="1452" y="2369"/>
                                </a:lnTo>
                                <a:lnTo>
                                  <a:pt x="1452" y="2360"/>
                                </a:lnTo>
                                <a:close/>
                                <a:moveTo>
                                  <a:pt x="1515" y="2360"/>
                                </a:moveTo>
                                <a:lnTo>
                                  <a:pt x="1551" y="2360"/>
                                </a:lnTo>
                                <a:lnTo>
                                  <a:pt x="1551" y="2369"/>
                                </a:lnTo>
                                <a:lnTo>
                                  <a:pt x="1515" y="2369"/>
                                </a:lnTo>
                                <a:lnTo>
                                  <a:pt x="1515" y="2360"/>
                                </a:lnTo>
                                <a:close/>
                                <a:moveTo>
                                  <a:pt x="1578" y="2360"/>
                                </a:moveTo>
                                <a:lnTo>
                                  <a:pt x="1615" y="2360"/>
                                </a:lnTo>
                                <a:lnTo>
                                  <a:pt x="1615" y="2369"/>
                                </a:lnTo>
                                <a:lnTo>
                                  <a:pt x="1578" y="2369"/>
                                </a:lnTo>
                                <a:lnTo>
                                  <a:pt x="1578" y="2360"/>
                                </a:lnTo>
                                <a:close/>
                                <a:moveTo>
                                  <a:pt x="1642" y="2360"/>
                                </a:moveTo>
                                <a:lnTo>
                                  <a:pt x="1678" y="2360"/>
                                </a:lnTo>
                                <a:lnTo>
                                  <a:pt x="1678" y="2369"/>
                                </a:lnTo>
                                <a:lnTo>
                                  <a:pt x="1642" y="2369"/>
                                </a:lnTo>
                                <a:lnTo>
                                  <a:pt x="1642" y="2360"/>
                                </a:lnTo>
                                <a:close/>
                                <a:moveTo>
                                  <a:pt x="1705" y="2360"/>
                                </a:moveTo>
                                <a:lnTo>
                                  <a:pt x="1741" y="2360"/>
                                </a:lnTo>
                                <a:lnTo>
                                  <a:pt x="1741" y="2369"/>
                                </a:lnTo>
                                <a:lnTo>
                                  <a:pt x="1705" y="2369"/>
                                </a:lnTo>
                                <a:lnTo>
                                  <a:pt x="1705" y="2360"/>
                                </a:lnTo>
                                <a:close/>
                                <a:moveTo>
                                  <a:pt x="1768" y="2360"/>
                                </a:moveTo>
                                <a:lnTo>
                                  <a:pt x="1804" y="2360"/>
                                </a:lnTo>
                                <a:lnTo>
                                  <a:pt x="1804" y="2369"/>
                                </a:lnTo>
                                <a:lnTo>
                                  <a:pt x="1768" y="2369"/>
                                </a:lnTo>
                                <a:lnTo>
                                  <a:pt x="1768" y="2360"/>
                                </a:lnTo>
                                <a:close/>
                                <a:moveTo>
                                  <a:pt x="1831" y="2360"/>
                                </a:moveTo>
                                <a:lnTo>
                                  <a:pt x="1867" y="2360"/>
                                </a:lnTo>
                                <a:lnTo>
                                  <a:pt x="1867" y="2369"/>
                                </a:lnTo>
                                <a:lnTo>
                                  <a:pt x="1831" y="2369"/>
                                </a:lnTo>
                                <a:lnTo>
                                  <a:pt x="1831" y="2360"/>
                                </a:lnTo>
                                <a:close/>
                                <a:moveTo>
                                  <a:pt x="1894" y="2360"/>
                                </a:moveTo>
                                <a:lnTo>
                                  <a:pt x="1930" y="2360"/>
                                </a:lnTo>
                                <a:lnTo>
                                  <a:pt x="1930" y="2369"/>
                                </a:lnTo>
                                <a:lnTo>
                                  <a:pt x="1894" y="2369"/>
                                </a:lnTo>
                                <a:lnTo>
                                  <a:pt x="1894" y="2360"/>
                                </a:lnTo>
                                <a:close/>
                                <a:moveTo>
                                  <a:pt x="1957" y="2360"/>
                                </a:moveTo>
                                <a:lnTo>
                                  <a:pt x="1993" y="2360"/>
                                </a:lnTo>
                                <a:lnTo>
                                  <a:pt x="1993" y="2369"/>
                                </a:lnTo>
                                <a:lnTo>
                                  <a:pt x="1957" y="2369"/>
                                </a:lnTo>
                                <a:lnTo>
                                  <a:pt x="1957" y="2360"/>
                                </a:lnTo>
                                <a:close/>
                                <a:moveTo>
                                  <a:pt x="2020" y="2360"/>
                                </a:moveTo>
                                <a:lnTo>
                                  <a:pt x="2057" y="2360"/>
                                </a:lnTo>
                                <a:lnTo>
                                  <a:pt x="2057" y="2369"/>
                                </a:lnTo>
                                <a:lnTo>
                                  <a:pt x="2020" y="2369"/>
                                </a:lnTo>
                                <a:lnTo>
                                  <a:pt x="2020" y="2360"/>
                                </a:lnTo>
                                <a:close/>
                                <a:moveTo>
                                  <a:pt x="2084" y="2360"/>
                                </a:moveTo>
                                <a:lnTo>
                                  <a:pt x="2120" y="2360"/>
                                </a:lnTo>
                                <a:lnTo>
                                  <a:pt x="2120" y="2369"/>
                                </a:lnTo>
                                <a:lnTo>
                                  <a:pt x="2084" y="2369"/>
                                </a:lnTo>
                                <a:lnTo>
                                  <a:pt x="2084" y="2360"/>
                                </a:lnTo>
                                <a:close/>
                                <a:moveTo>
                                  <a:pt x="2147" y="2360"/>
                                </a:moveTo>
                                <a:lnTo>
                                  <a:pt x="2183" y="2360"/>
                                </a:lnTo>
                                <a:lnTo>
                                  <a:pt x="2183" y="2369"/>
                                </a:lnTo>
                                <a:lnTo>
                                  <a:pt x="2147" y="2369"/>
                                </a:lnTo>
                                <a:lnTo>
                                  <a:pt x="2147" y="2360"/>
                                </a:lnTo>
                                <a:close/>
                                <a:moveTo>
                                  <a:pt x="2210" y="2360"/>
                                </a:moveTo>
                                <a:lnTo>
                                  <a:pt x="2246" y="2360"/>
                                </a:lnTo>
                                <a:lnTo>
                                  <a:pt x="2246" y="2369"/>
                                </a:lnTo>
                                <a:lnTo>
                                  <a:pt x="2210" y="2369"/>
                                </a:lnTo>
                                <a:lnTo>
                                  <a:pt x="2210" y="2360"/>
                                </a:lnTo>
                                <a:close/>
                                <a:moveTo>
                                  <a:pt x="2273" y="2360"/>
                                </a:moveTo>
                                <a:lnTo>
                                  <a:pt x="2309" y="2360"/>
                                </a:lnTo>
                                <a:lnTo>
                                  <a:pt x="2309" y="2369"/>
                                </a:lnTo>
                                <a:lnTo>
                                  <a:pt x="2273" y="2369"/>
                                </a:lnTo>
                                <a:lnTo>
                                  <a:pt x="2273" y="2360"/>
                                </a:lnTo>
                                <a:close/>
                                <a:moveTo>
                                  <a:pt x="2336" y="2360"/>
                                </a:moveTo>
                                <a:lnTo>
                                  <a:pt x="2372" y="2360"/>
                                </a:lnTo>
                                <a:lnTo>
                                  <a:pt x="2372" y="2369"/>
                                </a:lnTo>
                                <a:lnTo>
                                  <a:pt x="2336" y="2369"/>
                                </a:lnTo>
                                <a:lnTo>
                                  <a:pt x="2336" y="2360"/>
                                </a:lnTo>
                                <a:close/>
                                <a:moveTo>
                                  <a:pt x="2399" y="2360"/>
                                </a:moveTo>
                                <a:lnTo>
                                  <a:pt x="2435" y="2360"/>
                                </a:lnTo>
                                <a:lnTo>
                                  <a:pt x="2435" y="2369"/>
                                </a:lnTo>
                                <a:lnTo>
                                  <a:pt x="2399" y="2369"/>
                                </a:lnTo>
                                <a:lnTo>
                                  <a:pt x="2399" y="2360"/>
                                </a:lnTo>
                                <a:close/>
                                <a:moveTo>
                                  <a:pt x="2462" y="2360"/>
                                </a:moveTo>
                                <a:lnTo>
                                  <a:pt x="2498" y="2360"/>
                                </a:lnTo>
                                <a:lnTo>
                                  <a:pt x="2498" y="2369"/>
                                </a:lnTo>
                                <a:lnTo>
                                  <a:pt x="2462" y="2369"/>
                                </a:lnTo>
                                <a:lnTo>
                                  <a:pt x="2462" y="2360"/>
                                </a:lnTo>
                                <a:close/>
                                <a:moveTo>
                                  <a:pt x="2526" y="2360"/>
                                </a:moveTo>
                                <a:lnTo>
                                  <a:pt x="2562" y="2360"/>
                                </a:lnTo>
                                <a:lnTo>
                                  <a:pt x="2562" y="2369"/>
                                </a:lnTo>
                                <a:lnTo>
                                  <a:pt x="2526" y="2369"/>
                                </a:lnTo>
                                <a:lnTo>
                                  <a:pt x="2526" y="2360"/>
                                </a:lnTo>
                                <a:close/>
                                <a:moveTo>
                                  <a:pt x="2589" y="2360"/>
                                </a:moveTo>
                                <a:lnTo>
                                  <a:pt x="2625" y="2360"/>
                                </a:lnTo>
                                <a:lnTo>
                                  <a:pt x="2625" y="2369"/>
                                </a:lnTo>
                                <a:lnTo>
                                  <a:pt x="2589" y="2369"/>
                                </a:lnTo>
                                <a:lnTo>
                                  <a:pt x="2589" y="2360"/>
                                </a:lnTo>
                                <a:close/>
                                <a:moveTo>
                                  <a:pt x="2652" y="2360"/>
                                </a:moveTo>
                                <a:lnTo>
                                  <a:pt x="2688" y="2360"/>
                                </a:lnTo>
                                <a:lnTo>
                                  <a:pt x="2688" y="2369"/>
                                </a:lnTo>
                                <a:lnTo>
                                  <a:pt x="2652" y="2369"/>
                                </a:lnTo>
                                <a:lnTo>
                                  <a:pt x="2652" y="2360"/>
                                </a:lnTo>
                                <a:close/>
                                <a:moveTo>
                                  <a:pt x="2715" y="2360"/>
                                </a:moveTo>
                                <a:lnTo>
                                  <a:pt x="2733" y="2360"/>
                                </a:lnTo>
                                <a:lnTo>
                                  <a:pt x="2733" y="2369"/>
                                </a:lnTo>
                                <a:lnTo>
                                  <a:pt x="2715" y="2369"/>
                                </a:lnTo>
                                <a:lnTo>
                                  <a:pt x="2715" y="2360"/>
                                </a:lnTo>
                                <a:close/>
                                <a:moveTo>
                                  <a:pt x="0" y="1775"/>
                                </a:moveTo>
                                <a:lnTo>
                                  <a:pt x="36" y="1775"/>
                                </a:lnTo>
                                <a:lnTo>
                                  <a:pt x="36" y="1784"/>
                                </a:lnTo>
                                <a:lnTo>
                                  <a:pt x="0" y="1784"/>
                                </a:lnTo>
                                <a:lnTo>
                                  <a:pt x="0" y="1775"/>
                                </a:lnTo>
                                <a:close/>
                                <a:moveTo>
                                  <a:pt x="63" y="1775"/>
                                </a:moveTo>
                                <a:lnTo>
                                  <a:pt x="99" y="1775"/>
                                </a:lnTo>
                                <a:lnTo>
                                  <a:pt x="99" y="1784"/>
                                </a:lnTo>
                                <a:lnTo>
                                  <a:pt x="63" y="1784"/>
                                </a:lnTo>
                                <a:lnTo>
                                  <a:pt x="63" y="1775"/>
                                </a:lnTo>
                                <a:close/>
                                <a:moveTo>
                                  <a:pt x="126" y="1775"/>
                                </a:moveTo>
                                <a:lnTo>
                                  <a:pt x="162" y="1775"/>
                                </a:lnTo>
                                <a:lnTo>
                                  <a:pt x="162" y="1784"/>
                                </a:lnTo>
                                <a:lnTo>
                                  <a:pt x="126" y="1784"/>
                                </a:lnTo>
                                <a:lnTo>
                                  <a:pt x="126" y="1775"/>
                                </a:lnTo>
                                <a:close/>
                                <a:moveTo>
                                  <a:pt x="189" y="1775"/>
                                </a:moveTo>
                                <a:lnTo>
                                  <a:pt x="226" y="1775"/>
                                </a:lnTo>
                                <a:lnTo>
                                  <a:pt x="226" y="1784"/>
                                </a:lnTo>
                                <a:lnTo>
                                  <a:pt x="189" y="1784"/>
                                </a:lnTo>
                                <a:lnTo>
                                  <a:pt x="189" y="1775"/>
                                </a:lnTo>
                                <a:close/>
                                <a:moveTo>
                                  <a:pt x="253" y="1775"/>
                                </a:moveTo>
                                <a:lnTo>
                                  <a:pt x="289" y="1775"/>
                                </a:lnTo>
                                <a:lnTo>
                                  <a:pt x="289" y="1784"/>
                                </a:lnTo>
                                <a:lnTo>
                                  <a:pt x="253" y="1784"/>
                                </a:lnTo>
                                <a:lnTo>
                                  <a:pt x="253" y="1775"/>
                                </a:lnTo>
                                <a:close/>
                                <a:moveTo>
                                  <a:pt x="316" y="1775"/>
                                </a:moveTo>
                                <a:lnTo>
                                  <a:pt x="352" y="1775"/>
                                </a:lnTo>
                                <a:lnTo>
                                  <a:pt x="352" y="1784"/>
                                </a:lnTo>
                                <a:lnTo>
                                  <a:pt x="316" y="1784"/>
                                </a:lnTo>
                                <a:lnTo>
                                  <a:pt x="316" y="1775"/>
                                </a:lnTo>
                                <a:close/>
                                <a:moveTo>
                                  <a:pt x="379" y="1775"/>
                                </a:moveTo>
                                <a:lnTo>
                                  <a:pt x="415" y="1775"/>
                                </a:lnTo>
                                <a:lnTo>
                                  <a:pt x="415" y="1784"/>
                                </a:lnTo>
                                <a:lnTo>
                                  <a:pt x="379" y="1784"/>
                                </a:lnTo>
                                <a:lnTo>
                                  <a:pt x="379" y="1775"/>
                                </a:lnTo>
                                <a:close/>
                                <a:moveTo>
                                  <a:pt x="442" y="1775"/>
                                </a:moveTo>
                                <a:lnTo>
                                  <a:pt x="478" y="1775"/>
                                </a:lnTo>
                                <a:lnTo>
                                  <a:pt x="478" y="1784"/>
                                </a:lnTo>
                                <a:lnTo>
                                  <a:pt x="442" y="1784"/>
                                </a:lnTo>
                                <a:lnTo>
                                  <a:pt x="442" y="1775"/>
                                </a:lnTo>
                                <a:close/>
                                <a:moveTo>
                                  <a:pt x="505" y="1775"/>
                                </a:moveTo>
                                <a:lnTo>
                                  <a:pt x="541" y="1775"/>
                                </a:lnTo>
                                <a:lnTo>
                                  <a:pt x="541" y="1784"/>
                                </a:lnTo>
                                <a:lnTo>
                                  <a:pt x="505" y="1784"/>
                                </a:lnTo>
                                <a:lnTo>
                                  <a:pt x="505" y="1775"/>
                                </a:lnTo>
                                <a:close/>
                                <a:moveTo>
                                  <a:pt x="568" y="1775"/>
                                </a:moveTo>
                                <a:lnTo>
                                  <a:pt x="604" y="1775"/>
                                </a:lnTo>
                                <a:lnTo>
                                  <a:pt x="604" y="1784"/>
                                </a:lnTo>
                                <a:lnTo>
                                  <a:pt x="568" y="1784"/>
                                </a:lnTo>
                                <a:lnTo>
                                  <a:pt x="568" y="1775"/>
                                </a:lnTo>
                                <a:close/>
                                <a:moveTo>
                                  <a:pt x="631" y="1775"/>
                                </a:moveTo>
                                <a:lnTo>
                                  <a:pt x="668" y="1775"/>
                                </a:lnTo>
                                <a:lnTo>
                                  <a:pt x="668" y="1784"/>
                                </a:lnTo>
                                <a:lnTo>
                                  <a:pt x="631" y="1784"/>
                                </a:lnTo>
                                <a:lnTo>
                                  <a:pt x="631" y="1775"/>
                                </a:lnTo>
                                <a:close/>
                                <a:moveTo>
                                  <a:pt x="695" y="1775"/>
                                </a:moveTo>
                                <a:lnTo>
                                  <a:pt x="731" y="1775"/>
                                </a:lnTo>
                                <a:lnTo>
                                  <a:pt x="731" y="1784"/>
                                </a:lnTo>
                                <a:lnTo>
                                  <a:pt x="695" y="1784"/>
                                </a:lnTo>
                                <a:lnTo>
                                  <a:pt x="695" y="1775"/>
                                </a:lnTo>
                                <a:close/>
                                <a:moveTo>
                                  <a:pt x="758" y="1775"/>
                                </a:moveTo>
                                <a:lnTo>
                                  <a:pt x="794" y="1775"/>
                                </a:lnTo>
                                <a:lnTo>
                                  <a:pt x="794" y="1784"/>
                                </a:lnTo>
                                <a:lnTo>
                                  <a:pt x="758" y="1784"/>
                                </a:lnTo>
                                <a:lnTo>
                                  <a:pt x="758" y="1775"/>
                                </a:lnTo>
                                <a:close/>
                                <a:moveTo>
                                  <a:pt x="821" y="1775"/>
                                </a:moveTo>
                                <a:lnTo>
                                  <a:pt x="857" y="1775"/>
                                </a:lnTo>
                                <a:lnTo>
                                  <a:pt x="857" y="1784"/>
                                </a:lnTo>
                                <a:lnTo>
                                  <a:pt x="821" y="1784"/>
                                </a:lnTo>
                                <a:lnTo>
                                  <a:pt x="821" y="1775"/>
                                </a:lnTo>
                                <a:close/>
                                <a:moveTo>
                                  <a:pt x="884" y="1775"/>
                                </a:moveTo>
                                <a:lnTo>
                                  <a:pt x="920" y="1775"/>
                                </a:lnTo>
                                <a:lnTo>
                                  <a:pt x="920" y="1784"/>
                                </a:lnTo>
                                <a:lnTo>
                                  <a:pt x="884" y="1784"/>
                                </a:lnTo>
                                <a:lnTo>
                                  <a:pt x="884" y="1775"/>
                                </a:lnTo>
                                <a:close/>
                                <a:moveTo>
                                  <a:pt x="947" y="1775"/>
                                </a:moveTo>
                                <a:lnTo>
                                  <a:pt x="983" y="1775"/>
                                </a:lnTo>
                                <a:lnTo>
                                  <a:pt x="983" y="1784"/>
                                </a:lnTo>
                                <a:lnTo>
                                  <a:pt x="947" y="1784"/>
                                </a:lnTo>
                                <a:lnTo>
                                  <a:pt x="947" y="1775"/>
                                </a:lnTo>
                                <a:close/>
                                <a:moveTo>
                                  <a:pt x="1010" y="1775"/>
                                </a:moveTo>
                                <a:lnTo>
                                  <a:pt x="1046" y="1775"/>
                                </a:lnTo>
                                <a:lnTo>
                                  <a:pt x="1046" y="1784"/>
                                </a:lnTo>
                                <a:lnTo>
                                  <a:pt x="1010" y="1784"/>
                                </a:lnTo>
                                <a:lnTo>
                                  <a:pt x="1010" y="1775"/>
                                </a:lnTo>
                                <a:close/>
                                <a:moveTo>
                                  <a:pt x="1073" y="1775"/>
                                </a:moveTo>
                                <a:lnTo>
                                  <a:pt x="1109" y="1775"/>
                                </a:lnTo>
                                <a:lnTo>
                                  <a:pt x="1109" y="1784"/>
                                </a:lnTo>
                                <a:lnTo>
                                  <a:pt x="1073" y="1784"/>
                                </a:lnTo>
                                <a:lnTo>
                                  <a:pt x="1073" y="1775"/>
                                </a:lnTo>
                                <a:close/>
                                <a:moveTo>
                                  <a:pt x="1137" y="1775"/>
                                </a:moveTo>
                                <a:lnTo>
                                  <a:pt x="1173" y="1775"/>
                                </a:lnTo>
                                <a:lnTo>
                                  <a:pt x="1173" y="1784"/>
                                </a:lnTo>
                                <a:lnTo>
                                  <a:pt x="1137" y="1784"/>
                                </a:lnTo>
                                <a:lnTo>
                                  <a:pt x="1137" y="1775"/>
                                </a:lnTo>
                                <a:close/>
                                <a:moveTo>
                                  <a:pt x="1200" y="1775"/>
                                </a:moveTo>
                                <a:lnTo>
                                  <a:pt x="1236" y="1775"/>
                                </a:lnTo>
                                <a:lnTo>
                                  <a:pt x="1236" y="1784"/>
                                </a:lnTo>
                                <a:lnTo>
                                  <a:pt x="1200" y="1784"/>
                                </a:lnTo>
                                <a:lnTo>
                                  <a:pt x="1200" y="1775"/>
                                </a:lnTo>
                                <a:close/>
                                <a:moveTo>
                                  <a:pt x="1263" y="1775"/>
                                </a:moveTo>
                                <a:lnTo>
                                  <a:pt x="1299" y="1775"/>
                                </a:lnTo>
                                <a:lnTo>
                                  <a:pt x="1299" y="1784"/>
                                </a:lnTo>
                                <a:lnTo>
                                  <a:pt x="1263" y="1784"/>
                                </a:lnTo>
                                <a:lnTo>
                                  <a:pt x="1263" y="1775"/>
                                </a:lnTo>
                                <a:close/>
                                <a:moveTo>
                                  <a:pt x="1326" y="1775"/>
                                </a:moveTo>
                                <a:lnTo>
                                  <a:pt x="1362" y="1775"/>
                                </a:lnTo>
                                <a:lnTo>
                                  <a:pt x="1362" y="1784"/>
                                </a:lnTo>
                                <a:lnTo>
                                  <a:pt x="1326" y="1784"/>
                                </a:lnTo>
                                <a:lnTo>
                                  <a:pt x="1326" y="1775"/>
                                </a:lnTo>
                                <a:close/>
                                <a:moveTo>
                                  <a:pt x="1389" y="1775"/>
                                </a:moveTo>
                                <a:lnTo>
                                  <a:pt x="1425" y="1775"/>
                                </a:lnTo>
                                <a:lnTo>
                                  <a:pt x="1425" y="1784"/>
                                </a:lnTo>
                                <a:lnTo>
                                  <a:pt x="1389" y="1784"/>
                                </a:lnTo>
                                <a:lnTo>
                                  <a:pt x="1389" y="1775"/>
                                </a:lnTo>
                                <a:close/>
                                <a:moveTo>
                                  <a:pt x="1452" y="1775"/>
                                </a:moveTo>
                                <a:lnTo>
                                  <a:pt x="1488" y="1775"/>
                                </a:lnTo>
                                <a:lnTo>
                                  <a:pt x="1488" y="1784"/>
                                </a:lnTo>
                                <a:lnTo>
                                  <a:pt x="1452" y="1784"/>
                                </a:lnTo>
                                <a:lnTo>
                                  <a:pt x="1452" y="1775"/>
                                </a:lnTo>
                                <a:close/>
                                <a:moveTo>
                                  <a:pt x="1515" y="1775"/>
                                </a:moveTo>
                                <a:lnTo>
                                  <a:pt x="1551" y="1775"/>
                                </a:lnTo>
                                <a:lnTo>
                                  <a:pt x="1551" y="1784"/>
                                </a:lnTo>
                                <a:lnTo>
                                  <a:pt x="1515" y="1784"/>
                                </a:lnTo>
                                <a:lnTo>
                                  <a:pt x="1515" y="1775"/>
                                </a:lnTo>
                                <a:close/>
                                <a:moveTo>
                                  <a:pt x="1578" y="1775"/>
                                </a:moveTo>
                                <a:lnTo>
                                  <a:pt x="1615" y="1775"/>
                                </a:lnTo>
                                <a:lnTo>
                                  <a:pt x="1615" y="1784"/>
                                </a:lnTo>
                                <a:lnTo>
                                  <a:pt x="1578" y="1784"/>
                                </a:lnTo>
                                <a:lnTo>
                                  <a:pt x="1578" y="1775"/>
                                </a:lnTo>
                                <a:close/>
                                <a:moveTo>
                                  <a:pt x="1642" y="1775"/>
                                </a:moveTo>
                                <a:lnTo>
                                  <a:pt x="1678" y="1775"/>
                                </a:lnTo>
                                <a:lnTo>
                                  <a:pt x="1678" y="1784"/>
                                </a:lnTo>
                                <a:lnTo>
                                  <a:pt x="1642" y="1784"/>
                                </a:lnTo>
                                <a:lnTo>
                                  <a:pt x="1642" y="1775"/>
                                </a:lnTo>
                                <a:close/>
                                <a:moveTo>
                                  <a:pt x="1705" y="1775"/>
                                </a:moveTo>
                                <a:lnTo>
                                  <a:pt x="1741" y="1775"/>
                                </a:lnTo>
                                <a:lnTo>
                                  <a:pt x="1741" y="1784"/>
                                </a:lnTo>
                                <a:lnTo>
                                  <a:pt x="1705" y="1784"/>
                                </a:lnTo>
                                <a:lnTo>
                                  <a:pt x="1705" y="1775"/>
                                </a:lnTo>
                                <a:close/>
                                <a:moveTo>
                                  <a:pt x="1768" y="1775"/>
                                </a:moveTo>
                                <a:lnTo>
                                  <a:pt x="1804" y="1775"/>
                                </a:lnTo>
                                <a:lnTo>
                                  <a:pt x="1804" y="1784"/>
                                </a:lnTo>
                                <a:lnTo>
                                  <a:pt x="1768" y="1784"/>
                                </a:lnTo>
                                <a:lnTo>
                                  <a:pt x="1768" y="1775"/>
                                </a:lnTo>
                                <a:close/>
                                <a:moveTo>
                                  <a:pt x="1831" y="1775"/>
                                </a:moveTo>
                                <a:lnTo>
                                  <a:pt x="1867" y="1775"/>
                                </a:lnTo>
                                <a:lnTo>
                                  <a:pt x="1867" y="1784"/>
                                </a:lnTo>
                                <a:lnTo>
                                  <a:pt x="1831" y="1784"/>
                                </a:lnTo>
                                <a:lnTo>
                                  <a:pt x="1831" y="1775"/>
                                </a:lnTo>
                                <a:close/>
                                <a:moveTo>
                                  <a:pt x="1894" y="1775"/>
                                </a:moveTo>
                                <a:lnTo>
                                  <a:pt x="1930" y="1775"/>
                                </a:lnTo>
                                <a:lnTo>
                                  <a:pt x="1930" y="1784"/>
                                </a:lnTo>
                                <a:lnTo>
                                  <a:pt x="1894" y="1784"/>
                                </a:lnTo>
                                <a:lnTo>
                                  <a:pt x="1894" y="1775"/>
                                </a:lnTo>
                                <a:close/>
                                <a:moveTo>
                                  <a:pt x="1957" y="1775"/>
                                </a:moveTo>
                                <a:lnTo>
                                  <a:pt x="1993" y="1775"/>
                                </a:lnTo>
                                <a:lnTo>
                                  <a:pt x="1993" y="1784"/>
                                </a:lnTo>
                                <a:lnTo>
                                  <a:pt x="1957" y="1784"/>
                                </a:lnTo>
                                <a:lnTo>
                                  <a:pt x="1957" y="1775"/>
                                </a:lnTo>
                                <a:close/>
                                <a:moveTo>
                                  <a:pt x="2020" y="1775"/>
                                </a:moveTo>
                                <a:lnTo>
                                  <a:pt x="2057" y="1775"/>
                                </a:lnTo>
                                <a:lnTo>
                                  <a:pt x="2057" y="1784"/>
                                </a:lnTo>
                                <a:lnTo>
                                  <a:pt x="2020" y="1784"/>
                                </a:lnTo>
                                <a:lnTo>
                                  <a:pt x="2020" y="1775"/>
                                </a:lnTo>
                                <a:close/>
                                <a:moveTo>
                                  <a:pt x="2084" y="1775"/>
                                </a:moveTo>
                                <a:lnTo>
                                  <a:pt x="2120" y="1775"/>
                                </a:lnTo>
                                <a:lnTo>
                                  <a:pt x="2120" y="1784"/>
                                </a:lnTo>
                                <a:lnTo>
                                  <a:pt x="2084" y="1784"/>
                                </a:lnTo>
                                <a:lnTo>
                                  <a:pt x="2084" y="1775"/>
                                </a:lnTo>
                                <a:close/>
                                <a:moveTo>
                                  <a:pt x="2147" y="1775"/>
                                </a:moveTo>
                                <a:lnTo>
                                  <a:pt x="2183" y="1775"/>
                                </a:lnTo>
                                <a:lnTo>
                                  <a:pt x="2183" y="1784"/>
                                </a:lnTo>
                                <a:lnTo>
                                  <a:pt x="2147" y="1784"/>
                                </a:lnTo>
                                <a:lnTo>
                                  <a:pt x="2147" y="1775"/>
                                </a:lnTo>
                                <a:close/>
                                <a:moveTo>
                                  <a:pt x="2210" y="1775"/>
                                </a:moveTo>
                                <a:lnTo>
                                  <a:pt x="2246" y="1775"/>
                                </a:lnTo>
                                <a:lnTo>
                                  <a:pt x="2246" y="1784"/>
                                </a:lnTo>
                                <a:lnTo>
                                  <a:pt x="2210" y="1784"/>
                                </a:lnTo>
                                <a:lnTo>
                                  <a:pt x="2210" y="1775"/>
                                </a:lnTo>
                                <a:close/>
                                <a:moveTo>
                                  <a:pt x="2273" y="1775"/>
                                </a:moveTo>
                                <a:lnTo>
                                  <a:pt x="2309" y="1775"/>
                                </a:lnTo>
                                <a:lnTo>
                                  <a:pt x="2309" y="1784"/>
                                </a:lnTo>
                                <a:lnTo>
                                  <a:pt x="2273" y="1784"/>
                                </a:lnTo>
                                <a:lnTo>
                                  <a:pt x="2273" y="1775"/>
                                </a:lnTo>
                                <a:close/>
                                <a:moveTo>
                                  <a:pt x="2336" y="1775"/>
                                </a:moveTo>
                                <a:lnTo>
                                  <a:pt x="2372" y="1775"/>
                                </a:lnTo>
                                <a:lnTo>
                                  <a:pt x="2372" y="1784"/>
                                </a:lnTo>
                                <a:lnTo>
                                  <a:pt x="2336" y="1784"/>
                                </a:lnTo>
                                <a:lnTo>
                                  <a:pt x="2336" y="1775"/>
                                </a:lnTo>
                                <a:close/>
                                <a:moveTo>
                                  <a:pt x="2399" y="1775"/>
                                </a:moveTo>
                                <a:lnTo>
                                  <a:pt x="2435" y="1775"/>
                                </a:lnTo>
                                <a:lnTo>
                                  <a:pt x="2435" y="1784"/>
                                </a:lnTo>
                                <a:lnTo>
                                  <a:pt x="2399" y="1784"/>
                                </a:lnTo>
                                <a:lnTo>
                                  <a:pt x="2399" y="1775"/>
                                </a:lnTo>
                                <a:close/>
                                <a:moveTo>
                                  <a:pt x="2462" y="1775"/>
                                </a:moveTo>
                                <a:lnTo>
                                  <a:pt x="2498" y="1775"/>
                                </a:lnTo>
                                <a:lnTo>
                                  <a:pt x="2498" y="1784"/>
                                </a:lnTo>
                                <a:lnTo>
                                  <a:pt x="2462" y="1784"/>
                                </a:lnTo>
                                <a:lnTo>
                                  <a:pt x="2462" y="1775"/>
                                </a:lnTo>
                                <a:close/>
                                <a:moveTo>
                                  <a:pt x="2526" y="1775"/>
                                </a:moveTo>
                                <a:lnTo>
                                  <a:pt x="2562" y="1775"/>
                                </a:lnTo>
                                <a:lnTo>
                                  <a:pt x="2562" y="1784"/>
                                </a:lnTo>
                                <a:lnTo>
                                  <a:pt x="2526" y="1784"/>
                                </a:lnTo>
                                <a:lnTo>
                                  <a:pt x="2526" y="1775"/>
                                </a:lnTo>
                                <a:close/>
                                <a:moveTo>
                                  <a:pt x="2589" y="1775"/>
                                </a:moveTo>
                                <a:lnTo>
                                  <a:pt x="2625" y="1775"/>
                                </a:lnTo>
                                <a:lnTo>
                                  <a:pt x="2625" y="1784"/>
                                </a:lnTo>
                                <a:lnTo>
                                  <a:pt x="2589" y="1784"/>
                                </a:lnTo>
                                <a:lnTo>
                                  <a:pt x="2589" y="1775"/>
                                </a:lnTo>
                                <a:close/>
                                <a:moveTo>
                                  <a:pt x="2652" y="1775"/>
                                </a:moveTo>
                                <a:lnTo>
                                  <a:pt x="2688" y="1775"/>
                                </a:lnTo>
                                <a:lnTo>
                                  <a:pt x="2688" y="1784"/>
                                </a:lnTo>
                                <a:lnTo>
                                  <a:pt x="2652" y="1784"/>
                                </a:lnTo>
                                <a:lnTo>
                                  <a:pt x="2652" y="1775"/>
                                </a:lnTo>
                                <a:close/>
                                <a:moveTo>
                                  <a:pt x="2715" y="1775"/>
                                </a:moveTo>
                                <a:lnTo>
                                  <a:pt x="2733" y="1775"/>
                                </a:lnTo>
                                <a:lnTo>
                                  <a:pt x="2733" y="1784"/>
                                </a:lnTo>
                                <a:lnTo>
                                  <a:pt x="2715" y="1784"/>
                                </a:lnTo>
                                <a:lnTo>
                                  <a:pt x="2715" y="1775"/>
                                </a:lnTo>
                                <a:close/>
                                <a:moveTo>
                                  <a:pt x="0" y="1180"/>
                                </a:moveTo>
                                <a:lnTo>
                                  <a:pt x="36" y="1180"/>
                                </a:lnTo>
                                <a:lnTo>
                                  <a:pt x="36" y="1189"/>
                                </a:lnTo>
                                <a:lnTo>
                                  <a:pt x="0" y="1189"/>
                                </a:lnTo>
                                <a:lnTo>
                                  <a:pt x="0" y="1180"/>
                                </a:lnTo>
                                <a:close/>
                                <a:moveTo>
                                  <a:pt x="63" y="1180"/>
                                </a:moveTo>
                                <a:lnTo>
                                  <a:pt x="99" y="1180"/>
                                </a:lnTo>
                                <a:lnTo>
                                  <a:pt x="99" y="1189"/>
                                </a:lnTo>
                                <a:lnTo>
                                  <a:pt x="63" y="1189"/>
                                </a:lnTo>
                                <a:lnTo>
                                  <a:pt x="63" y="1180"/>
                                </a:lnTo>
                                <a:close/>
                                <a:moveTo>
                                  <a:pt x="126" y="1180"/>
                                </a:moveTo>
                                <a:lnTo>
                                  <a:pt x="162" y="1180"/>
                                </a:lnTo>
                                <a:lnTo>
                                  <a:pt x="162" y="1189"/>
                                </a:lnTo>
                                <a:lnTo>
                                  <a:pt x="126" y="1189"/>
                                </a:lnTo>
                                <a:lnTo>
                                  <a:pt x="126" y="1180"/>
                                </a:lnTo>
                                <a:close/>
                                <a:moveTo>
                                  <a:pt x="189" y="1180"/>
                                </a:moveTo>
                                <a:lnTo>
                                  <a:pt x="226" y="1180"/>
                                </a:lnTo>
                                <a:lnTo>
                                  <a:pt x="226" y="1189"/>
                                </a:lnTo>
                                <a:lnTo>
                                  <a:pt x="189" y="1189"/>
                                </a:lnTo>
                                <a:lnTo>
                                  <a:pt x="189" y="1180"/>
                                </a:lnTo>
                                <a:close/>
                                <a:moveTo>
                                  <a:pt x="253" y="1180"/>
                                </a:moveTo>
                                <a:lnTo>
                                  <a:pt x="289" y="1180"/>
                                </a:lnTo>
                                <a:lnTo>
                                  <a:pt x="289" y="1189"/>
                                </a:lnTo>
                                <a:lnTo>
                                  <a:pt x="253" y="1189"/>
                                </a:lnTo>
                                <a:lnTo>
                                  <a:pt x="253" y="1180"/>
                                </a:lnTo>
                                <a:close/>
                                <a:moveTo>
                                  <a:pt x="316" y="1180"/>
                                </a:moveTo>
                                <a:lnTo>
                                  <a:pt x="352" y="1180"/>
                                </a:lnTo>
                                <a:lnTo>
                                  <a:pt x="352" y="1189"/>
                                </a:lnTo>
                                <a:lnTo>
                                  <a:pt x="316" y="1189"/>
                                </a:lnTo>
                                <a:lnTo>
                                  <a:pt x="316" y="1180"/>
                                </a:lnTo>
                                <a:close/>
                                <a:moveTo>
                                  <a:pt x="379" y="1180"/>
                                </a:moveTo>
                                <a:lnTo>
                                  <a:pt x="415" y="1180"/>
                                </a:lnTo>
                                <a:lnTo>
                                  <a:pt x="415" y="1189"/>
                                </a:lnTo>
                                <a:lnTo>
                                  <a:pt x="379" y="1189"/>
                                </a:lnTo>
                                <a:lnTo>
                                  <a:pt x="379" y="1180"/>
                                </a:lnTo>
                                <a:close/>
                                <a:moveTo>
                                  <a:pt x="442" y="1180"/>
                                </a:moveTo>
                                <a:lnTo>
                                  <a:pt x="478" y="1180"/>
                                </a:lnTo>
                                <a:lnTo>
                                  <a:pt x="478" y="1189"/>
                                </a:lnTo>
                                <a:lnTo>
                                  <a:pt x="442" y="1189"/>
                                </a:lnTo>
                                <a:lnTo>
                                  <a:pt x="442" y="1180"/>
                                </a:lnTo>
                                <a:close/>
                                <a:moveTo>
                                  <a:pt x="505" y="1180"/>
                                </a:moveTo>
                                <a:lnTo>
                                  <a:pt x="541" y="1180"/>
                                </a:lnTo>
                                <a:lnTo>
                                  <a:pt x="541" y="1189"/>
                                </a:lnTo>
                                <a:lnTo>
                                  <a:pt x="505" y="1189"/>
                                </a:lnTo>
                                <a:lnTo>
                                  <a:pt x="505" y="1180"/>
                                </a:lnTo>
                                <a:close/>
                                <a:moveTo>
                                  <a:pt x="568" y="1180"/>
                                </a:moveTo>
                                <a:lnTo>
                                  <a:pt x="604" y="1180"/>
                                </a:lnTo>
                                <a:lnTo>
                                  <a:pt x="604" y="1189"/>
                                </a:lnTo>
                                <a:lnTo>
                                  <a:pt x="568" y="1189"/>
                                </a:lnTo>
                                <a:lnTo>
                                  <a:pt x="568" y="1180"/>
                                </a:lnTo>
                                <a:close/>
                                <a:moveTo>
                                  <a:pt x="631" y="1180"/>
                                </a:moveTo>
                                <a:lnTo>
                                  <a:pt x="668" y="1180"/>
                                </a:lnTo>
                                <a:lnTo>
                                  <a:pt x="668" y="1189"/>
                                </a:lnTo>
                                <a:lnTo>
                                  <a:pt x="631" y="1189"/>
                                </a:lnTo>
                                <a:lnTo>
                                  <a:pt x="631" y="1180"/>
                                </a:lnTo>
                                <a:close/>
                                <a:moveTo>
                                  <a:pt x="695" y="1180"/>
                                </a:moveTo>
                                <a:lnTo>
                                  <a:pt x="731" y="1180"/>
                                </a:lnTo>
                                <a:lnTo>
                                  <a:pt x="731" y="1189"/>
                                </a:lnTo>
                                <a:lnTo>
                                  <a:pt x="695" y="1189"/>
                                </a:lnTo>
                                <a:lnTo>
                                  <a:pt x="695" y="1180"/>
                                </a:lnTo>
                                <a:close/>
                                <a:moveTo>
                                  <a:pt x="758" y="1180"/>
                                </a:moveTo>
                                <a:lnTo>
                                  <a:pt x="794" y="1180"/>
                                </a:lnTo>
                                <a:lnTo>
                                  <a:pt x="794" y="1189"/>
                                </a:lnTo>
                                <a:lnTo>
                                  <a:pt x="758" y="1189"/>
                                </a:lnTo>
                                <a:lnTo>
                                  <a:pt x="758" y="1180"/>
                                </a:lnTo>
                                <a:close/>
                                <a:moveTo>
                                  <a:pt x="821" y="1180"/>
                                </a:moveTo>
                                <a:lnTo>
                                  <a:pt x="857" y="1180"/>
                                </a:lnTo>
                                <a:lnTo>
                                  <a:pt x="857" y="1189"/>
                                </a:lnTo>
                                <a:lnTo>
                                  <a:pt x="821" y="1189"/>
                                </a:lnTo>
                                <a:lnTo>
                                  <a:pt x="821" y="1180"/>
                                </a:lnTo>
                                <a:close/>
                                <a:moveTo>
                                  <a:pt x="884" y="1180"/>
                                </a:moveTo>
                                <a:lnTo>
                                  <a:pt x="920" y="1180"/>
                                </a:lnTo>
                                <a:lnTo>
                                  <a:pt x="920" y="1189"/>
                                </a:lnTo>
                                <a:lnTo>
                                  <a:pt x="884" y="1189"/>
                                </a:lnTo>
                                <a:lnTo>
                                  <a:pt x="884" y="1180"/>
                                </a:lnTo>
                                <a:close/>
                                <a:moveTo>
                                  <a:pt x="947" y="1180"/>
                                </a:moveTo>
                                <a:lnTo>
                                  <a:pt x="983" y="1180"/>
                                </a:lnTo>
                                <a:lnTo>
                                  <a:pt x="983" y="1189"/>
                                </a:lnTo>
                                <a:lnTo>
                                  <a:pt x="947" y="1189"/>
                                </a:lnTo>
                                <a:lnTo>
                                  <a:pt x="947" y="1180"/>
                                </a:lnTo>
                                <a:close/>
                                <a:moveTo>
                                  <a:pt x="1010" y="1180"/>
                                </a:moveTo>
                                <a:lnTo>
                                  <a:pt x="1046" y="1180"/>
                                </a:lnTo>
                                <a:lnTo>
                                  <a:pt x="1046" y="1189"/>
                                </a:lnTo>
                                <a:lnTo>
                                  <a:pt x="1010" y="1189"/>
                                </a:lnTo>
                                <a:lnTo>
                                  <a:pt x="1010" y="1180"/>
                                </a:lnTo>
                                <a:close/>
                                <a:moveTo>
                                  <a:pt x="1073" y="1180"/>
                                </a:moveTo>
                                <a:lnTo>
                                  <a:pt x="1109" y="1180"/>
                                </a:lnTo>
                                <a:lnTo>
                                  <a:pt x="1109" y="1189"/>
                                </a:lnTo>
                                <a:lnTo>
                                  <a:pt x="1073" y="1189"/>
                                </a:lnTo>
                                <a:lnTo>
                                  <a:pt x="1073" y="1180"/>
                                </a:lnTo>
                                <a:close/>
                                <a:moveTo>
                                  <a:pt x="1137" y="1180"/>
                                </a:moveTo>
                                <a:lnTo>
                                  <a:pt x="1173" y="1180"/>
                                </a:lnTo>
                                <a:lnTo>
                                  <a:pt x="1173" y="1189"/>
                                </a:lnTo>
                                <a:lnTo>
                                  <a:pt x="1137" y="1189"/>
                                </a:lnTo>
                                <a:lnTo>
                                  <a:pt x="1137" y="1180"/>
                                </a:lnTo>
                                <a:close/>
                                <a:moveTo>
                                  <a:pt x="1200" y="1180"/>
                                </a:moveTo>
                                <a:lnTo>
                                  <a:pt x="1236" y="1180"/>
                                </a:lnTo>
                                <a:lnTo>
                                  <a:pt x="1236" y="1189"/>
                                </a:lnTo>
                                <a:lnTo>
                                  <a:pt x="1200" y="1189"/>
                                </a:lnTo>
                                <a:lnTo>
                                  <a:pt x="1200" y="1180"/>
                                </a:lnTo>
                                <a:close/>
                                <a:moveTo>
                                  <a:pt x="1263" y="1180"/>
                                </a:moveTo>
                                <a:lnTo>
                                  <a:pt x="1299" y="1180"/>
                                </a:lnTo>
                                <a:lnTo>
                                  <a:pt x="1299" y="1189"/>
                                </a:lnTo>
                                <a:lnTo>
                                  <a:pt x="1263" y="1189"/>
                                </a:lnTo>
                                <a:lnTo>
                                  <a:pt x="1263" y="1180"/>
                                </a:lnTo>
                                <a:close/>
                                <a:moveTo>
                                  <a:pt x="1326" y="1180"/>
                                </a:moveTo>
                                <a:lnTo>
                                  <a:pt x="1362" y="1180"/>
                                </a:lnTo>
                                <a:lnTo>
                                  <a:pt x="1362" y="1189"/>
                                </a:lnTo>
                                <a:lnTo>
                                  <a:pt x="1326" y="1189"/>
                                </a:lnTo>
                                <a:lnTo>
                                  <a:pt x="1326" y="1180"/>
                                </a:lnTo>
                                <a:close/>
                                <a:moveTo>
                                  <a:pt x="1389" y="1180"/>
                                </a:moveTo>
                                <a:lnTo>
                                  <a:pt x="1425" y="1180"/>
                                </a:lnTo>
                                <a:lnTo>
                                  <a:pt x="1425" y="1189"/>
                                </a:lnTo>
                                <a:lnTo>
                                  <a:pt x="1389" y="1189"/>
                                </a:lnTo>
                                <a:lnTo>
                                  <a:pt x="1389" y="1180"/>
                                </a:lnTo>
                                <a:close/>
                                <a:moveTo>
                                  <a:pt x="1452" y="1180"/>
                                </a:moveTo>
                                <a:lnTo>
                                  <a:pt x="1488" y="1180"/>
                                </a:lnTo>
                                <a:lnTo>
                                  <a:pt x="1488" y="1189"/>
                                </a:lnTo>
                                <a:lnTo>
                                  <a:pt x="1452" y="1189"/>
                                </a:lnTo>
                                <a:lnTo>
                                  <a:pt x="1452" y="1180"/>
                                </a:lnTo>
                                <a:close/>
                                <a:moveTo>
                                  <a:pt x="1515" y="1180"/>
                                </a:moveTo>
                                <a:lnTo>
                                  <a:pt x="1551" y="1180"/>
                                </a:lnTo>
                                <a:lnTo>
                                  <a:pt x="1551" y="1189"/>
                                </a:lnTo>
                                <a:lnTo>
                                  <a:pt x="1515" y="1189"/>
                                </a:lnTo>
                                <a:lnTo>
                                  <a:pt x="1515" y="1180"/>
                                </a:lnTo>
                                <a:close/>
                                <a:moveTo>
                                  <a:pt x="1578" y="1180"/>
                                </a:moveTo>
                                <a:lnTo>
                                  <a:pt x="1615" y="1180"/>
                                </a:lnTo>
                                <a:lnTo>
                                  <a:pt x="1615" y="1189"/>
                                </a:lnTo>
                                <a:lnTo>
                                  <a:pt x="1578" y="1189"/>
                                </a:lnTo>
                                <a:lnTo>
                                  <a:pt x="1578" y="1180"/>
                                </a:lnTo>
                                <a:close/>
                                <a:moveTo>
                                  <a:pt x="1642" y="1180"/>
                                </a:moveTo>
                                <a:lnTo>
                                  <a:pt x="1678" y="1180"/>
                                </a:lnTo>
                                <a:lnTo>
                                  <a:pt x="1678" y="1189"/>
                                </a:lnTo>
                                <a:lnTo>
                                  <a:pt x="1642" y="1189"/>
                                </a:lnTo>
                                <a:lnTo>
                                  <a:pt x="1642" y="1180"/>
                                </a:lnTo>
                                <a:close/>
                                <a:moveTo>
                                  <a:pt x="1705" y="1180"/>
                                </a:moveTo>
                                <a:lnTo>
                                  <a:pt x="1741" y="1180"/>
                                </a:lnTo>
                                <a:lnTo>
                                  <a:pt x="1741" y="1189"/>
                                </a:lnTo>
                                <a:lnTo>
                                  <a:pt x="1705" y="1189"/>
                                </a:lnTo>
                                <a:lnTo>
                                  <a:pt x="1705" y="1180"/>
                                </a:lnTo>
                                <a:close/>
                                <a:moveTo>
                                  <a:pt x="1768" y="1180"/>
                                </a:moveTo>
                                <a:lnTo>
                                  <a:pt x="1804" y="1180"/>
                                </a:lnTo>
                                <a:lnTo>
                                  <a:pt x="1804" y="1189"/>
                                </a:lnTo>
                                <a:lnTo>
                                  <a:pt x="1768" y="1189"/>
                                </a:lnTo>
                                <a:lnTo>
                                  <a:pt x="1768" y="1180"/>
                                </a:lnTo>
                                <a:close/>
                                <a:moveTo>
                                  <a:pt x="1831" y="1180"/>
                                </a:moveTo>
                                <a:lnTo>
                                  <a:pt x="1867" y="1180"/>
                                </a:lnTo>
                                <a:lnTo>
                                  <a:pt x="1867" y="1189"/>
                                </a:lnTo>
                                <a:lnTo>
                                  <a:pt x="1831" y="1189"/>
                                </a:lnTo>
                                <a:lnTo>
                                  <a:pt x="1831" y="1180"/>
                                </a:lnTo>
                                <a:close/>
                                <a:moveTo>
                                  <a:pt x="1894" y="1180"/>
                                </a:moveTo>
                                <a:lnTo>
                                  <a:pt x="1930" y="1180"/>
                                </a:lnTo>
                                <a:lnTo>
                                  <a:pt x="1930" y="1189"/>
                                </a:lnTo>
                                <a:lnTo>
                                  <a:pt x="1894" y="1189"/>
                                </a:lnTo>
                                <a:lnTo>
                                  <a:pt x="1894" y="1180"/>
                                </a:lnTo>
                                <a:close/>
                                <a:moveTo>
                                  <a:pt x="1957" y="1180"/>
                                </a:moveTo>
                                <a:lnTo>
                                  <a:pt x="1993" y="1180"/>
                                </a:lnTo>
                                <a:lnTo>
                                  <a:pt x="1993" y="1189"/>
                                </a:lnTo>
                                <a:lnTo>
                                  <a:pt x="1957" y="1189"/>
                                </a:lnTo>
                                <a:lnTo>
                                  <a:pt x="1957" y="1180"/>
                                </a:lnTo>
                                <a:close/>
                                <a:moveTo>
                                  <a:pt x="2020" y="1180"/>
                                </a:moveTo>
                                <a:lnTo>
                                  <a:pt x="2057" y="1180"/>
                                </a:lnTo>
                                <a:lnTo>
                                  <a:pt x="2057" y="1189"/>
                                </a:lnTo>
                                <a:lnTo>
                                  <a:pt x="2020" y="1189"/>
                                </a:lnTo>
                                <a:lnTo>
                                  <a:pt x="2020" y="1180"/>
                                </a:lnTo>
                                <a:close/>
                                <a:moveTo>
                                  <a:pt x="2084" y="1180"/>
                                </a:moveTo>
                                <a:lnTo>
                                  <a:pt x="2120" y="1180"/>
                                </a:lnTo>
                                <a:lnTo>
                                  <a:pt x="2120" y="1189"/>
                                </a:lnTo>
                                <a:lnTo>
                                  <a:pt x="2084" y="1189"/>
                                </a:lnTo>
                                <a:lnTo>
                                  <a:pt x="2084" y="1180"/>
                                </a:lnTo>
                                <a:close/>
                                <a:moveTo>
                                  <a:pt x="2147" y="1180"/>
                                </a:moveTo>
                                <a:lnTo>
                                  <a:pt x="2183" y="1180"/>
                                </a:lnTo>
                                <a:lnTo>
                                  <a:pt x="2183" y="1189"/>
                                </a:lnTo>
                                <a:lnTo>
                                  <a:pt x="2147" y="1189"/>
                                </a:lnTo>
                                <a:lnTo>
                                  <a:pt x="2147" y="1180"/>
                                </a:lnTo>
                                <a:close/>
                                <a:moveTo>
                                  <a:pt x="2210" y="1180"/>
                                </a:moveTo>
                                <a:lnTo>
                                  <a:pt x="2246" y="1180"/>
                                </a:lnTo>
                                <a:lnTo>
                                  <a:pt x="2246" y="1189"/>
                                </a:lnTo>
                                <a:lnTo>
                                  <a:pt x="2210" y="1189"/>
                                </a:lnTo>
                                <a:lnTo>
                                  <a:pt x="2210" y="1180"/>
                                </a:lnTo>
                                <a:close/>
                                <a:moveTo>
                                  <a:pt x="2273" y="1180"/>
                                </a:moveTo>
                                <a:lnTo>
                                  <a:pt x="2309" y="1180"/>
                                </a:lnTo>
                                <a:lnTo>
                                  <a:pt x="2309" y="1189"/>
                                </a:lnTo>
                                <a:lnTo>
                                  <a:pt x="2273" y="1189"/>
                                </a:lnTo>
                                <a:lnTo>
                                  <a:pt x="2273" y="1180"/>
                                </a:lnTo>
                                <a:close/>
                                <a:moveTo>
                                  <a:pt x="2336" y="1180"/>
                                </a:moveTo>
                                <a:lnTo>
                                  <a:pt x="2372" y="1180"/>
                                </a:lnTo>
                                <a:lnTo>
                                  <a:pt x="2372" y="1189"/>
                                </a:lnTo>
                                <a:lnTo>
                                  <a:pt x="2336" y="1189"/>
                                </a:lnTo>
                                <a:lnTo>
                                  <a:pt x="2336" y="1180"/>
                                </a:lnTo>
                                <a:close/>
                                <a:moveTo>
                                  <a:pt x="2399" y="1180"/>
                                </a:moveTo>
                                <a:lnTo>
                                  <a:pt x="2435" y="1180"/>
                                </a:lnTo>
                                <a:lnTo>
                                  <a:pt x="2435" y="1189"/>
                                </a:lnTo>
                                <a:lnTo>
                                  <a:pt x="2399" y="1189"/>
                                </a:lnTo>
                                <a:lnTo>
                                  <a:pt x="2399" y="1180"/>
                                </a:lnTo>
                                <a:close/>
                                <a:moveTo>
                                  <a:pt x="2462" y="1180"/>
                                </a:moveTo>
                                <a:lnTo>
                                  <a:pt x="2498" y="1180"/>
                                </a:lnTo>
                                <a:lnTo>
                                  <a:pt x="2498" y="1189"/>
                                </a:lnTo>
                                <a:lnTo>
                                  <a:pt x="2462" y="1189"/>
                                </a:lnTo>
                                <a:lnTo>
                                  <a:pt x="2462" y="1180"/>
                                </a:lnTo>
                                <a:close/>
                                <a:moveTo>
                                  <a:pt x="2526" y="1180"/>
                                </a:moveTo>
                                <a:lnTo>
                                  <a:pt x="2562" y="1180"/>
                                </a:lnTo>
                                <a:lnTo>
                                  <a:pt x="2562" y="1189"/>
                                </a:lnTo>
                                <a:lnTo>
                                  <a:pt x="2526" y="1189"/>
                                </a:lnTo>
                                <a:lnTo>
                                  <a:pt x="2526" y="1180"/>
                                </a:lnTo>
                                <a:close/>
                                <a:moveTo>
                                  <a:pt x="2589" y="1180"/>
                                </a:moveTo>
                                <a:lnTo>
                                  <a:pt x="2625" y="1180"/>
                                </a:lnTo>
                                <a:lnTo>
                                  <a:pt x="2625" y="1189"/>
                                </a:lnTo>
                                <a:lnTo>
                                  <a:pt x="2589" y="1189"/>
                                </a:lnTo>
                                <a:lnTo>
                                  <a:pt x="2589" y="1180"/>
                                </a:lnTo>
                                <a:close/>
                                <a:moveTo>
                                  <a:pt x="2652" y="1180"/>
                                </a:moveTo>
                                <a:lnTo>
                                  <a:pt x="2688" y="1180"/>
                                </a:lnTo>
                                <a:lnTo>
                                  <a:pt x="2688" y="1189"/>
                                </a:lnTo>
                                <a:lnTo>
                                  <a:pt x="2652" y="1189"/>
                                </a:lnTo>
                                <a:lnTo>
                                  <a:pt x="2652" y="1180"/>
                                </a:lnTo>
                                <a:close/>
                                <a:moveTo>
                                  <a:pt x="2715" y="1180"/>
                                </a:moveTo>
                                <a:lnTo>
                                  <a:pt x="2733" y="1180"/>
                                </a:lnTo>
                                <a:lnTo>
                                  <a:pt x="2733" y="1189"/>
                                </a:lnTo>
                                <a:lnTo>
                                  <a:pt x="2715" y="1189"/>
                                </a:lnTo>
                                <a:lnTo>
                                  <a:pt x="2715" y="1180"/>
                                </a:lnTo>
                                <a:close/>
                                <a:moveTo>
                                  <a:pt x="0" y="595"/>
                                </a:moveTo>
                                <a:lnTo>
                                  <a:pt x="36" y="595"/>
                                </a:lnTo>
                                <a:lnTo>
                                  <a:pt x="36" y="604"/>
                                </a:lnTo>
                                <a:lnTo>
                                  <a:pt x="0" y="604"/>
                                </a:lnTo>
                                <a:lnTo>
                                  <a:pt x="0" y="595"/>
                                </a:lnTo>
                                <a:close/>
                                <a:moveTo>
                                  <a:pt x="63" y="595"/>
                                </a:moveTo>
                                <a:lnTo>
                                  <a:pt x="99" y="595"/>
                                </a:lnTo>
                                <a:lnTo>
                                  <a:pt x="99" y="604"/>
                                </a:lnTo>
                                <a:lnTo>
                                  <a:pt x="63" y="604"/>
                                </a:lnTo>
                                <a:lnTo>
                                  <a:pt x="63" y="595"/>
                                </a:lnTo>
                                <a:close/>
                                <a:moveTo>
                                  <a:pt x="126" y="595"/>
                                </a:moveTo>
                                <a:lnTo>
                                  <a:pt x="162" y="595"/>
                                </a:lnTo>
                                <a:lnTo>
                                  <a:pt x="162" y="604"/>
                                </a:lnTo>
                                <a:lnTo>
                                  <a:pt x="126" y="604"/>
                                </a:lnTo>
                                <a:lnTo>
                                  <a:pt x="126" y="595"/>
                                </a:lnTo>
                                <a:close/>
                                <a:moveTo>
                                  <a:pt x="189" y="595"/>
                                </a:moveTo>
                                <a:lnTo>
                                  <a:pt x="226" y="595"/>
                                </a:lnTo>
                                <a:lnTo>
                                  <a:pt x="226" y="604"/>
                                </a:lnTo>
                                <a:lnTo>
                                  <a:pt x="189" y="604"/>
                                </a:lnTo>
                                <a:lnTo>
                                  <a:pt x="189" y="595"/>
                                </a:lnTo>
                                <a:close/>
                                <a:moveTo>
                                  <a:pt x="253" y="595"/>
                                </a:moveTo>
                                <a:lnTo>
                                  <a:pt x="289" y="595"/>
                                </a:lnTo>
                                <a:lnTo>
                                  <a:pt x="289" y="604"/>
                                </a:lnTo>
                                <a:lnTo>
                                  <a:pt x="253" y="604"/>
                                </a:lnTo>
                                <a:lnTo>
                                  <a:pt x="253" y="595"/>
                                </a:lnTo>
                                <a:close/>
                                <a:moveTo>
                                  <a:pt x="316" y="595"/>
                                </a:moveTo>
                                <a:lnTo>
                                  <a:pt x="352" y="595"/>
                                </a:lnTo>
                                <a:lnTo>
                                  <a:pt x="352" y="604"/>
                                </a:lnTo>
                                <a:lnTo>
                                  <a:pt x="316" y="604"/>
                                </a:lnTo>
                                <a:lnTo>
                                  <a:pt x="316" y="595"/>
                                </a:lnTo>
                                <a:close/>
                                <a:moveTo>
                                  <a:pt x="379" y="595"/>
                                </a:moveTo>
                                <a:lnTo>
                                  <a:pt x="415" y="595"/>
                                </a:lnTo>
                                <a:lnTo>
                                  <a:pt x="415" y="604"/>
                                </a:lnTo>
                                <a:lnTo>
                                  <a:pt x="379" y="604"/>
                                </a:lnTo>
                                <a:lnTo>
                                  <a:pt x="379" y="595"/>
                                </a:lnTo>
                                <a:close/>
                                <a:moveTo>
                                  <a:pt x="442" y="595"/>
                                </a:moveTo>
                                <a:lnTo>
                                  <a:pt x="478" y="595"/>
                                </a:lnTo>
                                <a:lnTo>
                                  <a:pt x="478" y="604"/>
                                </a:lnTo>
                                <a:lnTo>
                                  <a:pt x="442" y="604"/>
                                </a:lnTo>
                                <a:lnTo>
                                  <a:pt x="442" y="595"/>
                                </a:lnTo>
                                <a:close/>
                                <a:moveTo>
                                  <a:pt x="505" y="595"/>
                                </a:moveTo>
                                <a:lnTo>
                                  <a:pt x="541" y="595"/>
                                </a:lnTo>
                                <a:lnTo>
                                  <a:pt x="541" y="604"/>
                                </a:lnTo>
                                <a:lnTo>
                                  <a:pt x="505" y="604"/>
                                </a:lnTo>
                                <a:lnTo>
                                  <a:pt x="505" y="595"/>
                                </a:lnTo>
                                <a:close/>
                                <a:moveTo>
                                  <a:pt x="568" y="595"/>
                                </a:moveTo>
                                <a:lnTo>
                                  <a:pt x="604" y="595"/>
                                </a:lnTo>
                                <a:lnTo>
                                  <a:pt x="604" y="604"/>
                                </a:lnTo>
                                <a:lnTo>
                                  <a:pt x="568" y="604"/>
                                </a:lnTo>
                                <a:lnTo>
                                  <a:pt x="568" y="595"/>
                                </a:lnTo>
                                <a:close/>
                                <a:moveTo>
                                  <a:pt x="631" y="595"/>
                                </a:moveTo>
                                <a:lnTo>
                                  <a:pt x="668" y="595"/>
                                </a:lnTo>
                                <a:lnTo>
                                  <a:pt x="668" y="604"/>
                                </a:lnTo>
                                <a:lnTo>
                                  <a:pt x="631" y="604"/>
                                </a:lnTo>
                                <a:lnTo>
                                  <a:pt x="631" y="595"/>
                                </a:lnTo>
                                <a:close/>
                                <a:moveTo>
                                  <a:pt x="695" y="595"/>
                                </a:moveTo>
                                <a:lnTo>
                                  <a:pt x="731" y="595"/>
                                </a:lnTo>
                                <a:lnTo>
                                  <a:pt x="731" y="604"/>
                                </a:lnTo>
                                <a:lnTo>
                                  <a:pt x="695" y="604"/>
                                </a:lnTo>
                                <a:lnTo>
                                  <a:pt x="695" y="595"/>
                                </a:lnTo>
                                <a:close/>
                                <a:moveTo>
                                  <a:pt x="758" y="595"/>
                                </a:moveTo>
                                <a:lnTo>
                                  <a:pt x="794" y="595"/>
                                </a:lnTo>
                                <a:lnTo>
                                  <a:pt x="794" y="604"/>
                                </a:lnTo>
                                <a:lnTo>
                                  <a:pt x="758" y="604"/>
                                </a:lnTo>
                                <a:lnTo>
                                  <a:pt x="758" y="595"/>
                                </a:lnTo>
                                <a:close/>
                                <a:moveTo>
                                  <a:pt x="821" y="595"/>
                                </a:moveTo>
                                <a:lnTo>
                                  <a:pt x="857" y="595"/>
                                </a:lnTo>
                                <a:lnTo>
                                  <a:pt x="857" y="604"/>
                                </a:lnTo>
                                <a:lnTo>
                                  <a:pt x="821" y="604"/>
                                </a:lnTo>
                                <a:lnTo>
                                  <a:pt x="821" y="595"/>
                                </a:lnTo>
                                <a:close/>
                                <a:moveTo>
                                  <a:pt x="884" y="595"/>
                                </a:moveTo>
                                <a:lnTo>
                                  <a:pt x="920" y="595"/>
                                </a:lnTo>
                                <a:lnTo>
                                  <a:pt x="920" y="604"/>
                                </a:lnTo>
                                <a:lnTo>
                                  <a:pt x="884" y="604"/>
                                </a:lnTo>
                                <a:lnTo>
                                  <a:pt x="884" y="595"/>
                                </a:lnTo>
                                <a:close/>
                                <a:moveTo>
                                  <a:pt x="947" y="595"/>
                                </a:moveTo>
                                <a:lnTo>
                                  <a:pt x="983" y="595"/>
                                </a:lnTo>
                                <a:lnTo>
                                  <a:pt x="983" y="604"/>
                                </a:lnTo>
                                <a:lnTo>
                                  <a:pt x="947" y="604"/>
                                </a:lnTo>
                                <a:lnTo>
                                  <a:pt x="947" y="595"/>
                                </a:lnTo>
                                <a:close/>
                                <a:moveTo>
                                  <a:pt x="1010" y="595"/>
                                </a:moveTo>
                                <a:lnTo>
                                  <a:pt x="1046" y="595"/>
                                </a:lnTo>
                                <a:lnTo>
                                  <a:pt x="1046" y="604"/>
                                </a:lnTo>
                                <a:lnTo>
                                  <a:pt x="1010" y="604"/>
                                </a:lnTo>
                                <a:lnTo>
                                  <a:pt x="1010" y="595"/>
                                </a:lnTo>
                                <a:close/>
                                <a:moveTo>
                                  <a:pt x="1073" y="595"/>
                                </a:moveTo>
                                <a:lnTo>
                                  <a:pt x="1109" y="595"/>
                                </a:lnTo>
                                <a:lnTo>
                                  <a:pt x="1109" y="604"/>
                                </a:lnTo>
                                <a:lnTo>
                                  <a:pt x="1073" y="604"/>
                                </a:lnTo>
                                <a:lnTo>
                                  <a:pt x="1073" y="595"/>
                                </a:lnTo>
                                <a:close/>
                                <a:moveTo>
                                  <a:pt x="1137" y="595"/>
                                </a:moveTo>
                                <a:lnTo>
                                  <a:pt x="1173" y="595"/>
                                </a:lnTo>
                                <a:lnTo>
                                  <a:pt x="1173" y="604"/>
                                </a:lnTo>
                                <a:lnTo>
                                  <a:pt x="1137" y="604"/>
                                </a:lnTo>
                                <a:lnTo>
                                  <a:pt x="1137" y="595"/>
                                </a:lnTo>
                                <a:close/>
                                <a:moveTo>
                                  <a:pt x="1200" y="595"/>
                                </a:moveTo>
                                <a:lnTo>
                                  <a:pt x="1236" y="595"/>
                                </a:lnTo>
                                <a:lnTo>
                                  <a:pt x="1236" y="604"/>
                                </a:lnTo>
                                <a:lnTo>
                                  <a:pt x="1200" y="604"/>
                                </a:lnTo>
                                <a:lnTo>
                                  <a:pt x="1200" y="595"/>
                                </a:lnTo>
                                <a:close/>
                                <a:moveTo>
                                  <a:pt x="1263" y="595"/>
                                </a:moveTo>
                                <a:lnTo>
                                  <a:pt x="1299" y="595"/>
                                </a:lnTo>
                                <a:lnTo>
                                  <a:pt x="1299" y="604"/>
                                </a:lnTo>
                                <a:lnTo>
                                  <a:pt x="1263" y="604"/>
                                </a:lnTo>
                                <a:lnTo>
                                  <a:pt x="1263" y="595"/>
                                </a:lnTo>
                                <a:close/>
                                <a:moveTo>
                                  <a:pt x="1326" y="595"/>
                                </a:moveTo>
                                <a:lnTo>
                                  <a:pt x="1362" y="595"/>
                                </a:lnTo>
                                <a:lnTo>
                                  <a:pt x="1362" y="604"/>
                                </a:lnTo>
                                <a:lnTo>
                                  <a:pt x="1326" y="604"/>
                                </a:lnTo>
                                <a:lnTo>
                                  <a:pt x="1326" y="595"/>
                                </a:lnTo>
                                <a:close/>
                                <a:moveTo>
                                  <a:pt x="1389" y="595"/>
                                </a:moveTo>
                                <a:lnTo>
                                  <a:pt x="1425" y="595"/>
                                </a:lnTo>
                                <a:lnTo>
                                  <a:pt x="1425" y="604"/>
                                </a:lnTo>
                                <a:lnTo>
                                  <a:pt x="1389" y="604"/>
                                </a:lnTo>
                                <a:lnTo>
                                  <a:pt x="1389" y="595"/>
                                </a:lnTo>
                                <a:close/>
                                <a:moveTo>
                                  <a:pt x="1452" y="595"/>
                                </a:moveTo>
                                <a:lnTo>
                                  <a:pt x="1488" y="595"/>
                                </a:lnTo>
                                <a:lnTo>
                                  <a:pt x="1488" y="604"/>
                                </a:lnTo>
                                <a:lnTo>
                                  <a:pt x="1452" y="604"/>
                                </a:lnTo>
                                <a:lnTo>
                                  <a:pt x="1452" y="595"/>
                                </a:lnTo>
                                <a:close/>
                                <a:moveTo>
                                  <a:pt x="1515" y="595"/>
                                </a:moveTo>
                                <a:lnTo>
                                  <a:pt x="1551" y="595"/>
                                </a:lnTo>
                                <a:lnTo>
                                  <a:pt x="1551" y="604"/>
                                </a:lnTo>
                                <a:lnTo>
                                  <a:pt x="1515" y="604"/>
                                </a:lnTo>
                                <a:lnTo>
                                  <a:pt x="1515" y="595"/>
                                </a:lnTo>
                                <a:close/>
                                <a:moveTo>
                                  <a:pt x="1578" y="595"/>
                                </a:moveTo>
                                <a:lnTo>
                                  <a:pt x="1615" y="595"/>
                                </a:lnTo>
                                <a:lnTo>
                                  <a:pt x="1615" y="604"/>
                                </a:lnTo>
                                <a:lnTo>
                                  <a:pt x="1578" y="604"/>
                                </a:lnTo>
                                <a:lnTo>
                                  <a:pt x="1578" y="595"/>
                                </a:lnTo>
                                <a:close/>
                                <a:moveTo>
                                  <a:pt x="1642" y="595"/>
                                </a:moveTo>
                                <a:lnTo>
                                  <a:pt x="1678" y="595"/>
                                </a:lnTo>
                                <a:lnTo>
                                  <a:pt x="1678" y="604"/>
                                </a:lnTo>
                                <a:lnTo>
                                  <a:pt x="1642" y="604"/>
                                </a:lnTo>
                                <a:lnTo>
                                  <a:pt x="1642" y="595"/>
                                </a:lnTo>
                                <a:close/>
                                <a:moveTo>
                                  <a:pt x="1705" y="595"/>
                                </a:moveTo>
                                <a:lnTo>
                                  <a:pt x="1741" y="595"/>
                                </a:lnTo>
                                <a:lnTo>
                                  <a:pt x="1741" y="604"/>
                                </a:lnTo>
                                <a:lnTo>
                                  <a:pt x="1705" y="604"/>
                                </a:lnTo>
                                <a:lnTo>
                                  <a:pt x="1705" y="595"/>
                                </a:lnTo>
                                <a:close/>
                                <a:moveTo>
                                  <a:pt x="1768" y="595"/>
                                </a:moveTo>
                                <a:lnTo>
                                  <a:pt x="1804" y="595"/>
                                </a:lnTo>
                                <a:lnTo>
                                  <a:pt x="1804" y="604"/>
                                </a:lnTo>
                                <a:lnTo>
                                  <a:pt x="1768" y="604"/>
                                </a:lnTo>
                                <a:lnTo>
                                  <a:pt x="1768" y="595"/>
                                </a:lnTo>
                                <a:close/>
                                <a:moveTo>
                                  <a:pt x="1831" y="595"/>
                                </a:moveTo>
                                <a:lnTo>
                                  <a:pt x="1867" y="595"/>
                                </a:lnTo>
                                <a:lnTo>
                                  <a:pt x="1867" y="604"/>
                                </a:lnTo>
                                <a:lnTo>
                                  <a:pt x="1831" y="604"/>
                                </a:lnTo>
                                <a:lnTo>
                                  <a:pt x="1831" y="595"/>
                                </a:lnTo>
                                <a:close/>
                                <a:moveTo>
                                  <a:pt x="1894" y="595"/>
                                </a:moveTo>
                                <a:lnTo>
                                  <a:pt x="1930" y="595"/>
                                </a:lnTo>
                                <a:lnTo>
                                  <a:pt x="1930" y="604"/>
                                </a:lnTo>
                                <a:lnTo>
                                  <a:pt x="1894" y="604"/>
                                </a:lnTo>
                                <a:lnTo>
                                  <a:pt x="1894" y="595"/>
                                </a:lnTo>
                                <a:close/>
                                <a:moveTo>
                                  <a:pt x="1957" y="595"/>
                                </a:moveTo>
                                <a:lnTo>
                                  <a:pt x="1993" y="595"/>
                                </a:lnTo>
                                <a:lnTo>
                                  <a:pt x="1993" y="604"/>
                                </a:lnTo>
                                <a:lnTo>
                                  <a:pt x="1957" y="604"/>
                                </a:lnTo>
                                <a:lnTo>
                                  <a:pt x="1957" y="595"/>
                                </a:lnTo>
                                <a:close/>
                                <a:moveTo>
                                  <a:pt x="2020" y="595"/>
                                </a:moveTo>
                                <a:lnTo>
                                  <a:pt x="2057" y="595"/>
                                </a:lnTo>
                                <a:lnTo>
                                  <a:pt x="2057" y="604"/>
                                </a:lnTo>
                                <a:lnTo>
                                  <a:pt x="2020" y="604"/>
                                </a:lnTo>
                                <a:lnTo>
                                  <a:pt x="2020" y="595"/>
                                </a:lnTo>
                                <a:close/>
                                <a:moveTo>
                                  <a:pt x="2084" y="595"/>
                                </a:moveTo>
                                <a:lnTo>
                                  <a:pt x="2120" y="595"/>
                                </a:lnTo>
                                <a:lnTo>
                                  <a:pt x="2120" y="604"/>
                                </a:lnTo>
                                <a:lnTo>
                                  <a:pt x="2084" y="604"/>
                                </a:lnTo>
                                <a:lnTo>
                                  <a:pt x="2084" y="595"/>
                                </a:lnTo>
                                <a:close/>
                                <a:moveTo>
                                  <a:pt x="2147" y="595"/>
                                </a:moveTo>
                                <a:lnTo>
                                  <a:pt x="2183" y="595"/>
                                </a:lnTo>
                                <a:lnTo>
                                  <a:pt x="2183" y="604"/>
                                </a:lnTo>
                                <a:lnTo>
                                  <a:pt x="2147" y="604"/>
                                </a:lnTo>
                                <a:lnTo>
                                  <a:pt x="2147" y="595"/>
                                </a:lnTo>
                                <a:close/>
                                <a:moveTo>
                                  <a:pt x="2210" y="595"/>
                                </a:moveTo>
                                <a:lnTo>
                                  <a:pt x="2246" y="595"/>
                                </a:lnTo>
                                <a:lnTo>
                                  <a:pt x="2246" y="604"/>
                                </a:lnTo>
                                <a:lnTo>
                                  <a:pt x="2210" y="604"/>
                                </a:lnTo>
                                <a:lnTo>
                                  <a:pt x="2210" y="595"/>
                                </a:lnTo>
                                <a:close/>
                                <a:moveTo>
                                  <a:pt x="2273" y="595"/>
                                </a:moveTo>
                                <a:lnTo>
                                  <a:pt x="2309" y="595"/>
                                </a:lnTo>
                                <a:lnTo>
                                  <a:pt x="2309" y="604"/>
                                </a:lnTo>
                                <a:lnTo>
                                  <a:pt x="2273" y="604"/>
                                </a:lnTo>
                                <a:lnTo>
                                  <a:pt x="2273" y="595"/>
                                </a:lnTo>
                                <a:close/>
                                <a:moveTo>
                                  <a:pt x="2336" y="595"/>
                                </a:moveTo>
                                <a:lnTo>
                                  <a:pt x="2372" y="595"/>
                                </a:lnTo>
                                <a:lnTo>
                                  <a:pt x="2372" y="604"/>
                                </a:lnTo>
                                <a:lnTo>
                                  <a:pt x="2336" y="604"/>
                                </a:lnTo>
                                <a:lnTo>
                                  <a:pt x="2336" y="595"/>
                                </a:lnTo>
                                <a:close/>
                                <a:moveTo>
                                  <a:pt x="2399" y="595"/>
                                </a:moveTo>
                                <a:lnTo>
                                  <a:pt x="2435" y="595"/>
                                </a:lnTo>
                                <a:lnTo>
                                  <a:pt x="2435" y="604"/>
                                </a:lnTo>
                                <a:lnTo>
                                  <a:pt x="2399" y="604"/>
                                </a:lnTo>
                                <a:lnTo>
                                  <a:pt x="2399" y="595"/>
                                </a:lnTo>
                                <a:close/>
                                <a:moveTo>
                                  <a:pt x="2462" y="595"/>
                                </a:moveTo>
                                <a:lnTo>
                                  <a:pt x="2498" y="595"/>
                                </a:lnTo>
                                <a:lnTo>
                                  <a:pt x="2498" y="604"/>
                                </a:lnTo>
                                <a:lnTo>
                                  <a:pt x="2462" y="604"/>
                                </a:lnTo>
                                <a:lnTo>
                                  <a:pt x="2462" y="595"/>
                                </a:lnTo>
                                <a:close/>
                                <a:moveTo>
                                  <a:pt x="2526" y="595"/>
                                </a:moveTo>
                                <a:lnTo>
                                  <a:pt x="2562" y="595"/>
                                </a:lnTo>
                                <a:lnTo>
                                  <a:pt x="2562" y="604"/>
                                </a:lnTo>
                                <a:lnTo>
                                  <a:pt x="2526" y="604"/>
                                </a:lnTo>
                                <a:lnTo>
                                  <a:pt x="2526" y="595"/>
                                </a:lnTo>
                                <a:close/>
                                <a:moveTo>
                                  <a:pt x="2589" y="595"/>
                                </a:moveTo>
                                <a:lnTo>
                                  <a:pt x="2625" y="595"/>
                                </a:lnTo>
                                <a:lnTo>
                                  <a:pt x="2625" y="604"/>
                                </a:lnTo>
                                <a:lnTo>
                                  <a:pt x="2589" y="604"/>
                                </a:lnTo>
                                <a:lnTo>
                                  <a:pt x="2589" y="595"/>
                                </a:lnTo>
                                <a:close/>
                                <a:moveTo>
                                  <a:pt x="2652" y="595"/>
                                </a:moveTo>
                                <a:lnTo>
                                  <a:pt x="2688" y="595"/>
                                </a:lnTo>
                                <a:lnTo>
                                  <a:pt x="2688" y="604"/>
                                </a:lnTo>
                                <a:lnTo>
                                  <a:pt x="2652" y="604"/>
                                </a:lnTo>
                                <a:lnTo>
                                  <a:pt x="2652" y="595"/>
                                </a:lnTo>
                                <a:close/>
                                <a:moveTo>
                                  <a:pt x="2715" y="595"/>
                                </a:moveTo>
                                <a:lnTo>
                                  <a:pt x="2733" y="595"/>
                                </a:lnTo>
                                <a:lnTo>
                                  <a:pt x="2733" y="604"/>
                                </a:lnTo>
                                <a:lnTo>
                                  <a:pt x="2715" y="604"/>
                                </a:lnTo>
                                <a:lnTo>
                                  <a:pt x="2715" y="595"/>
                                </a:lnTo>
                                <a:close/>
                                <a:moveTo>
                                  <a:pt x="0" y="0"/>
                                </a:moveTo>
                                <a:lnTo>
                                  <a:pt x="36" y="0"/>
                                </a:lnTo>
                                <a:lnTo>
                                  <a:pt x="36" y="9"/>
                                </a:lnTo>
                                <a:lnTo>
                                  <a:pt x="0" y="9"/>
                                </a:lnTo>
                                <a:lnTo>
                                  <a:pt x="0" y="0"/>
                                </a:lnTo>
                                <a:close/>
                                <a:moveTo>
                                  <a:pt x="63" y="0"/>
                                </a:moveTo>
                                <a:lnTo>
                                  <a:pt x="99" y="0"/>
                                </a:lnTo>
                                <a:lnTo>
                                  <a:pt x="99" y="9"/>
                                </a:lnTo>
                                <a:lnTo>
                                  <a:pt x="63" y="9"/>
                                </a:lnTo>
                                <a:lnTo>
                                  <a:pt x="63" y="0"/>
                                </a:lnTo>
                                <a:close/>
                                <a:moveTo>
                                  <a:pt x="126" y="0"/>
                                </a:moveTo>
                                <a:lnTo>
                                  <a:pt x="162" y="0"/>
                                </a:lnTo>
                                <a:lnTo>
                                  <a:pt x="162" y="9"/>
                                </a:lnTo>
                                <a:lnTo>
                                  <a:pt x="126" y="9"/>
                                </a:lnTo>
                                <a:lnTo>
                                  <a:pt x="126" y="0"/>
                                </a:lnTo>
                                <a:close/>
                                <a:moveTo>
                                  <a:pt x="189" y="0"/>
                                </a:moveTo>
                                <a:lnTo>
                                  <a:pt x="226" y="0"/>
                                </a:lnTo>
                                <a:lnTo>
                                  <a:pt x="226" y="9"/>
                                </a:lnTo>
                                <a:lnTo>
                                  <a:pt x="189" y="9"/>
                                </a:lnTo>
                                <a:lnTo>
                                  <a:pt x="189" y="0"/>
                                </a:lnTo>
                                <a:close/>
                                <a:moveTo>
                                  <a:pt x="253" y="0"/>
                                </a:moveTo>
                                <a:lnTo>
                                  <a:pt x="289" y="0"/>
                                </a:lnTo>
                                <a:lnTo>
                                  <a:pt x="289" y="9"/>
                                </a:lnTo>
                                <a:lnTo>
                                  <a:pt x="253" y="9"/>
                                </a:lnTo>
                                <a:lnTo>
                                  <a:pt x="253" y="0"/>
                                </a:lnTo>
                                <a:close/>
                                <a:moveTo>
                                  <a:pt x="316" y="0"/>
                                </a:moveTo>
                                <a:lnTo>
                                  <a:pt x="352" y="0"/>
                                </a:lnTo>
                                <a:lnTo>
                                  <a:pt x="352" y="9"/>
                                </a:lnTo>
                                <a:lnTo>
                                  <a:pt x="316" y="9"/>
                                </a:lnTo>
                                <a:lnTo>
                                  <a:pt x="316" y="0"/>
                                </a:lnTo>
                                <a:close/>
                                <a:moveTo>
                                  <a:pt x="379" y="0"/>
                                </a:moveTo>
                                <a:lnTo>
                                  <a:pt x="415" y="0"/>
                                </a:lnTo>
                                <a:lnTo>
                                  <a:pt x="415" y="9"/>
                                </a:lnTo>
                                <a:lnTo>
                                  <a:pt x="379" y="9"/>
                                </a:lnTo>
                                <a:lnTo>
                                  <a:pt x="379" y="0"/>
                                </a:lnTo>
                                <a:close/>
                                <a:moveTo>
                                  <a:pt x="442" y="0"/>
                                </a:moveTo>
                                <a:lnTo>
                                  <a:pt x="478" y="0"/>
                                </a:lnTo>
                                <a:lnTo>
                                  <a:pt x="478" y="9"/>
                                </a:lnTo>
                                <a:lnTo>
                                  <a:pt x="442" y="9"/>
                                </a:lnTo>
                                <a:lnTo>
                                  <a:pt x="442" y="0"/>
                                </a:lnTo>
                                <a:close/>
                                <a:moveTo>
                                  <a:pt x="505" y="0"/>
                                </a:moveTo>
                                <a:lnTo>
                                  <a:pt x="541" y="0"/>
                                </a:lnTo>
                                <a:lnTo>
                                  <a:pt x="541" y="9"/>
                                </a:lnTo>
                                <a:lnTo>
                                  <a:pt x="505" y="9"/>
                                </a:lnTo>
                                <a:lnTo>
                                  <a:pt x="505" y="0"/>
                                </a:lnTo>
                                <a:close/>
                                <a:moveTo>
                                  <a:pt x="568" y="0"/>
                                </a:moveTo>
                                <a:lnTo>
                                  <a:pt x="604" y="0"/>
                                </a:lnTo>
                                <a:lnTo>
                                  <a:pt x="604" y="9"/>
                                </a:lnTo>
                                <a:lnTo>
                                  <a:pt x="568" y="9"/>
                                </a:lnTo>
                                <a:lnTo>
                                  <a:pt x="568" y="0"/>
                                </a:lnTo>
                                <a:close/>
                                <a:moveTo>
                                  <a:pt x="631" y="0"/>
                                </a:moveTo>
                                <a:lnTo>
                                  <a:pt x="668" y="0"/>
                                </a:lnTo>
                                <a:lnTo>
                                  <a:pt x="668" y="9"/>
                                </a:lnTo>
                                <a:lnTo>
                                  <a:pt x="631" y="9"/>
                                </a:lnTo>
                                <a:lnTo>
                                  <a:pt x="631" y="0"/>
                                </a:lnTo>
                                <a:close/>
                                <a:moveTo>
                                  <a:pt x="695" y="0"/>
                                </a:moveTo>
                                <a:lnTo>
                                  <a:pt x="731" y="0"/>
                                </a:lnTo>
                                <a:lnTo>
                                  <a:pt x="731" y="9"/>
                                </a:lnTo>
                                <a:lnTo>
                                  <a:pt x="695" y="9"/>
                                </a:lnTo>
                                <a:lnTo>
                                  <a:pt x="695" y="0"/>
                                </a:lnTo>
                                <a:close/>
                                <a:moveTo>
                                  <a:pt x="758" y="0"/>
                                </a:moveTo>
                                <a:lnTo>
                                  <a:pt x="794" y="0"/>
                                </a:lnTo>
                                <a:lnTo>
                                  <a:pt x="794" y="9"/>
                                </a:lnTo>
                                <a:lnTo>
                                  <a:pt x="758" y="9"/>
                                </a:lnTo>
                                <a:lnTo>
                                  <a:pt x="758" y="0"/>
                                </a:lnTo>
                                <a:close/>
                                <a:moveTo>
                                  <a:pt x="821" y="0"/>
                                </a:moveTo>
                                <a:lnTo>
                                  <a:pt x="857" y="0"/>
                                </a:lnTo>
                                <a:lnTo>
                                  <a:pt x="857" y="9"/>
                                </a:lnTo>
                                <a:lnTo>
                                  <a:pt x="821" y="9"/>
                                </a:lnTo>
                                <a:lnTo>
                                  <a:pt x="821" y="0"/>
                                </a:lnTo>
                                <a:close/>
                                <a:moveTo>
                                  <a:pt x="884" y="0"/>
                                </a:moveTo>
                                <a:lnTo>
                                  <a:pt x="920" y="0"/>
                                </a:lnTo>
                                <a:lnTo>
                                  <a:pt x="920" y="9"/>
                                </a:lnTo>
                                <a:lnTo>
                                  <a:pt x="884" y="9"/>
                                </a:lnTo>
                                <a:lnTo>
                                  <a:pt x="884" y="0"/>
                                </a:lnTo>
                                <a:close/>
                                <a:moveTo>
                                  <a:pt x="947" y="0"/>
                                </a:moveTo>
                                <a:lnTo>
                                  <a:pt x="983" y="0"/>
                                </a:lnTo>
                                <a:lnTo>
                                  <a:pt x="983" y="9"/>
                                </a:lnTo>
                                <a:lnTo>
                                  <a:pt x="947" y="9"/>
                                </a:lnTo>
                                <a:lnTo>
                                  <a:pt x="947" y="0"/>
                                </a:lnTo>
                                <a:close/>
                                <a:moveTo>
                                  <a:pt x="1010" y="0"/>
                                </a:moveTo>
                                <a:lnTo>
                                  <a:pt x="1046" y="0"/>
                                </a:lnTo>
                                <a:lnTo>
                                  <a:pt x="1046" y="9"/>
                                </a:lnTo>
                                <a:lnTo>
                                  <a:pt x="1010" y="9"/>
                                </a:lnTo>
                                <a:lnTo>
                                  <a:pt x="1010" y="0"/>
                                </a:lnTo>
                                <a:close/>
                                <a:moveTo>
                                  <a:pt x="1073" y="0"/>
                                </a:moveTo>
                                <a:lnTo>
                                  <a:pt x="1109" y="0"/>
                                </a:lnTo>
                                <a:lnTo>
                                  <a:pt x="1109" y="9"/>
                                </a:lnTo>
                                <a:lnTo>
                                  <a:pt x="1073" y="9"/>
                                </a:lnTo>
                                <a:lnTo>
                                  <a:pt x="1073" y="0"/>
                                </a:lnTo>
                                <a:close/>
                                <a:moveTo>
                                  <a:pt x="1137" y="0"/>
                                </a:moveTo>
                                <a:lnTo>
                                  <a:pt x="1173" y="0"/>
                                </a:lnTo>
                                <a:lnTo>
                                  <a:pt x="1173" y="9"/>
                                </a:lnTo>
                                <a:lnTo>
                                  <a:pt x="1137" y="9"/>
                                </a:lnTo>
                                <a:lnTo>
                                  <a:pt x="1137" y="0"/>
                                </a:lnTo>
                                <a:close/>
                                <a:moveTo>
                                  <a:pt x="1200" y="0"/>
                                </a:moveTo>
                                <a:lnTo>
                                  <a:pt x="1236" y="0"/>
                                </a:lnTo>
                                <a:lnTo>
                                  <a:pt x="1236" y="9"/>
                                </a:lnTo>
                                <a:lnTo>
                                  <a:pt x="1200" y="9"/>
                                </a:lnTo>
                                <a:lnTo>
                                  <a:pt x="1200" y="0"/>
                                </a:lnTo>
                                <a:close/>
                                <a:moveTo>
                                  <a:pt x="1263" y="0"/>
                                </a:moveTo>
                                <a:lnTo>
                                  <a:pt x="1299" y="0"/>
                                </a:lnTo>
                                <a:lnTo>
                                  <a:pt x="1299" y="9"/>
                                </a:lnTo>
                                <a:lnTo>
                                  <a:pt x="1263" y="9"/>
                                </a:lnTo>
                                <a:lnTo>
                                  <a:pt x="1263" y="0"/>
                                </a:lnTo>
                                <a:close/>
                                <a:moveTo>
                                  <a:pt x="1326" y="0"/>
                                </a:moveTo>
                                <a:lnTo>
                                  <a:pt x="1362" y="0"/>
                                </a:lnTo>
                                <a:lnTo>
                                  <a:pt x="1362" y="9"/>
                                </a:lnTo>
                                <a:lnTo>
                                  <a:pt x="1326" y="9"/>
                                </a:lnTo>
                                <a:lnTo>
                                  <a:pt x="1326" y="0"/>
                                </a:lnTo>
                                <a:close/>
                                <a:moveTo>
                                  <a:pt x="1389" y="0"/>
                                </a:moveTo>
                                <a:lnTo>
                                  <a:pt x="1425" y="0"/>
                                </a:lnTo>
                                <a:lnTo>
                                  <a:pt x="1425" y="9"/>
                                </a:lnTo>
                                <a:lnTo>
                                  <a:pt x="1389" y="9"/>
                                </a:lnTo>
                                <a:lnTo>
                                  <a:pt x="1389" y="0"/>
                                </a:lnTo>
                                <a:close/>
                                <a:moveTo>
                                  <a:pt x="1452" y="0"/>
                                </a:moveTo>
                                <a:lnTo>
                                  <a:pt x="1488" y="0"/>
                                </a:lnTo>
                                <a:lnTo>
                                  <a:pt x="1488" y="9"/>
                                </a:lnTo>
                                <a:lnTo>
                                  <a:pt x="1452" y="9"/>
                                </a:lnTo>
                                <a:lnTo>
                                  <a:pt x="1452" y="0"/>
                                </a:lnTo>
                                <a:close/>
                                <a:moveTo>
                                  <a:pt x="1515" y="0"/>
                                </a:moveTo>
                                <a:lnTo>
                                  <a:pt x="1551" y="0"/>
                                </a:lnTo>
                                <a:lnTo>
                                  <a:pt x="1551" y="9"/>
                                </a:lnTo>
                                <a:lnTo>
                                  <a:pt x="1515" y="9"/>
                                </a:lnTo>
                                <a:lnTo>
                                  <a:pt x="1515" y="0"/>
                                </a:lnTo>
                                <a:close/>
                                <a:moveTo>
                                  <a:pt x="1578" y="0"/>
                                </a:moveTo>
                                <a:lnTo>
                                  <a:pt x="1615" y="0"/>
                                </a:lnTo>
                                <a:lnTo>
                                  <a:pt x="1615" y="9"/>
                                </a:lnTo>
                                <a:lnTo>
                                  <a:pt x="1578" y="9"/>
                                </a:lnTo>
                                <a:lnTo>
                                  <a:pt x="1578" y="0"/>
                                </a:lnTo>
                                <a:close/>
                                <a:moveTo>
                                  <a:pt x="1642" y="0"/>
                                </a:moveTo>
                                <a:lnTo>
                                  <a:pt x="1678" y="0"/>
                                </a:lnTo>
                                <a:lnTo>
                                  <a:pt x="1678" y="9"/>
                                </a:lnTo>
                                <a:lnTo>
                                  <a:pt x="1642" y="9"/>
                                </a:lnTo>
                                <a:lnTo>
                                  <a:pt x="1642" y="0"/>
                                </a:lnTo>
                                <a:close/>
                                <a:moveTo>
                                  <a:pt x="1705" y="0"/>
                                </a:moveTo>
                                <a:lnTo>
                                  <a:pt x="1741" y="0"/>
                                </a:lnTo>
                                <a:lnTo>
                                  <a:pt x="1741" y="9"/>
                                </a:lnTo>
                                <a:lnTo>
                                  <a:pt x="1705" y="9"/>
                                </a:lnTo>
                                <a:lnTo>
                                  <a:pt x="1705" y="0"/>
                                </a:lnTo>
                                <a:close/>
                                <a:moveTo>
                                  <a:pt x="1768" y="0"/>
                                </a:moveTo>
                                <a:lnTo>
                                  <a:pt x="1804" y="0"/>
                                </a:lnTo>
                                <a:lnTo>
                                  <a:pt x="1804" y="9"/>
                                </a:lnTo>
                                <a:lnTo>
                                  <a:pt x="1768" y="9"/>
                                </a:lnTo>
                                <a:lnTo>
                                  <a:pt x="1768" y="0"/>
                                </a:lnTo>
                                <a:close/>
                                <a:moveTo>
                                  <a:pt x="1831" y="0"/>
                                </a:moveTo>
                                <a:lnTo>
                                  <a:pt x="1867" y="0"/>
                                </a:lnTo>
                                <a:lnTo>
                                  <a:pt x="1867" y="9"/>
                                </a:lnTo>
                                <a:lnTo>
                                  <a:pt x="1831" y="9"/>
                                </a:lnTo>
                                <a:lnTo>
                                  <a:pt x="1831" y="0"/>
                                </a:lnTo>
                                <a:close/>
                                <a:moveTo>
                                  <a:pt x="1894" y="0"/>
                                </a:moveTo>
                                <a:lnTo>
                                  <a:pt x="1930" y="0"/>
                                </a:lnTo>
                                <a:lnTo>
                                  <a:pt x="1930" y="9"/>
                                </a:lnTo>
                                <a:lnTo>
                                  <a:pt x="1894" y="9"/>
                                </a:lnTo>
                                <a:lnTo>
                                  <a:pt x="1894" y="0"/>
                                </a:lnTo>
                                <a:close/>
                                <a:moveTo>
                                  <a:pt x="1957" y="0"/>
                                </a:moveTo>
                                <a:lnTo>
                                  <a:pt x="1993" y="0"/>
                                </a:lnTo>
                                <a:lnTo>
                                  <a:pt x="1993" y="9"/>
                                </a:lnTo>
                                <a:lnTo>
                                  <a:pt x="1957" y="9"/>
                                </a:lnTo>
                                <a:lnTo>
                                  <a:pt x="1957" y="0"/>
                                </a:lnTo>
                                <a:close/>
                                <a:moveTo>
                                  <a:pt x="2020" y="0"/>
                                </a:moveTo>
                                <a:lnTo>
                                  <a:pt x="2057" y="0"/>
                                </a:lnTo>
                                <a:lnTo>
                                  <a:pt x="2057" y="9"/>
                                </a:lnTo>
                                <a:lnTo>
                                  <a:pt x="2020" y="9"/>
                                </a:lnTo>
                                <a:lnTo>
                                  <a:pt x="2020" y="0"/>
                                </a:lnTo>
                                <a:close/>
                                <a:moveTo>
                                  <a:pt x="2084" y="0"/>
                                </a:moveTo>
                                <a:lnTo>
                                  <a:pt x="2120" y="0"/>
                                </a:lnTo>
                                <a:lnTo>
                                  <a:pt x="2120" y="9"/>
                                </a:lnTo>
                                <a:lnTo>
                                  <a:pt x="2084" y="9"/>
                                </a:lnTo>
                                <a:lnTo>
                                  <a:pt x="2084" y="0"/>
                                </a:lnTo>
                                <a:close/>
                                <a:moveTo>
                                  <a:pt x="2147" y="0"/>
                                </a:moveTo>
                                <a:lnTo>
                                  <a:pt x="2183" y="0"/>
                                </a:lnTo>
                                <a:lnTo>
                                  <a:pt x="2183" y="9"/>
                                </a:lnTo>
                                <a:lnTo>
                                  <a:pt x="2147" y="9"/>
                                </a:lnTo>
                                <a:lnTo>
                                  <a:pt x="2147" y="0"/>
                                </a:lnTo>
                                <a:close/>
                                <a:moveTo>
                                  <a:pt x="2210" y="0"/>
                                </a:moveTo>
                                <a:lnTo>
                                  <a:pt x="2246" y="0"/>
                                </a:lnTo>
                                <a:lnTo>
                                  <a:pt x="2246" y="9"/>
                                </a:lnTo>
                                <a:lnTo>
                                  <a:pt x="2210" y="9"/>
                                </a:lnTo>
                                <a:lnTo>
                                  <a:pt x="2210" y="0"/>
                                </a:lnTo>
                                <a:close/>
                                <a:moveTo>
                                  <a:pt x="2273" y="0"/>
                                </a:moveTo>
                                <a:lnTo>
                                  <a:pt x="2309" y="0"/>
                                </a:lnTo>
                                <a:lnTo>
                                  <a:pt x="2309" y="9"/>
                                </a:lnTo>
                                <a:lnTo>
                                  <a:pt x="2273" y="9"/>
                                </a:lnTo>
                                <a:lnTo>
                                  <a:pt x="2273" y="0"/>
                                </a:lnTo>
                                <a:close/>
                                <a:moveTo>
                                  <a:pt x="2336" y="0"/>
                                </a:moveTo>
                                <a:lnTo>
                                  <a:pt x="2372" y="0"/>
                                </a:lnTo>
                                <a:lnTo>
                                  <a:pt x="2372" y="9"/>
                                </a:lnTo>
                                <a:lnTo>
                                  <a:pt x="2336" y="9"/>
                                </a:lnTo>
                                <a:lnTo>
                                  <a:pt x="2336" y="0"/>
                                </a:lnTo>
                                <a:close/>
                                <a:moveTo>
                                  <a:pt x="2399" y="0"/>
                                </a:moveTo>
                                <a:lnTo>
                                  <a:pt x="2435" y="0"/>
                                </a:lnTo>
                                <a:lnTo>
                                  <a:pt x="2435" y="9"/>
                                </a:lnTo>
                                <a:lnTo>
                                  <a:pt x="2399" y="9"/>
                                </a:lnTo>
                                <a:lnTo>
                                  <a:pt x="2399" y="0"/>
                                </a:lnTo>
                                <a:close/>
                                <a:moveTo>
                                  <a:pt x="2462" y="0"/>
                                </a:moveTo>
                                <a:lnTo>
                                  <a:pt x="2498" y="0"/>
                                </a:lnTo>
                                <a:lnTo>
                                  <a:pt x="2498" y="9"/>
                                </a:lnTo>
                                <a:lnTo>
                                  <a:pt x="2462" y="9"/>
                                </a:lnTo>
                                <a:lnTo>
                                  <a:pt x="2462" y="0"/>
                                </a:lnTo>
                                <a:close/>
                                <a:moveTo>
                                  <a:pt x="2526" y="0"/>
                                </a:moveTo>
                                <a:lnTo>
                                  <a:pt x="2562" y="0"/>
                                </a:lnTo>
                                <a:lnTo>
                                  <a:pt x="2562" y="9"/>
                                </a:lnTo>
                                <a:lnTo>
                                  <a:pt x="2526" y="9"/>
                                </a:lnTo>
                                <a:lnTo>
                                  <a:pt x="2526" y="0"/>
                                </a:lnTo>
                                <a:close/>
                                <a:moveTo>
                                  <a:pt x="2589" y="0"/>
                                </a:moveTo>
                                <a:lnTo>
                                  <a:pt x="2625" y="0"/>
                                </a:lnTo>
                                <a:lnTo>
                                  <a:pt x="2625" y="9"/>
                                </a:lnTo>
                                <a:lnTo>
                                  <a:pt x="2589" y="9"/>
                                </a:lnTo>
                                <a:lnTo>
                                  <a:pt x="2589" y="0"/>
                                </a:lnTo>
                                <a:close/>
                                <a:moveTo>
                                  <a:pt x="2652" y="0"/>
                                </a:moveTo>
                                <a:lnTo>
                                  <a:pt x="2688" y="0"/>
                                </a:lnTo>
                                <a:lnTo>
                                  <a:pt x="2688" y="9"/>
                                </a:lnTo>
                                <a:lnTo>
                                  <a:pt x="2652" y="9"/>
                                </a:lnTo>
                                <a:lnTo>
                                  <a:pt x="2652" y="0"/>
                                </a:lnTo>
                                <a:close/>
                                <a:moveTo>
                                  <a:pt x="2715" y="0"/>
                                </a:moveTo>
                                <a:lnTo>
                                  <a:pt x="2733" y="0"/>
                                </a:lnTo>
                                <a:lnTo>
                                  <a:pt x="2733" y="9"/>
                                </a:lnTo>
                                <a:lnTo>
                                  <a:pt x="2715" y="9"/>
                                </a:lnTo>
                                <a:lnTo>
                                  <a:pt x="2715" y="0"/>
                                </a:lnTo>
                                <a:close/>
                              </a:path>
                            </a:pathLst>
                          </a:custGeom>
                          <a:solidFill>
                            <a:srgbClr val="868686"/>
                          </a:solidFill>
                          <a:ln w="5715" cap="flat">
                            <a:solidFill>
                              <a:srgbClr val="868686"/>
                            </a:solidFill>
                            <a:prstDash val="solid"/>
                            <a:bevel/>
                            <a:headEnd/>
                            <a:tailEnd/>
                          </a:ln>
                        </wps:spPr>
                        <wps:bodyPr rot="0" vert="horz" wrap="square" lIns="91440" tIns="45720" rIns="91440" bIns="45720" anchor="t" anchorCtr="0" upright="1">
                          <a:noAutofit/>
                        </wps:bodyPr>
                      </wps:wsp>
                      <wps:wsp>
                        <wps:cNvPr id="6" name="Freeform 8"/>
                        <wps:cNvSpPr>
                          <a:spLocks noEditPoints="1"/>
                        </wps:cNvSpPr>
                        <wps:spPr bwMode="auto">
                          <a:xfrm>
                            <a:off x="495300" y="2113915"/>
                            <a:ext cx="1655445" cy="245745"/>
                          </a:xfrm>
                          <a:custGeom>
                            <a:avLst/>
                            <a:gdLst>
                              <a:gd name="T0" fmla="*/ 0 w 2607"/>
                              <a:gd name="T1" fmla="*/ 9 h 387"/>
                              <a:gd name="T2" fmla="*/ 424 w 2607"/>
                              <a:gd name="T3" fmla="*/ 9 h 387"/>
                              <a:gd name="T4" fmla="*/ 424 w 2607"/>
                              <a:gd name="T5" fmla="*/ 387 h 387"/>
                              <a:gd name="T6" fmla="*/ 0 w 2607"/>
                              <a:gd name="T7" fmla="*/ 387 h 387"/>
                              <a:gd name="T8" fmla="*/ 0 w 2607"/>
                              <a:gd name="T9" fmla="*/ 9 h 387"/>
                              <a:gd name="T10" fmla="*/ 550 w 2607"/>
                              <a:gd name="T11" fmla="*/ 9 h 387"/>
                              <a:gd name="T12" fmla="*/ 965 w 2607"/>
                              <a:gd name="T13" fmla="*/ 9 h 387"/>
                              <a:gd name="T14" fmla="*/ 965 w 2607"/>
                              <a:gd name="T15" fmla="*/ 387 h 387"/>
                              <a:gd name="T16" fmla="*/ 550 w 2607"/>
                              <a:gd name="T17" fmla="*/ 387 h 387"/>
                              <a:gd name="T18" fmla="*/ 550 w 2607"/>
                              <a:gd name="T19" fmla="*/ 9 h 387"/>
                              <a:gd name="T20" fmla="*/ 1092 w 2607"/>
                              <a:gd name="T21" fmla="*/ 0 h 387"/>
                              <a:gd name="T22" fmla="*/ 1515 w 2607"/>
                              <a:gd name="T23" fmla="*/ 0 h 387"/>
                              <a:gd name="T24" fmla="*/ 1515 w 2607"/>
                              <a:gd name="T25" fmla="*/ 387 h 387"/>
                              <a:gd name="T26" fmla="*/ 1092 w 2607"/>
                              <a:gd name="T27" fmla="*/ 387 h 387"/>
                              <a:gd name="T28" fmla="*/ 1092 w 2607"/>
                              <a:gd name="T29" fmla="*/ 0 h 387"/>
                              <a:gd name="T30" fmla="*/ 1642 w 2607"/>
                              <a:gd name="T31" fmla="*/ 0 h 387"/>
                              <a:gd name="T32" fmla="*/ 2057 w 2607"/>
                              <a:gd name="T33" fmla="*/ 0 h 387"/>
                              <a:gd name="T34" fmla="*/ 2057 w 2607"/>
                              <a:gd name="T35" fmla="*/ 387 h 387"/>
                              <a:gd name="T36" fmla="*/ 1642 w 2607"/>
                              <a:gd name="T37" fmla="*/ 387 h 387"/>
                              <a:gd name="T38" fmla="*/ 1642 w 2607"/>
                              <a:gd name="T39" fmla="*/ 0 h 387"/>
                              <a:gd name="T40" fmla="*/ 2183 w 2607"/>
                              <a:gd name="T41" fmla="*/ 0 h 387"/>
                              <a:gd name="T42" fmla="*/ 2607 w 2607"/>
                              <a:gd name="T43" fmla="*/ 0 h 387"/>
                              <a:gd name="T44" fmla="*/ 2607 w 2607"/>
                              <a:gd name="T45" fmla="*/ 387 h 387"/>
                              <a:gd name="T46" fmla="*/ 2183 w 2607"/>
                              <a:gd name="T47" fmla="*/ 387 h 387"/>
                              <a:gd name="T48" fmla="*/ 2183 w 2607"/>
                              <a:gd name="T49" fmla="*/ 0 h 3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07" h="387">
                                <a:moveTo>
                                  <a:pt x="0" y="9"/>
                                </a:moveTo>
                                <a:lnTo>
                                  <a:pt x="424" y="9"/>
                                </a:lnTo>
                                <a:lnTo>
                                  <a:pt x="424" y="387"/>
                                </a:lnTo>
                                <a:lnTo>
                                  <a:pt x="0" y="387"/>
                                </a:lnTo>
                                <a:lnTo>
                                  <a:pt x="0" y="9"/>
                                </a:lnTo>
                                <a:close/>
                                <a:moveTo>
                                  <a:pt x="550" y="9"/>
                                </a:moveTo>
                                <a:lnTo>
                                  <a:pt x="965" y="9"/>
                                </a:lnTo>
                                <a:lnTo>
                                  <a:pt x="965" y="387"/>
                                </a:lnTo>
                                <a:lnTo>
                                  <a:pt x="550" y="387"/>
                                </a:lnTo>
                                <a:lnTo>
                                  <a:pt x="550" y="9"/>
                                </a:lnTo>
                                <a:close/>
                                <a:moveTo>
                                  <a:pt x="1092" y="0"/>
                                </a:moveTo>
                                <a:lnTo>
                                  <a:pt x="1515" y="0"/>
                                </a:lnTo>
                                <a:lnTo>
                                  <a:pt x="1515" y="387"/>
                                </a:lnTo>
                                <a:lnTo>
                                  <a:pt x="1092" y="387"/>
                                </a:lnTo>
                                <a:lnTo>
                                  <a:pt x="1092" y="0"/>
                                </a:lnTo>
                                <a:close/>
                                <a:moveTo>
                                  <a:pt x="1642" y="0"/>
                                </a:moveTo>
                                <a:lnTo>
                                  <a:pt x="2057" y="0"/>
                                </a:lnTo>
                                <a:lnTo>
                                  <a:pt x="2057" y="387"/>
                                </a:lnTo>
                                <a:lnTo>
                                  <a:pt x="1642" y="387"/>
                                </a:lnTo>
                                <a:lnTo>
                                  <a:pt x="1642" y="0"/>
                                </a:lnTo>
                                <a:close/>
                                <a:moveTo>
                                  <a:pt x="2183" y="0"/>
                                </a:moveTo>
                                <a:lnTo>
                                  <a:pt x="2607" y="0"/>
                                </a:lnTo>
                                <a:lnTo>
                                  <a:pt x="2607" y="387"/>
                                </a:lnTo>
                                <a:lnTo>
                                  <a:pt x="2183" y="387"/>
                                </a:lnTo>
                                <a:lnTo>
                                  <a:pt x="2183" y="0"/>
                                </a:lnTo>
                                <a:close/>
                              </a:path>
                            </a:pathLst>
                          </a:custGeom>
                          <a:solidFill>
                            <a:srgbClr val="595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
                        <wps:cNvSpPr>
                          <a:spLocks noEditPoints="1"/>
                        </wps:cNvSpPr>
                        <wps:spPr bwMode="auto">
                          <a:xfrm>
                            <a:off x="495300" y="1232535"/>
                            <a:ext cx="1655445" cy="887095"/>
                          </a:xfrm>
                          <a:custGeom>
                            <a:avLst/>
                            <a:gdLst>
                              <a:gd name="T0" fmla="*/ 0 w 2607"/>
                              <a:gd name="T1" fmla="*/ 0 h 1397"/>
                              <a:gd name="T2" fmla="*/ 424 w 2607"/>
                              <a:gd name="T3" fmla="*/ 0 h 1397"/>
                              <a:gd name="T4" fmla="*/ 424 w 2607"/>
                              <a:gd name="T5" fmla="*/ 1397 h 1397"/>
                              <a:gd name="T6" fmla="*/ 0 w 2607"/>
                              <a:gd name="T7" fmla="*/ 1397 h 1397"/>
                              <a:gd name="T8" fmla="*/ 0 w 2607"/>
                              <a:gd name="T9" fmla="*/ 0 h 1397"/>
                              <a:gd name="T10" fmla="*/ 550 w 2607"/>
                              <a:gd name="T11" fmla="*/ 90 h 1397"/>
                              <a:gd name="T12" fmla="*/ 965 w 2607"/>
                              <a:gd name="T13" fmla="*/ 90 h 1397"/>
                              <a:gd name="T14" fmla="*/ 965 w 2607"/>
                              <a:gd name="T15" fmla="*/ 1397 h 1397"/>
                              <a:gd name="T16" fmla="*/ 550 w 2607"/>
                              <a:gd name="T17" fmla="*/ 1397 h 1397"/>
                              <a:gd name="T18" fmla="*/ 550 w 2607"/>
                              <a:gd name="T19" fmla="*/ 90 h 1397"/>
                              <a:gd name="T20" fmla="*/ 1092 w 2607"/>
                              <a:gd name="T21" fmla="*/ 208 h 1397"/>
                              <a:gd name="T22" fmla="*/ 1515 w 2607"/>
                              <a:gd name="T23" fmla="*/ 208 h 1397"/>
                              <a:gd name="T24" fmla="*/ 1515 w 2607"/>
                              <a:gd name="T25" fmla="*/ 1388 h 1397"/>
                              <a:gd name="T26" fmla="*/ 1092 w 2607"/>
                              <a:gd name="T27" fmla="*/ 1388 h 1397"/>
                              <a:gd name="T28" fmla="*/ 1092 w 2607"/>
                              <a:gd name="T29" fmla="*/ 208 h 1397"/>
                              <a:gd name="T30" fmla="*/ 1642 w 2607"/>
                              <a:gd name="T31" fmla="*/ 298 h 1397"/>
                              <a:gd name="T32" fmla="*/ 2057 w 2607"/>
                              <a:gd name="T33" fmla="*/ 298 h 1397"/>
                              <a:gd name="T34" fmla="*/ 2057 w 2607"/>
                              <a:gd name="T35" fmla="*/ 1388 h 1397"/>
                              <a:gd name="T36" fmla="*/ 1642 w 2607"/>
                              <a:gd name="T37" fmla="*/ 1388 h 1397"/>
                              <a:gd name="T38" fmla="*/ 1642 w 2607"/>
                              <a:gd name="T39" fmla="*/ 298 h 1397"/>
                              <a:gd name="T40" fmla="*/ 2183 w 2607"/>
                              <a:gd name="T41" fmla="*/ 388 h 1397"/>
                              <a:gd name="T42" fmla="*/ 2607 w 2607"/>
                              <a:gd name="T43" fmla="*/ 388 h 1397"/>
                              <a:gd name="T44" fmla="*/ 2607 w 2607"/>
                              <a:gd name="T45" fmla="*/ 1388 h 1397"/>
                              <a:gd name="T46" fmla="*/ 2183 w 2607"/>
                              <a:gd name="T47" fmla="*/ 1388 h 1397"/>
                              <a:gd name="T48" fmla="*/ 2183 w 2607"/>
                              <a:gd name="T49" fmla="*/ 388 h 1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07" h="1397">
                                <a:moveTo>
                                  <a:pt x="0" y="0"/>
                                </a:moveTo>
                                <a:lnTo>
                                  <a:pt x="424" y="0"/>
                                </a:lnTo>
                                <a:lnTo>
                                  <a:pt x="424" y="1397"/>
                                </a:lnTo>
                                <a:lnTo>
                                  <a:pt x="0" y="1397"/>
                                </a:lnTo>
                                <a:lnTo>
                                  <a:pt x="0" y="0"/>
                                </a:lnTo>
                                <a:close/>
                                <a:moveTo>
                                  <a:pt x="550" y="90"/>
                                </a:moveTo>
                                <a:lnTo>
                                  <a:pt x="965" y="90"/>
                                </a:lnTo>
                                <a:lnTo>
                                  <a:pt x="965" y="1397"/>
                                </a:lnTo>
                                <a:lnTo>
                                  <a:pt x="550" y="1397"/>
                                </a:lnTo>
                                <a:lnTo>
                                  <a:pt x="550" y="90"/>
                                </a:lnTo>
                                <a:close/>
                                <a:moveTo>
                                  <a:pt x="1092" y="208"/>
                                </a:moveTo>
                                <a:lnTo>
                                  <a:pt x="1515" y="208"/>
                                </a:lnTo>
                                <a:lnTo>
                                  <a:pt x="1515" y="1388"/>
                                </a:lnTo>
                                <a:lnTo>
                                  <a:pt x="1092" y="1388"/>
                                </a:lnTo>
                                <a:lnTo>
                                  <a:pt x="1092" y="208"/>
                                </a:lnTo>
                                <a:close/>
                                <a:moveTo>
                                  <a:pt x="1642" y="298"/>
                                </a:moveTo>
                                <a:lnTo>
                                  <a:pt x="2057" y="298"/>
                                </a:lnTo>
                                <a:lnTo>
                                  <a:pt x="2057" y="1388"/>
                                </a:lnTo>
                                <a:lnTo>
                                  <a:pt x="1642" y="1388"/>
                                </a:lnTo>
                                <a:lnTo>
                                  <a:pt x="1642" y="298"/>
                                </a:lnTo>
                                <a:close/>
                                <a:moveTo>
                                  <a:pt x="2183" y="388"/>
                                </a:moveTo>
                                <a:lnTo>
                                  <a:pt x="2607" y="388"/>
                                </a:lnTo>
                                <a:lnTo>
                                  <a:pt x="2607" y="1388"/>
                                </a:lnTo>
                                <a:lnTo>
                                  <a:pt x="2183" y="1388"/>
                                </a:lnTo>
                                <a:lnTo>
                                  <a:pt x="2183" y="388"/>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
                        <wps:cNvSpPr>
                          <a:spLocks noEditPoints="1"/>
                        </wps:cNvSpPr>
                        <wps:spPr bwMode="auto">
                          <a:xfrm>
                            <a:off x="495300" y="580390"/>
                            <a:ext cx="1655445" cy="898525"/>
                          </a:xfrm>
                          <a:custGeom>
                            <a:avLst/>
                            <a:gdLst>
                              <a:gd name="T0" fmla="*/ 0 w 2607"/>
                              <a:gd name="T1" fmla="*/ 0 h 1415"/>
                              <a:gd name="T2" fmla="*/ 424 w 2607"/>
                              <a:gd name="T3" fmla="*/ 0 h 1415"/>
                              <a:gd name="T4" fmla="*/ 424 w 2607"/>
                              <a:gd name="T5" fmla="*/ 1027 h 1415"/>
                              <a:gd name="T6" fmla="*/ 0 w 2607"/>
                              <a:gd name="T7" fmla="*/ 1027 h 1415"/>
                              <a:gd name="T8" fmla="*/ 0 w 2607"/>
                              <a:gd name="T9" fmla="*/ 0 h 1415"/>
                              <a:gd name="T10" fmla="*/ 550 w 2607"/>
                              <a:gd name="T11" fmla="*/ 163 h 1415"/>
                              <a:gd name="T12" fmla="*/ 965 w 2607"/>
                              <a:gd name="T13" fmla="*/ 163 h 1415"/>
                              <a:gd name="T14" fmla="*/ 965 w 2607"/>
                              <a:gd name="T15" fmla="*/ 1117 h 1415"/>
                              <a:gd name="T16" fmla="*/ 550 w 2607"/>
                              <a:gd name="T17" fmla="*/ 1117 h 1415"/>
                              <a:gd name="T18" fmla="*/ 550 w 2607"/>
                              <a:gd name="T19" fmla="*/ 163 h 1415"/>
                              <a:gd name="T20" fmla="*/ 1092 w 2607"/>
                              <a:gd name="T21" fmla="*/ 343 h 1415"/>
                              <a:gd name="T22" fmla="*/ 1515 w 2607"/>
                              <a:gd name="T23" fmla="*/ 343 h 1415"/>
                              <a:gd name="T24" fmla="*/ 1515 w 2607"/>
                              <a:gd name="T25" fmla="*/ 1235 h 1415"/>
                              <a:gd name="T26" fmla="*/ 1092 w 2607"/>
                              <a:gd name="T27" fmla="*/ 1235 h 1415"/>
                              <a:gd name="T28" fmla="*/ 1092 w 2607"/>
                              <a:gd name="T29" fmla="*/ 343 h 1415"/>
                              <a:gd name="T30" fmla="*/ 1642 w 2607"/>
                              <a:gd name="T31" fmla="*/ 505 h 1415"/>
                              <a:gd name="T32" fmla="*/ 2057 w 2607"/>
                              <a:gd name="T33" fmla="*/ 505 h 1415"/>
                              <a:gd name="T34" fmla="*/ 2057 w 2607"/>
                              <a:gd name="T35" fmla="*/ 1325 h 1415"/>
                              <a:gd name="T36" fmla="*/ 1642 w 2607"/>
                              <a:gd name="T37" fmla="*/ 1325 h 1415"/>
                              <a:gd name="T38" fmla="*/ 1642 w 2607"/>
                              <a:gd name="T39" fmla="*/ 505 h 1415"/>
                              <a:gd name="T40" fmla="*/ 2183 w 2607"/>
                              <a:gd name="T41" fmla="*/ 649 h 1415"/>
                              <a:gd name="T42" fmla="*/ 2607 w 2607"/>
                              <a:gd name="T43" fmla="*/ 649 h 1415"/>
                              <a:gd name="T44" fmla="*/ 2607 w 2607"/>
                              <a:gd name="T45" fmla="*/ 1415 h 1415"/>
                              <a:gd name="T46" fmla="*/ 2183 w 2607"/>
                              <a:gd name="T47" fmla="*/ 1415 h 1415"/>
                              <a:gd name="T48" fmla="*/ 2183 w 2607"/>
                              <a:gd name="T49" fmla="*/ 649 h 14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07" h="1415">
                                <a:moveTo>
                                  <a:pt x="0" y="0"/>
                                </a:moveTo>
                                <a:lnTo>
                                  <a:pt x="424" y="0"/>
                                </a:lnTo>
                                <a:lnTo>
                                  <a:pt x="424" y="1027"/>
                                </a:lnTo>
                                <a:lnTo>
                                  <a:pt x="0" y="1027"/>
                                </a:lnTo>
                                <a:lnTo>
                                  <a:pt x="0" y="0"/>
                                </a:lnTo>
                                <a:close/>
                                <a:moveTo>
                                  <a:pt x="550" y="163"/>
                                </a:moveTo>
                                <a:lnTo>
                                  <a:pt x="965" y="163"/>
                                </a:lnTo>
                                <a:lnTo>
                                  <a:pt x="965" y="1117"/>
                                </a:lnTo>
                                <a:lnTo>
                                  <a:pt x="550" y="1117"/>
                                </a:lnTo>
                                <a:lnTo>
                                  <a:pt x="550" y="163"/>
                                </a:lnTo>
                                <a:close/>
                                <a:moveTo>
                                  <a:pt x="1092" y="343"/>
                                </a:moveTo>
                                <a:lnTo>
                                  <a:pt x="1515" y="343"/>
                                </a:lnTo>
                                <a:lnTo>
                                  <a:pt x="1515" y="1235"/>
                                </a:lnTo>
                                <a:lnTo>
                                  <a:pt x="1092" y="1235"/>
                                </a:lnTo>
                                <a:lnTo>
                                  <a:pt x="1092" y="343"/>
                                </a:lnTo>
                                <a:close/>
                                <a:moveTo>
                                  <a:pt x="1642" y="505"/>
                                </a:moveTo>
                                <a:lnTo>
                                  <a:pt x="2057" y="505"/>
                                </a:lnTo>
                                <a:lnTo>
                                  <a:pt x="2057" y="1325"/>
                                </a:lnTo>
                                <a:lnTo>
                                  <a:pt x="1642" y="1325"/>
                                </a:lnTo>
                                <a:lnTo>
                                  <a:pt x="1642" y="505"/>
                                </a:lnTo>
                                <a:close/>
                                <a:moveTo>
                                  <a:pt x="2183" y="649"/>
                                </a:moveTo>
                                <a:lnTo>
                                  <a:pt x="2607" y="649"/>
                                </a:lnTo>
                                <a:lnTo>
                                  <a:pt x="2607" y="1415"/>
                                </a:lnTo>
                                <a:lnTo>
                                  <a:pt x="2183" y="1415"/>
                                </a:lnTo>
                                <a:lnTo>
                                  <a:pt x="2183" y="64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1"/>
                        <wps:cNvSpPr>
                          <a:spLocks noEditPoints="1"/>
                        </wps:cNvSpPr>
                        <wps:spPr bwMode="auto">
                          <a:xfrm>
                            <a:off x="495300" y="368935"/>
                            <a:ext cx="1655445" cy="623570"/>
                          </a:xfrm>
                          <a:custGeom>
                            <a:avLst/>
                            <a:gdLst>
                              <a:gd name="T0" fmla="*/ 0 w 2607"/>
                              <a:gd name="T1" fmla="*/ 0 h 982"/>
                              <a:gd name="T2" fmla="*/ 424 w 2607"/>
                              <a:gd name="T3" fmla="*/ 0 h 982"/>
                              <a:gd name="T4" fmla="*/ 424 w 2607"/>
                              <a:gd name="T5" fmla="*/ 333 h 982"/>
                              <a:gd name="T6" fmla="*/ 0 w 2607"/>
                              <a:gd name="T7" fmla="*/ 333 h 982"/>
                              <a:gd name="T8" fmla="*/ 0 w 2607"/>
                              <a:gd name="T9" fmla="*/ 0 h 982"/>
                              <a:gd name="T10" fmla="*/ 550 w 2607"/>
                              <a:gd name="T11" fmla="*/ 171 h 982"/>
                              <a:gd name="T12" fmla="*/ 965 w 2607"/>
                              <a:gd name="T13" fmla="*/ 171 h 982"/>
                              <a:gd name="T14" fmla="*/ 965 w 2607"/>
                              <a:gd name="T15" fmla="*/ 496 h 982"/>
                              <a:gd name="T16" fmla="*/ 550 w 2607"/>
                              <a:gd name="T17" fmla="*/ 496 h 982"/>
                              <a:gd name="T18" fmla="*/ 550 w 2607"/>
                              <a:gd name="T19" fmla="*/ 171 h 982"/>
                              <a:gd name="T20" fmla="*/ 1092 w 2607"/>
                              <a:gd name="T21" fmla="*/ 369 h 982"/>
                              <a:gd name="T22" fmla="*/ 1515 w 2607"/>
                              <a:gd name="T23" fmla="*/ 369 h 982"/>
                              <a:gd name="T24" fmla="*/ 1515 w 2607"/>
                              <a:gd name="T25" fmla="*/ 676 h 982"/>
                              <a:gd name="T26" fmla="*/ 1092 w 2607"/>
                              <a:gd name="T27" fmla="*/ 676 h 982"/>
                              <a:gd name="T28" fmla="*/ 1092 w 2607"/>
                              <a:gd name="T29" fmla="*/ 369 h 982"/>
                              <a:gd name="T30" fmla="*/ 1642 w 2607"/>
                              <a:gd name="T31" fmla="*/ 541 h 982"/>
                              <a:gd name="T32" fmla="*/ 2057 w 2607"/>
                              <a:gd name="T33" fmla="*/ 541 h 982"/>
                              <a:gd name="T34" fmla="*/ 2057 w 2607"/>
                              <a:gd name="T35" fmla="*/ 838 h 982"/>
                              <a:gd name="T36" fmla="*/ 1642 w 2607"/>
                              <a:gd name="T37" fmla="*/ 838 h 982"/>
                              <a:gd name="T38" fmla="*/ 1642 w 2607"/>
                              <a:gd name="T39" fmla="*/ 541 h 982"/>
                              <a:gd name="T40" fmla="*/ 2183 w 2607"/>
                              <a:gd name="T41" fmla="*/ 694 h 982"/>
                              <a:gd name="T42" fmla="*/ 2607 w 2607"/>
                              <a:gd name="T43" fmla="*/ 694 h 982"/>
                              <a:gd name="T44" fmla="*/ 2607 w 2607"/>
                              <a:gd name="T45" fmla="*/ 982 h 982"/>
                              <a:gd name="T46" fmla="*/ 2183 w 2607"/>
                              <a:gd name="T47" fmla="*/ 982 h 982"/>
                              <a:gd name="T48" fmla="*/ 2183 w 2607"/>
                              <a:gd name="T49" fmla="*/ 694 h 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07" h="982">
                                <a:moveTo>
                                  <a:pt x="0" y="0"/>
                                </a:moveTo>
                                <a:lnTo>
                                  <a:pt x="424" y="0"/>
                                </a:lnTo>
                                <a:lnTo>
                                  <a:pt x="424" y="333"/>
                                </a:lnTo>
                                <a:lnTo>
                                  <a:pt x="0" y="333"/>
                                </a:lnTo>
                                <a:lnTo>
                                  <a:pt x="0" y="0"/>
                                </a:lnTo>
                                <a:close/>
                                <a:moveTo>
                                  <a:pt x="550" y="171"/>
                                </a:moveTo>
                                <a:lnTo>
                                  <a:pt x="965" y="171"/>
                                </a:lnTo>
                                <a:lnTo>
                                  <a:pt x="965" y="496"/>
                                </a:lnTo>
                                <a:lnTo>
                                  <a:pt x="550" y="496"/>
                                </a:lnTo>
                                <a:lnTo>
                                  <a:pt x="550" y="171"/>
                                </a:lnTo>
                                <a:close/>
                                <a:moveTo>
                                  <a:pt x="1092" y="369"/>
                                </a:moveTo>
                                <a:lnTo>
                                  <a:pt x="1515" y="369"/>
                                </a:lnTo>
                                <a:lnTo>
                                  <a:pt x="1515" y="676"/>
                                </a:lnTo>
                                <a:lnTo>
                                  <a:pt x="1092" y="676"/>
                                </a:lnTo>
                                <a:lnTo>
                                  <a:pt x="1092" y="369"/>
                                </a:lnTo>
                                <a:close/>
                                <a:moveTo>
                                  <a:pt x="1642" y="541"/>
                                </a:moveTo>
                                <a:lnTo>
                                  <a:pt x="2057" y="541"/>
                                </a:lnTo>
                                <a:lnTo>
                                  <a:pt x="2057" y="838"/>
                                </a:lnTo>
                                <a:lnTo>
                                  <a:pt x="1642" y="838"/>
                                </a:lnTo>
                                <a:lnTo>
                                  <a:pt x="1642" y="541"/>
                                </a:lnTo>
                                <a:close/>
                                <a:moveTo>
                                  <a:pt x="2183" y="694"/>
                                </a:moveTo>
                                <a:lnTo>
                                  <a:pt x="2607" y="694"/>
                                </a:lnTo>
                                <a:lnTo>
                                  <a:pt x="2607" y="982"/>
                                </a:lnTo>
                                <a:lnTo>
                                  <a:pt x="2183" y="982"/>
                                </a:lnTo>
                                <a:lnTo>
                                  <a:pt x="2183" y="69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2"/>
                        <wps:cNvSpPr>
                          <a:spLocks noEditPoints="1"/>
                        </wps:cNvSpPr>
                        <wps:spPr bwMode="auto">
                          <a:xfrm>
                            <a:off x="495300" y="306070"/>
                            <a:ext cx="1655445" cy="503555"/>
                          </a:xfrm>
                          <a:custGeom>
                            <a:avLst/>
                            <a:gdLst>
                              <a:gd name="T0" fmla="*/ 0 w 2607"/>
                              <a:gd name="T1" fmla="*/ 0 h 793"/>
                              <a:gd name="T2" fmla="*/ 424 w 2607"/>
                              <a:gd name="T3" fmla="*/ 0 h 793"/>
                              <a:gd name="T4" fmla="*/ 424 w 2607"/>
                              <a:gd name="T5" fmla="*/ 99 h 793"/>
                              <a:gd name="T6" fmla="*/ 0 w 2607"/>
                              <a:gd name="T7" fmla="*/ 99 h 793"/>
                              <a:gd name="T8" fmla="*/ 0 w 2607"/>
                              <a:gd name="T9" fmla="*/ 0 h 793"/>
                              <a:gd name="T10" fmla="*/ 550 w 2607"/>
                              <a:gd name="T11" fmla="*/ 162 h 793"/>
                              <a:gd name="T12" fmla="*/ 965 w 2607"/>
                              <a:gd name="T13" fmla="*/ 162 h 793"/>
                              <a:gd name="T14" fmla="*/ 965 w 2607"/>
                              <a:gd name="T15" fmla="*/ 270 h 793"/>
                              <a:gd name="T16" fmla="*/ 550 w 2607"/>
                              <a:gd name="T17" fmla="*/ 270 h 793"/>
                              <a:gd name="T18" fmla="*/ 550 w 2607"/>
                              <a:gd name="T19" fmla="*/ 162 h 793"/>
                              <a:gd name="T20" fmla="*/ 1092 w 2607"/>
                              <a:gd name="T21" fmla="*/ 360 h 793"/>
                              <a:gd name="T22" fmla="*/ 1515 w 2607"/>
                              <a:gd name="T23" fmla="*/ 360 h 793"/>
                              <a:gd name="T24" fmla="*/ 1515 w 2607"/>
                              <a:gd name="T25" fmla="*/ 468 h 793"/>
                              <a:gd name="T26" fmla="*/ 1092 w 2607"/>
                              <a:gd name="T27" fmla="*/ 468 h 793"/>
                              <a:gd name="T28" fmla="*/ 1092 w 2607"/>
                              <a:gd name="T29" fmla="*/ 360 h 793"/>
                              <a:gd name="T30" fmla="*/ 1642 w 2607"/>
                              <a:gd name="T31" fmla="*/ 531 h 793"/>
                              <a:gd name="T32" fmla="*/ 2057 w 2607"/>
                              <a:gd name="T33" fmla="*/ 531 h 793"/>
                              <a:gd name="T34" fmla="*/ 2057 w 2607"/>
                              <a:gd name="T35" fmla="*/ 640 h 793"/>
                              <a:gd name="T36" fmla="*/ 1642 w 2607"/>
                              <a:gd name="T37" fmla="*/ 640 h 793"/>
                              <a:gd name="T38" fmla="*/ 1642 w 2607"/>
                              <a:gd name="T39" fmla="*/ 531 h 793"/>
                              <a:gd name="T40" fmla="*/ 2183 w 2607"/>
                              <a:gd name="T41" fmla="*/ 694 h 793"/>
                              <a:gd name="T42" fmla="*/ 2607 w 2607"/>
                              <a:gd name="T43" fmla="*/ 694 h 793"/>
                              <a:gd name="T44" fmla="*/ 2607 w 2607"/>
                              <a:gd name="T45" fmla="*/ 793 h 793"/>
                              <a:gd name="T46" fmla="*/ 2183 w 2607"/>
                              <a:gd name="T47" fmla="*/ 793 h 793"/>
                              <a:gd name="T48" fmla="*/ 2183 w 2607"/>
                              <a:gd name="T49" fmla="*/ 694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07" h="793">
                                <a:moveTo>
                                  <a:pt x="0" y="0"/>
                                </a:moveTo>
                                <a:lnTo>
                                  <a:pt x="424" y="0"/>
                                </a:lnTo>
                                <a:lnTo>
                                  <a:pt x="424" y="99"/>
                                </a:lnTo>
                                <a:lnTo>
                                  <a:pt x="0" y="99"/>
                                </a:lnTo>
                                <a:lnTo>
                                  <a:pt x="0" y="0"/>
                                </a:lnTo>
                                <a:close/>
                                <a:moveTo>
                                  <a:pt x="550" y="162"/>
                                </a:moveTo>
                                <a:lnTo>
                                  <a:pt x="965" y="162"/>
                                </a:lnTo>
                                <a:lnTo>
                                  <a:pt x="965" y="270"/>
                                </a:lnTo>
                                <a:lnTo>
                                  <a:pt x="550" y="270"/>
                                </a:lnTo>
                                <a:lnTo>
                                  <a:pt x="550" y="162"/>
                                </a:lnTo>
                                <a:close/>
                                <a:moveTo>
                                  <a:pt x="1092" y="360"/>
                                </a:moveTo>
                                <a:lnTo>
                                  <a:pt x="1515" y="360"/>
                                </a:lnTo>
                                <a:lnTo>
                                  <a:pt x="1515" y="468"/>
                                </a:lnTo>
                                <a:lnTo>
                                  <a:pt x="1092" y="468"/>
                                </a:lnTo>
                                <a:lnTo>
                                  <a:pt x="1092" y="360"/>
                                </a:lnTo>
                                <a:close/>
                                <a:moveTo>
                                  <a:pt x="1642" y="531"/>
                                </a:moveTo>
                                <a:lnTo>
                                  <a:pt x="2057" y="531"/>
                                </a:lnTo>
                                <a:lnTo>
                                  <a:pt x="2057" y="640"/>
                                </a:lnTo>
                                <a:lnTo>
                                  <a:pt x="1642" y="640"/>
                                </a:lnTo>
                                <a:lnTo>
                                  <a:pt x="1642" y="531"/>
                                </a:lnTo>
                                <a:close/>
                                <a:moveTo>
                                  <a:pt x="2183" y="694"/>
                                </a:moveTo>
                                <a:lnTo>
                                  <a:pt x="2607" y="694"/>
                                </a:lnTo>
                                <a:lnTo>
                                  <a:pt x="2607" y="793"/>
                                </a:lnTo>
                                <a:lnTo>
                                  <a:pt x="2183" y="793"/>
                                </a:lnTo>
                                <a:lnTo>
                                  <a:pt x="2183" y="694"/>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3"/>
                        <wps:cNvSpPr>
                          <a:spLocks noEditPoints="1"/>
                        </wps:cNvSpPr>
                        <wps:spPr bwMode="auto">
                          <a:xfrm>
                            <a:off x="844550" y="368935"/>
                            <a:ext cx="1306195" cy="377825"/>
                          </a:xfrm>
                          <a:custGeom>
                            <a:avLst/>
                            <a:gdLst>
                              <a:gd name="T0" fmla="*/ 0 w 2057"/>
                              <a:gd name="T1" fmla="*/ 0 h 595"/>
                              <a:gd name="T2" fmla="*/ 415 w 2057"/>
                              <a:gd name="T3" fmla="*/ 0 h 595"/>
                              <a:gd name="T4" fmla="*/ 415 w 2057"/>
                              <a:gd name="T5" fmla="*/ 63 h 595"/>
                              <a:gd name="T6" fmla="*/ 0 w 2057"/>
                              <a:gd name="T7" fmla="*/ 63 h 595"/>
                              <a:gd name="T8" fmla="*/ 0 w 2057"/>
                              <a:gd name="T9" fmla="*/ 0 h 595"/>
                              <a:gd name="T10" fmla="*/ 542 w 2057"/>
                              <a:gd name="T11" fmla="*/ 108 h 595"/>
                              <a:gd name="T12" fmla="*/ 965 w 2057"/>
                              <a:gd name="T13" fmla="*/ 108 h 595"/>
                              <a:gd name="T14" fmla="*/ 965 w 2057"/>
                              <a:gd name="T15" fmla="*/ 261 h 595"/>
                              <a:gd name="T16" fmla="*/ 542 w 2057"/>
                              <a:gd name="T17" fmla="*/ 261 h 595"/>
                              <a:gd name="T18" fmla="*/ 542 w 2057"/>
                              <a:gd name="T19" fmla="*/ 108 h 595"/>
                              <a:gd name="T20" fmla="*/ 1092 w 2057"/>
                              <a:gd name="T21" fmla="*/ 198 h 595"/>
                              <a:gd name="T22" fmla="*/ 1507 w 2057"/>
                              <a:gd name="T23" fmla="*/ 198 h 595"/>
                              <a:gd name="T24" fmla="*/ 1507 w 2057"/>
                              <a:gd name="T25" fmla="*/ 432 h 595"/>
                              <a:gd name="T26" fmla="*/ 1092 w 2057"/>
                              <a:gd name="T27" fmla="*/ 432 h 595"/>
                              <a:gd name="T28" fmla="*/ 1092 w 2057"/>
                              <a:gd name="T29" fmla="*/ 198 h 595"/>
                              <a:gd name="T30" fmla="*/ 1633 w 2057"/>
                              <a:gd name="T31" fmla="*/ 279 h 595"/>
                              <a:gd name="T32" fmla="*/ 2057 w 2057"/>
                              <a:gd name="T33" fmla="*/ 279 h 595"/>
                              <a:gd name="T34" fmla="*/ 2057 w 2057"/>
                              <a:gd name="T35" fmla="*/ 595 h 595"/>
                              <a:gd name="T36" fmla="*/ 1633 w 2057"/>
                              <a:gd name="T37" fmla="*/ 595 h 595"/>
                              <a:gd name="T38" fmla="*/ 1633 w 2057"/>
                              <a:gd name="T39" fmla="*/ 279 h 5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57" h="595">
                                <a:moveTo>
                                  <a:pt x="0" y="0"/>
                                </a:moveTo>
                                <a:lnTo>
                                  <a:pt x="415" y="0"/>
                                </a:lnTo>
                                <a:lnTo>
                                  <a:pt x="415" y="63"/>
                                </a:lnTo>
                                <a:lnTo>
                                  <a:pt x="0" y="63"/>
                                </a:lnTo>
                                <a:lnTo>
                                  <a:pt x="0" y="0"/>
                                </a:lnTo>
                                <a:close/>
                                <a:moveTo>
                                  <a:pt x="542" y="108"/>
                                </a:moveTo>
                                <a:lnTo>
                                  <a:pt x="965" y="108"/>
                                </a:lnTo>
                                <a:lnTo>
                                  <a:pt x="965" y="261"/>
                                </a:lnTo>
                                <a:lnTo>
                                  <a:pt x="542" y="261"/>
                                </a:lnTo>
                                <a:lnTo>
                                  <a:pt x="542" y="108"/>
                                </a:lnTo>
                                <a:close/>
                                <a:moveTo>
                                  <a:pt x="1092" y="198"/>
                                </a:moveTo>
                                <a:lnTo>
                                  <a:pt x="1507" y="198"/>
                                </a:lnTo>
                                <a:lnTo>
                                  <a:pt x="1507" y="432"/>
                                </a:lnTo>
                                <a:lnTo>
                                  <a:pt x="1092" y="432"/>
                                </a:lnTo>
                                <a:lnTo>
                                  <a:pt x="1092" y="198"/>
                                </a:lnTo>
                                <a:close/>
                                <a:moveTo>
                                  <a:pt x="1633" y="279"/>
                                </a:moveTo>
                                <a:lnTo>
                                  <a:pt x="2057" y="279"/>
                                </a:lnTo>
                                <a:lnTo>
                                  <a:pt x="2057" y="595"/>
                                </a:lnTo>
                                <a:lnTo>
                                  <a:pt x="1633" y="595"/>
                                </a:lnTo>
                                <a:lnTo>
                                  <a:pt x="1633" y="279"/>
                                </a:lnTo>
                                <a:close/>
                              </a:path>
                            </a:pathLst>
                          </a:custGeom>
                          <a:solidFill>
                            <a:srgbClr val="93C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4"/>
                        <wps:cNvSpPr>
                          <a:spLocks noEditPoints="1"/>
                        </wps:cNvSpPr>
                        <wps:spPr bwMode="auto">
                          <a:xfrm>
                            <a:off x="844550" y="340360"/>
                            <a:ext cx="1306195" cy="205740"/>
                          </a:xfrm>
                          <a:custGeom>
                            <a:avLst/>
                            <a:gdLst>
                              <a:gd name="T0" fmla="*/ 0 w 2057"/>
                              <a:gd name="T1" fmla="*/ 0 h 324"/>
                              <a:gd name="T2" fmla="*/ 415 w 2057"/>
                              <a:gd name="T3" fmla="*/ 0 h 324"/>
                              <a:gd name="T4" fmla="*/ 415 w 2057"/>
                              <a:gd name="T5" fmla="*/ 45 h 324"/>
                              <a:gd name="T6" fmla="*/ 0 w 2057"/>
                              <a:gd name="T7" fmla="*/ 45 h 324"/>
                              <a:gd name="T8" fmla="*/ 0 w 2057"/>
                              <a:gd name="T9" fmla="*/ 0 h 324"/>
                              <a:gd name="T10" fmla="*/ 542 w 2057"/>
                              <a:gd name="T11" fmla="*/ 54 h 324"/>
                              <a:gd name="T12" fmla="*/ 965 w 2057"/>
                              <a:gd name="T13" fmla="*/ 54 h 324"/>
                              <a:gd name="T14" fmla="*/ 965 w 2057"/>
                              <a:gd name="T15" fmla="*/ 153 h 324"/>
                              <a:gd name="T16" fmla="*/ 542 w 2057"/>
                              <a:gd name="T17" fmla="*/ 153 h 324"/>
                              <a:gd name="T18" fmla="*/ 542 w 2057"/>
                              <a:gd name="T19" fmla="*/ 54 h 324"/>
                              <a:gd name="T20" fmla="*/ 1092 w 2057"/>
                              <a:gd name="T21" fmla="*/ 108 h 324"/>
                              <a:gd name="T22" fmla="*/ 1507 w 2057"/>
                              <a:gd name="T23" fmla="*/ 108 h 324"/>
                              <a:gd name="T24" fmla="*/ 1507 w 2057"/>
                              <a:gd name="T25" fmla="*/ 243 h 324"/>
                              <a:gd name="T26" fmla="*/ 1092 w 2057"/>
                              <a:gd name="T27" fmla="*/ 243 h 324"/>
                              <a:gd name="T28" fmla="*/ 1092 w 2057"/>
                              <a:gd name="T29" fmla="*/ 108 h 324"/>
                              <a:gd name="T30" fmla="*/ 1633 w 2057"/>
                              <a:gd name="T31" fmla="*/ 153 h 324"/>
                              <a:gd name="T32" fmla="*/ 2057 w 2057"/>
                              <a:gd name="T33" fmla="*/ 153 h 324"/>
                              <a:gd name="T34" fmla="*/ 2057 w 2057"/>
                              <a:gd name="T35" fmla="*/ 324 h 324"/>
                              <a:gd name="T36" fmla="*/ 1633 w 2057"/>
                              <a:gd name="T37" fmla="*/ 324 h 324"/>
                              <a:gd name="T38" fmla="*/ 1633 w 2057"/>
                              <a:gd name="T39" fmla="*/ 153 h 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57" h="324">
                                <a:moveTo>
                                  <a:pt x="0" y="0"/>
                                </a:moveTo>
                                <a:lnTo>
                                  <a:pt x="415" y="0"/>
                                </a:lnTo>
                                <a:lnTo>
                                  <a:pt x="415" y="45"/>
                                </a:lnTo>
                                <a:lnTo>
                                  <a:pt x="0" y="45"/>
                                </a:lnTo>
                                <a:lnTo>
                                  <a:pt x="0" y="0"/>
                                </a:lnTo>
                                <a:close/>
                                <a:moveTo>
                                  <a:pt x="542" y="54"/>
                                </a:moveTo>
                                <a:lnTo>
                                  <a:pt x="965" y="54"/>
                                </a:lnTo>
                                <a:lnTo>
                                  <a:pt x="965" y="153"/>
                                </a:lnTo>
                                <a:lnTo>
                                  <a:pt x="542" y="153"/>
                                </a:lnTo>
                                <a:lnTo>
                                  <a:pt x="542" y="54"/>
                                </a:lnTo>
                                <a:close/>
                                <a:moveTo>
                                  <a:pt x="1092" y="108"/>
                                </a:moveTo>
                                <a:lnTo>
                                  <a:pt x="1507" y="108"/>
                                </a:lnTo>
                                <a:lnTo>
                                  <a:pt x="1507" y="243"/>
                                </a:lnTo>
                                <a:lnTo>
                                  <a:pt x="1092" y="243"/>
                                </a:lnTo>
                                <a:lnTo>
                                  <a:pt x="1092" y="108"/>
                                </a:lnTo>
                                <a:close/>
                                <a:moveTo>
                                  <a:pt x="1633" y="153"/>
                                </a:moveTo>
                                <a:lnTo>
                                  <a:pt x="2057" y="153"/>
                                </a:lnTo>
                                <a:lnTo>
                                  <a:pt x="2057" y="324"/>
                                </a:lnTo>
                                <a:lnTo>
                                  <a:pt x="1633" y="324"/>
                                </a:lnTo>
                                <a:lnTo>
                                  <a:pt x="1633" y="153"/>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Rectangle 15"/>
                        <wps:cNvSpPr>
                          <a:spLocks noChangeArrowheads="1"/>
                        </wps:cNvSpPr>
                        <wps:spPr bwMode="auto">
                          <a:xfrm>
                            <a:off x="455295" y="102870"/>
                            <a:ext cx="5715" cy="2254250"/>
                          </a:xfrm>
                          <a:prstGeom prst="rect">
                            <a:avLst/>
                          </a:prstGeom>
                          <a:solidFill>
                            <a:srgbClr val="868686"/>
                          </a:solidFill>
                          <a:ln w="5715" cap="flat">
                            <a:solidFill>
                              <a:srgbClr val="868686"/>
                            </a:solidFill>
                            <a:prstDash val="solid"/>
                            <a:bevel/>
                            <a:headEnd/>
                            <a:tailEnd/>
                          </a:ln>
                        </wps:spPr>
                        <wps:bodyPr rot="0" vert="horz" wrap="square" lIns="91440" tIns="45720" rIns="91440" bIns="45720" anchor="t" anchorCtr="0" upright="1">
                          <a:noAutofit/>
                        </wps:bodyPr>
                      </wps:wsp>
                      <wps:wsp>
                        <wps:cNvPr id="14" name="Freeform 16"/>
                        <wps:cNvSpPr>
                          <a:spLocks noEditPoints="1"/>
                        </wps:cNvSpPr>
                        <wps:spPr bwMode="auto">
                          <a:xfrm>
                            <a:off x="423545" y="100330"/>
                            <a:ext cx="34925" cy="2259330"/>
                          </a:xfrm>
                          <a:custGeom>
                            <a:avLst/>
                            <a:gdLst>
                              <a:gd name="T0" fmla="*/ 0 w 55"/>
                              <a:gd name="T1" fmla="*/ 3549 h 3558"/>
                              <a:gd name="T2" fmla="*/ 55 w 55"/>
                              <a:gd name="T3" fmla="*/ 3549 h 3558"/>
                              <a:gd name="T4" fmla="*/ 55 w 55"/>
                              <a:gd name="T5" fmla="*/ 3558 h 3558"/>
                              <a:gd name="T6" fmla="*/ 0 w 55"/>
                              <a:gd name="T7" fmla="*/ 3558 h 3558"/>
                              <a:gd name="T8" fmla="*/ 0 w 55"/>
                              <a:gd name="T9" fmla="*/ 3549 h 3558"/>
                              <a:gd name="T10" fmla="*/ 0 w 55"/>
                              <a:gd name="T11" fmla="*/ 2963 h 3558"/>
                              <a:gd name="T12" fmla="*/ 55 w 55"/>
                              <a:gd name="T13" fmla="*/ 2963 h 3558"/>
                              <a:gd name="T14" fmla="*/ 55 w 55"/>
                              <a:gd name="T15" fmla="*/ 2972 h 3558"/>
                              <a:gd name="T16" fmla="*/ 0 w 55"/>
                              <a:gd name="T17" fmla="*/ 2972 h 3558"/>
                              <a:gd name="T18" fmla="*/ 0 w 55"/>
                              <a:gd name="T19" fmla="*/ 2963 h 3558"/>
                              <a:gd name="T20" fmla="*/ 0 w 55"/>
                              <a:gd name="T21" fmla="*/ 2369 h 3558"/>
                              <a:gd name="T22" fmla="*/ 55 w 55"/>
                              <a:gd name="T23" fmla="*/ 2369 h 3558"/>
                              <a:gd name="T24" fmla="*/ 55 w 55"/>
                              <a:gd name="T25" fmla="*/ 2378 h 3558"/>
                              <a:gd name="T26" fmla="*/ 0 w 55"/>
                              <a:gd name="T27" fmla="*/ 2378 h 3558"/>
                              <a:gd name="T28" fmla="*/ 0 w 55"/>
                              <a:gd name="T29" fmla="*/ 2369 h 3558"/>
                              <a:gd name="T30" fmla="*/ 0 w 55"/>
                              <a:gd name="T31" fmla="*/ 1774 h 3558"/>
                              <a:gd name="T32" fmla="*/ 55 w 55"/>
                              <a:gd name="T33" fmla="*/ 1774 h 3558"/>
                              <a:gd name="T34" fmla="*/ 55 w 55"/>
                              <a:gd name="T35" fmla="*/ 1783 h 3558"/>
                              <a:gd name="T36" fmla="*/ 0 w 55"/>
                              <a:gd name="T37" fmla="*/ 1783 h 3558"/>
                              <a:gd name="T38" fmla="*/ 0 w 55"/>
                              <a:gd name="T39" fmla="*/ 1774 h 3558"/>
                              <a:gd name="T40" fmla="*/ 0 w 55"/>
                              <a:gd name="T41" fmla="*/ 1189 h 3558"/>
                              <a:gd name="T42" fmla="*/ 55 w 55"/>
                              <a:gd name="T43" fmla="*/ 1189 h 3558"/>
                              <a:gd name="T44" fmla="*/ 55 w 55"/>
                              <a:gd name="T45" fmla="*/ 1198 h 3558"/>
                              <a:gd name="T46" fmla="*/ 0 w 55"/>
                              <a:gd name="T47" fmla="*/ 1198 h 3558"/>
                              <a:gd name="T48" fmla="*/ 0 w 55"/>
                              <a:gd name="T49" fmla="*/ 1189 h 3558"/>
                              <a:gd name="T50" fmla="*/ 0 w 55"/>
                              <a:gd name="T51" fmla="*/ 594 h 3558"/>
                              <a:gd name="T52" fmla="*/ 55 w 55"/>
                              <a:gd name="T53" fmla="*/ 594 h 3558"/>
                              <a:gd name="T54" fmla="*/ 55 w 55"/>
                              <a:gd name="T55" fmla="*/ 603 h 3558"/>
                              <a:gd name="T56" fmla="*/ 0 w 55"/>
                              <a:gd name="T57" fmla="*/ 603 h 3558"/>
                              <a:gd name="T58" fmla="*/ 0 w 55"/>
                              <a:gd name="T59" fmla="*/ 594 h 3558"/>
                              <a:gd name="T60" fmla="*/ 0 w 55"/>
                              <a:gd name="T61" fmla="*/ 0 h 3558"/>
                              <a:gd name="T62" fmla="*/ 55 w 55"/>
                              <a:gd name="T63" fmla="*/ 0 h 3558"/>
                              <a:gd name="T64" fmla="*/ 55 w 55"/>
                              <a:gd name="T65" fmla="*/ 9 h 3558"/>
                              <a:gd name="T66" fmla="*/ 0 w 55"/>
                              <a:gd name="T67" fmla="*/ 9 h 3558"/>
                              <a:gd name="T68" fmla="*/ 0 w 55"/>
                              <a:gd name="T69" fmla="*/ 0 h 35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5" h="3558">
                                <a:moveTo>
                                  <a:pt x="0" y="3549"/>
                                </a:moveTo>
                                <a:lnTo>
                                  <a:pt x="55" y="3549"/>
                                </a:lnTo>
                                <a:lnTo>
                                  <a:pt x="55" y="3558"/>
                                </a:lnTo>
                                <a:lnTo>
                                  <a:pt x="0" y="3558"/>
                                </a:lnTo>
                                <a:lnTo>
                                  <a:pt x="0" y="3549"/>
                                </a:lnTo>
                                <a:close/>
                                <a:moveTo>
                                  <a:pt x="0" y="2963"/>
                                </a:moveTo>
                                <a:lnTo>
                                  <a:pt x="55" y="2963"/>
                                </a:lnTo>
                                <a:lnTo>
                                  <a:pt x="55" y="2972"/>
                                </a:lnTo>
                                <a:lnTo>
                                  <a:pt x="0" y="2972"/>
                                </a:lnTo>
                                <a:lnTo>
                                  <a:pt x="0" y="2963"/>
                                </a:lnTo>
                                <a:close/>
                                <a:moveTo>
                                  <a:pt x="0" y="2369"/>
                                </a:moveTo>
                                <a:lnTo>
                                  <a:pt x="55" y="2369"/>
                                </a:lnTo>
                                <a:lnTo>
                                  <a:pt x="55" y="2378"/>
                                </a:lnTo>
                                <a:lnTo>
                                  <a:pt x="0" y="2378"/>
                                </a:lnTo>
                                <a:lnTo>
                                  <a:pt x="0" y="2369"/>
                                </a:lnTo>
                                <a:close/>
                                <a:moveTo>
                                  <a:pt x="0" y="1774"/>
                                </a:moveTo>
                                <a:lnTo>
                                  <a:pt x="55" y="1774"/>
                                </a:lnTo>
                                <a:lnTo>
                                  <a:pt x="55" y="1783"/>
                                </a:lnTo>
                                <a:lnTo>
                                  <a:pt x="0" y="1783"/>
                                </a:lnTo>
                                <a:lnTo>
                                  <a:pt x="0" y="1774"/>
                                </a:lnTo>
                                <a:close/>
                                <a:moveTo>
                                  <a:pt x="0" y="1189"/>
                                </a:moveTo>
                                <a:lnTo>
                                  <a:pt x="55" y="1189"/>
                                </a:lnTo>
                                <a:lnTo>
                                  <a:pt x="55" y="1198"/>
                                </a:lnTo>
                                <a:lnTo>
                                  <a:pt x="0" y="1198"/>
                                </a:lnTo>
                                <a:lnTo>
                                  <a:pt x="0" y="1189"/>
                                </a:lnTo>
                                <a:close/>
                                <a:moveTo>
                                  <a:pt x="0" y="594"/>
                                </a:moveTo>
                                <a:lnTo>
                                  <a:pt x="55" y="594"/>
                                </a:lnTo>
                                <a:lnTo>
                                  <a:pt x="55" y="603"/>
                                </a:lnTo>
                                <a:lnTo>
                                  <a:pt x="0" y="603"/>
                                </a:lnTo>
                                <a:lnTo>
                                  <a:pt x="0" y="594"/>
                                </a:lnTo>
                                <a:close/>
                                <a:moveTo>
                                  <a:pt x="0" y="0"/>
                                </a:moveTo>
                                <a:lnTo>
                                  <a:pt x="55" y="0"/>
                                </a:lnTo>
                                <a:lnTo>
                                  <a:pt x="55" y="9"/>
                                </a:lnTo>
                                <a:lnTo>
                                  <a:pt x="0" y="9"/>
                                </a:lnTo>
                                <a:lnTo>
                                  <a:pt x="0" y="0"/>
                                </a:lnTo>
                                <a:close/>
                              </a:path>
                            </a:pathLst>
                          </a:custGeom>
                          <a:solidFill>
                            <a:srgbClr val="868686"/>
                          </a:solidFill>
                          <a:ln w="5715" cap="flat">
                            <a:solidFill>
                              <a:srgbClr val="868686"/>
                            </a:solidFill>
                            <a:prstDash val="solid"/>
                            <a:bevel/>
                            <a:headEnd/>
                            <a:tailEnd/>
                          </a:ln>
                        </wps:spPr>
                        <wps:bodyPr rot="0" vert="horz" wrap="square" lIns="91440" tIns="45720" rIns="91440" bIns="45720" anchor="t" anchorCtr="0" upright="1">
                          <a:noAutofit/>
                        </wps:bodyPr>
                      </wps:wsp>
                      <wps:wsp>
                        <wps:cNvPr id="15" name="Rectangle 17"/>
                        <wps:cNvSpPr>
                          <a:spLocks noChangeArrowheads="1"/>
                        </wps:cNvSpPr>
                        <wps:spPr bwMode="auto">
                          <a:xfrm>
                            <a:off x="458470" y="2353945"/>
                            <a:ext cx="1729105" cy="5715"/>
                          </a:xfrm>
                          <a:prstGeom prst="rect">
                            <a:avLst/>
                          </a:prstGeom>
                          <a:solidFill>
                            <a:srgbClr val="868686"/>
                          </a:solidFill>
                          <a:ln w="5715" cap="flat">
                            <a:solidFill>
                              <a:srgbClr val="868686"/>
                            </a:solidFill>
                            <a:prstDash val="solid"/>
                            <a:bevel/>
                            <a:headEnd/>
                            <a:tailEnd/>
                          </a:ln>
                        </wps:spPr>
                        <wps:bodyPr rot="0" vert="horz" wrap="square" lIns="91440" tIns="45720" rIns="91440" bIns="45720" anchor="t" anchorCtr="0" upright="1">
                          <a:noAutofit/>
                        </wps:bodyPr>
                      </wps:wsp>
                      <wps:wsp>
                        <wps:cNvPr id="16" name="Freeform 18"/>
                        <wps:cNvSpPr>
                          <a:spLocks noEditPoints="1"/>
                        </wps:cNvSpPr>
                        <wps:spPr bwMode="auto">
                          <a:xfrm>
                            <a:off x="455295" y="2357120"/>
                            <a:ext cx="1735455" cy="34290"/>
                          </a:xfrm>
                          <a:custGeom>
                            <a:avLst/>
                            <a:gdLst>
                              <a:gd name="T0" fmla="*/ 9 w 2733"/>
                              <a:gd name="T1" fmla="*/ 0 h 54"/>
                              <a:gd name="T2" fmla="*/ 9 w 2733"/>
                              <a:gd name="T3" fmla="*/ 54 h 54"/>
                              <a:gd name="T4" fmla="*/ 0 w 2733"/>
                              <a:gd name="T5" fmla="*/ 54 h 54"/>
                              <a:gd name="T6" fmla="*/ 0 w 2733"/>
                              <a:gd name="T7" fmla="*/ 0 h 54"/>
                              <a:gd name="T8" fmla="*/ 9 w 2733"/>
                              <a:gd name="T9" fmla="*/ 0 h 54"/>
                              <a:gd name="T10" fmla="*/ 550 w 2733"/>
                              <a:gd name="T11" fmla="*/ 0 h 54"/>
                              <a:gd name="T12" fmla="*/ 550 w 2733"/>
                              <a:gd name="T13" fmla="*/ 54 h 54"/>
                              <a:gd name="T14" fmla="*/ 541 w 2733"/>
                              <a:gd name="T15" fmla="*/ 54 h 54"/>
                              <a:gd name="T16" fmla="*/ 541 w 2733"/>
                              <a:gd name="T17" fmla="*/ 0 h 54"/>
                              <a:gd name="T18" fmla="*/ 550 w 2733"/>
                              <a:gd name="T19" fmla="*/ 0 h 54"/>
                              <a:gd name="T20" fmla="*/ 1100 w 2733"/>
                              <a:gd name="T21" fmla="*/ 0 h 54"/>
                              <a:gd name="T22" fmla="*/ 1100 w 2733"/>
                              <a:gd name="T23" fmla="*/ 54 h 54"/>
                              <a:gd name="T24" fmla="*/ 1091 w 2733"/>
                              <a:gd name="T25" fmla="*/ 54 h 54"/>
                              <a:gd name="T26" fmla="*/ 1091 w 2733"/>
                              <a:gd name="T27" fmla="*/ 0 h 54"/>
                              <a:gd name="T28" fmla="*/ 1100 w 2733"/>
                              <a:gd name="T29" fmla="*/ 0 h 54"/>
                              <a:gd name="T30" fmla="*/ 1642 w 2733"/>
                              <a:gd name="T31" fmla="*/ 0 h 54"/>
                              <a:gd name="T32" fmla="*/ 1642 w 2733"/>
                              <a:gd name="T33" fmla="*/ 54 h 54"/>
                              <a:gd name="T34" fmla="*/ 1633 w 2733"/>
                              <a:gd name="T35" fmla="*/ 54 h 54"/>
                              <a:gd name="T36" fmla="*/ 1633 w 2733"/>
                              <a:gd name="T37" fmla="*/ 0 h 54"/>
                              <a:gd name="T38" fmla="*/ 1642 w 2733"/>
                              <a:gd name="T39" fmla="*/ 0 h 54"/>
                              <a:gd name="T40" fmla="*/ 2192 w 2733"/>
                              <a:gd name="T41" fmla="*/ 0 h 54"/>
                              <a:gd name="T42" fmla="*/ 2192 w 2733"/>
                              <a:gd name="T43" fmla="*/ 54 h 54"/>
                              <a:gd name="T44" fmla="*/ 2183 w 2733"/>
                              <a:gd name="T45" fmla="*/ 54 h 54"/>
                              <a:gd name="T46" fmla="*/ 2183 w 2733"/>
                              <a:gd name="T47" fmla="*/ 0 h 54"/>
                              <a:gd name="T48" fmla="*/ 2192 w 2733"/>
                              <a:gd name="T49" fmla="*/ 0 h 54"/>
                              <a:gd name="T50" fmla="*/ 2733 w 2733"/>
                              <a:gd name="T51" fmla="*/ 0 h 54"/>
                              <a:gd name="T52" fmla="*/ 2733 w 2733"/>
                              <a:gd name="T53" fmla="*/ 54 h 54"/>
                              <a:gd name="T54" fmla="*/ 2724 w 2733"/>
                              <a:gd name="T55" fmla="*/ 54 h 54"/>
                              <a:gd name="T56" fmla="*/ 2724 w 2733"/>
                              <a:gd name="T57" fmla="*/ 0 h 54"/>
                              <a:gd name="T58" fmla="*/ 2733 w 2733"/>
                              <a:gd name="T59"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733" h="54">
                                <a:moveTo>
                                  <a:pt x="9" y="0"/>
                                </a:moveTo>
                                <a:lnTo>
                                  <a:pt x="9" y="54"/>
                                </a:lnTo>
                                <a:lnTo>
                                  <a:pt x="0" y="54"/>
                                </a:lnTo>
                                <a:lnTo>
                                  <a:pt x="0" y="0"/>
                                </a:lnTo>
                                <a:lnTo>
                                  <a:pt x="9" y="0"/>
                                </a:lnTo>
                                <a:close/>
                                <a:moveTo>
                                  <a:pt x="550" y="0"/>
                                </a:moveTo>
                                <a:lnTo>
                                  <a:pt x="550" y="54"/>
                                </a:lnTo>
                                <a:lnTo>
                                  <a:pt x="541" y="54"/>
                                </a:lnTo>
                                <a:lnTo>
                                  <a:pt x="541" y="0"/>
                                </a:lnTo>
                                <a:lnTo>
                                  <a:pt x="550" y="0"/>
                                </a:lnTo>
                                <a:close/>
                                <a:moveTo>
                                  <a:pt x="1100" y="0"/>
                                </a:moveTo>
                                <a:lnTo>
                                  <a:pt x="1100" y="54"/>
                                </a:lnTo>
                                <a:lnTo>
                                  <a:pt x="1091" y="54"/>
                                </a:lnTo>
                                <a:lnTo>
                                  <a:pt x="1091" y="0"/>
                                </a:lnTo>
                                <a:lnTo>
                                  <a:pt x="1100" y="0"/>
                                </a:lnTo>
                                <a:close/>
                                <a:moveTo>
                                  <a:pt x="1642" y="0"/>
                                </a:moveTo>
                                <a:lnTo>
                                  <a:pt x="1642" y="54"/>
                                </a:lnTo>
                                <a:lnTo>
                                  <a:pt x="1633" y="54"/>
                                </a:lnTo>
                                <a:lnTo>
                                  <a:pt x="1633" y="0"/>
                                </a:lnTo>
                                <a:lnTo>
                                  <a:pt x="1642" y="0"/>
                                </a:lnTo>
                                <a:close/>
                                <a:moveTo>
                                  <a:pt x="2192" y="0"/>
                                </a:moveTo>
                                <a:lnTo>
                                  <a:pt x="2192" y="54"/>
                                </a:lnTo>
                                <a:lnTo>
                                  <a:pt x="2183" y="54"/>
                                </a:lnTo>
                                <a:lnTo>
                                  <a:pt x="2183" y="0"/>
                                </a:lnTo>
                                <a:lnTo>
                                  <a:pt x="2192" y="0"/>
                                </a:lnTo>
                                <a:close/>
                                <a:moveTo>
                                  <a:pt x="2733" y="0"/>
                                </a:moveTo>
                                <a:lnTo>
                                  <a:pt x="2733" y="54"/>
                                </a:lnTo>
                                <a:lnTo>
                                  <a:pt x="2724" y="54"/>
                                </a:lnTo>
                                <a:lnTo>
                                  <a:pt x="2724" y="0"/>
                                </a:lnTo>
                                <a:lnTo>
                                  <a:pt x="2733" y="0"/>
                                </a:lnTo>
                                <a:close/>
                              </a:path>
                            </a:pathLst>
                          </a:custGeom>
                          <a:solidFill>
                            <a:srgbClr val="868686"/>
                          </a:solidFill>
                          <a:ln w="5715" cap="flat">
                            <a:solidFill>
                              <a:srgbClr val="868686"/>
                            </a:solidFill>
                            <a:prstDash val="solid"/>
                            <a:bevel/>
                            <a:headEnd/>
                            <a:tailEnd/>
                          </a:ln>
                        </wps:spPr>
                        <wps:bodyPr rot="0" vert="horz" wrap="square" lIns="91440" tIns="45720" rIns="91440" bIns="45720" anchor="t" anchorCtr="0" upright="1">
                          <a:noAutofit/>
                        </wps:bodyPr>
                      </wps:wsp>
                      <wps:wsp>
                        <wps:cNvPr id="17" name="Rectangle 19"/>
                        <wps:cNvSpPr>
                          <a:spLocks noChangeArrowheads="1"/>
                        </wps:cNvSpPr>
                        <wps:spPr bwMode="auto">
                          <a:xfrm>
                            <a:off x="302260" y="2289175"/>
                            <a:ext cx="64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3EAEF" w14:textId="77777777" w:rsidR="00AF2E9A" w:rsidRPr="00771A4B" w:rsidRDefault="00AF2E9A" w:rsidP="0044710E">
                              <w:pPr>
                                <w:rPr>
                                  <w:rFonts w:cstheme="minorHAnsi"/>
                                  <w:sz w:val="24"/>
                                </w:rPr>
                              </w:pPr>
                              <w:r w:rsidRPr="00771A4B">
                                <w:rPr>
                                  <w:rFonts w:cstheme="minorHAnsi"/>
                                  <w:color w:val="000000"/>
                                  <w:sz w:val="20"/>
                                  <w:szCs w:val="18"/>
                                  <w:lang w:val="en-US"/>
                                </w:rPr>
                                <w:t>0</w:t>
                              </w:r>
                            </w:p>
                          </w:txbxContent>
                        </wps:txbx>
                        <wps:bodyPr rot="0" vert="horz" wrap="none" lIns="0" tIns="0" rIns="0" bIns="0" anchor="t" anchorCtr="0">
                          <a:spAutoFit/>
                        </wps:bodyPr>
                      </wps:wsp>
                      <wps:wsp>
                        <wps:cNvPr id="18" name="Rectangle 20"/>
                        <wps:cNvSpPr>
                          <a:spLocks noChangeArrowheads="1"/>
                        </wps:cNvSpPr>
                        <wps:spPr bwMode="auto">
                          <a:xfrm>
                            <a:off x="246380" y="191389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8D7FA" w14:textId="77777777" w:rsidR="00AF2E9A" w:rsidRPr="00771A4B" w:rsidRDefault="00AF2E9A" w:rsidP="0044710E">
                              <w:pPr>
                                <w:rPr>
                                  <w:rFonts w:cstheme="minorHAnsi"/>
                                  <w:sz w:val="24"/>
                                </w:rPr>
                              </w:pPr>
                              <w:r w:rsidRPr="00771A4B">
                                <w:rPr>
                                  <w:rFonts w:cstheme="minorHAnsi"/>
                                  <w:color w:val="000000"/>
                                  <w:sz w:val="20"/>
                                  <w:szCs w:val="18"/>
                                  <w:lang w:val="en-US"/>
                                </w:rPr>
                                <w:t>10</w:t>
                              </w:r>
                            </w:p>
                          </w:txbxContent>
                        </wps:txbx>
                        <wps:bodyPr rot="0" vert="horz" wrap="none" lIns="0" tIns="0" rIns="0" bIns="0" anchor="t" anchorCtr="0">
                          <a:spAutoFit/>
                        </wps:bodyPr>
                      </wps:wsp>
                      <wps:wsp>
                        <wps:cNvPr id="19" name="Rectangle 21"/>
                        <wps:cNvSpPr>
                          <a:spLocks noChangeArrowheads="1"/>
                        </wps:cNvSpPr>
                        <wps:spPr bwMode="auto">
                          <a:xfrm>
                            <a:off x="246380" y="1538605"/>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3CC1" w14:textId="77777777" w:rsidR="00AF2E9A" w:rsidRPr="00771A4B" w:rsidRDefault="00AF2E9A" w:rsidP="0044710E">
                              <w:pPr>
                                <w:rPr>
                                  <w:rFonts w:cstheme="minorHAnsi"/>
                                  <w:sz w:val="24"/>
                                </w:rPr>
                              </w:pPr>
                              <w:r w:rsidRPr="00771A4B">
                                <w:rPr>
                                  <w:rFonts w:cstheme="minorHAnsi"/>
                                  <w:color w:val="000000"/>
                                  <w:sz w:val="20"/>
                                  <w:szCs w:val="18"/>
                                  <w:lang w:val="en-US"/>
                                </w:rPr>
                                <w:t>20</w:t>
                              </w:r>
                            </w:p>
                          </w:txbxContent>
                        </wps:txbx>
                        <wps:bodyPr rot="0" vert="horz" wrap="none" lIns="0" tIns="0" rIns="0" bIns="0" anchor="t" anchorCtr="0">
                          <a:spAutoFit/>
                        </wps:bodyPr>
                      </wps:wsp>
                      <wps:wsp>
                        <wps:cNvPr id="20" name="Rectangle 22"/>
                        <wps:cNvSpPr>
                          <a:spLocks noChangeArrowheads="1"/>
                        </wps:cNvSpPr>
                        <wps:spPr bwMode="auto">
                          <a:xfrm>
                            <a:off x="246380" y="116332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19508" w14:textId="77777777" w:rsidR="00AF2E9A" w:rsidRPr="00771A4B" w:rsidRDefault="00AF2E9A" w:rsidP="0044710E">
                              <w:pPr>
                                <w:rPr>
                                  <w:rFonts w:cstheme="minorHAnsi"/>
                                  <w:sz w:val="24"/>
                                </w:rPr>
                              </w:pPr>
                              <w:r w:rsidRPr="00771A4B">
                                <w:rPr>
                                  <w:rFonts w:cstheme="minorHAnsi"/>
                                  <w:color w:val="000000"/>
                                  <w:sz w:val="20"/>
                                  <w:szCs w:val="18"/>
                                  <w:lang w:val="en-US"/>
                                </w:rPr>
                                <w:t>30</w:t>
                              </w:r>
                            </w:p>
                          </w:txbxContent>
                        </wps:txbx>
                        <wps:bodyPr rot="0" vert="horz" wrap="none" lIns="0" tIns="0" rIns="0" bIns="0" anchor="t" anchorCtr="0">
                          <a:spAutoFit/>
                        </wps:bodyPr>
                      </wps:wsp>
                      <wps:wsp>
                        <wps:cNvPr id="21" name="Rectangle 23"/>
                        <wps:cNvSpPr>
                          <a:spLocks noChangeArrowheads="1"/>
                        </wps:cNvSpPr>
                        <wps:spPr bwMode="auto">
                          <a:xfrm>
                            <a:off x="246380" y="788035"/>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EF579" w14:textId="77777777" w:rsidR="00AF2E9A" w:rsidRPr="00771A4B" w:rsidRDefault="00AF2E9A" w:rsidP="0044710E">
                              <w:pPr>
                                <w:rPr>
                                  <w:rFonts w:cstheme="minorHAnsi"/>
                                  <w:sz w:val="24"/>
                                </w:rPr>
                              </w:pPr>
                              <w:r w:rsidRPr="00771A4B">
                                <w:rPr>
                                  <w:rFonts w:cstheme="minorHAnsi"/>
                                  <w:color w:val="000000"/>
                                  <w:sz w:val="20"/>
                                  <w:szCs w:val="18"/>
                                  <w:lang w:val="en-US"/>
                                </w:rPr>
                                <w:t>40</w:t>
                              </w:r>
                            </w:p>
                          </w:txbxContent>
                        </wps:txbx>
                        <wps:bodyPr rot="0" vert="horz" wrap="none" lIns="0" tIns="0" rIns="0" bIns="0" anchor="t" anchorCtr="0">
                          <a:spAutoFit/>
                        </wps:bodyPr>
                      </wps:wsp>
                      <wps:wsp>
                        <wps:cNvPr id="22" name="Rectangle 24"/>
                        <wps:cNvSpPr>
                          <a:spLocks noChangeArrowheads="1"/>
                        </wps:cNvSpPr>
                        <wps:spPr bwMode="auto">
                          <a:xfrm>
                            <a:off x="246380" y="41275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C0B2F" w14:textId="77777777" w:rsidR="00AF2E9A" w:rsidRPr="00771A4B" w:rsidRDefault="00AF2E9A" w:rsidP="0044710E">
                              <w:pPr>
                                <w:rPr>
                                  <w:rFonts w:cstheme="minorHAnsi"/>
                                  <w:sz w:val="24"/>
                                </w:rPr>
                              </w:pPr>
                              <w:r w:rsidRPr="00771A4B">
                                <w:rPr>
                                  <w:rFonts w:cstheme="minorHAnsi"/>
                                  <w:color w:val="000000"/>
                                  <w:sz w:val="20"/>
                                  <w:szCs w:val="18"/>
                                  <w:lang w:val="en-US"/>
                                </w:rPr>
                                <w:t>50</w:t>
                              </w:r>
                            </w:p>
                          </w:txbxContent>
                        </wps:txbx>
                        <wps:bodyPr rot="0" vert="horz" wrap="none" lIns="0" tIns="0" rIns="0" bIns="0" anchor="t" anchorCtr="0">
                          <a:spAutoFit/>
                        </wps:bodyPr>
                      </wps:wsp>
                      <wps:wsp>
                        <wps:cNvPr id="23" name="Rectangle 25"/>
                        <wps:cNvSpPr>
                          <a:spLocks noChangeArrowheads="1"/>
                        </wps:cNvSpPr>
                        <wps:spPr bwMode="auto">
                          <a:xfrm>
                            <a:off x="246380" y="37465"/>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5E26A" w14:textId="77777777" w:rsidR="00AF2E9A" w:rsidRPr="00771A4B" w:rsidRDefault="00AF2E9A" w:rsidP="0044710E">
                              <w:pPr>
                                <w:rPr>
                                  <w:rFonts w:cstheme="minorHAnsi"/>
                                  <w:sz w:val="24"/>
                                </w:rPr>
                              </w:pPr>
                              <w:r w:rsidRPr="00771A4B">
                                <w:rPr>
                                  <w:rFonts w:cstheme="minorHAnsi"/>
                                  <w:color w:val="000000"/>
                                  <w:sz w:val="20"/>
                                  <w:szCs w:val="18"/>
                                  <w:lang w:val="en-US"/>
                                </w:rPr>
                                <w:t>60</w:t>
                              </w:r>
                            </w:p>
                          </w:txbxContent>
                        </wps:txbx>
                        <wps:bodyPr rot="0" vert="horz" wrap="none" lIns="0" tIns="0" rIns="0" bIns="0" anchor="t" anchorCtr="0">
                          <a:spAutoFit/>
                        </wps:bodyPr>
                      </wps:wsp>
                      <wps:wsp>
                        <wps:cNvPr id="24" name="Rectangle 26"/>
                        <wps:cNvSpPr>
                          <a:spLocks noChangeArrowheads="1"/>
                        </wps:cNvSpPr>
                        <wps:spPr bwMode="auto">
                          <a:xfrm>
                            <a:off x="517525" y="242824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BDC45" w14:textId="77777777" w:rsidR="00AF2E9A" w:rsidRPr="00771A4B" w:rsidRDefault="00AF2E9A" w:rsidP="0044710E">
                              <w:pPr>
                                <w:rPr>
                                  <w:rFonts w:cstheme="minorHAnsi"/>
                                  <w:sz w:val="24"/>
                                </w:rPr>
                              </w:pPr>
                              <w:r w:rsidRPr="00771A4B">
                                <w:rPr>
                                  <w:rFonts w:cstheme="minorHAnsi"/>
                                  <w:color w:val="000000"/>
                                  <w:sz w:val="20"/>
                                  <w:szCs w:val="18"/>
                                  <w:lang w:val="en-US"/>
                                </w:rPr>
                                <w:t>2011</w:t>
                              </w:r>
                            </w:p>
                          </w:txbxContent>
                        </wps:txbx>
                        <wps:bodyPr rot="0" vert="horz" wrap="none" lIns="0" tIns="0" rIns="0" bIns="0" anchor="t" anchorCtr="0">
                          <a:spAutoFit/>
                        </wps:bodyPr>
                      </wps:wsp>
                      <wps:wsp>
                        <wps:cNvPr id="25" name="Rectangle 27"/>
                        <wps:cNvSpPr>
                          <a:spLocks noChangeArrowheads="1"/>
                        </wps:cNvSpPr>
                        <wps:spPr bwMode="auto">
                          <a:xfrm>
                            <a:off x="864235" y="242824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DFBC9" w14:textId="77777777" w:rsidR="00AF2E9A" w:rsidRPr="00771A4B" w:rsidRDefault="00AF2E9A" w:rsidP="0044710E">
                              <w:pPr>
                                <w:rPr>
                                  <w:rFonts w:cstheme="minorHAnsi"/>
                                  <w:sz w:val="24"/>
                                </w:rPr>
                              </w:pPr>
                              <w:r w:rsidRPr="00771A4B">
                                <w:rPr>
                                  <w:rFonts w:cstheme="minorHAnsi"/>
                                  <w:color w:val="000000"/>
                                  <w:sz w:val="20"/>
                                  <w:szCs w:val="18"/>
                                  <w:lang w:val="en-US"/>
                                </w:rPr>
                                <w:t>2015</w:t>
                              </w:r>
                            </w:p>
                          </w:txbxContent>
                        </wps:txbx>
                        <wps:bodyPr rot="0" vert="horz" wrap="none" lIns="0" tIns="0" rIns="0" bIns="0" anchor="t" anchorCtr="0">
                          <a:spAutoFit/>
                        </wps:bodyPr>
                      </wps:wsp>
                      <wps:wsp>
                        <wps:cNvPr id="26" name="Rectangle 28"/>
                        <wps:cNvSpPr>
                          <a:spLocks noChangeArrowheads="1"/>
                        </wps:cNvSpPr>
                        <wps:spPr bwMode="auto">
                          <a:xfrm>
                            <a:off x="1210310" y="242824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13B1D" w14:textId="77777777" w:rsidR="00AF2E9A" w:rsidRPr="00771A4B" w:rsidRDefault="00AF2E9A" w:rsidP="0044710E">
                              <w:pPr>
                                <w:rPr>
                                  <w:rFonts w:cstheme="minorHAnsi"/>
                                  <w:sz w:val="24"/>
                                </w:rPr>
                              </w:pPr>
                              <w:r w:rsidRPr="00771A4B">
                                <w:rPr>
                                  <w:rFonts w:cstheme="minorHAnsi"/>
                                  <w:color w:val="000000"/>
                                  <w:sz w:val="20"/>
                                  <w:szCs w:val="18"/>
                                  <w:lang w:val="en-US"/>
                                </w:rPr>
                                <w:t>2020</w:t>
                              </w:r>
                            </w:p>
                          </w:txbxContent>
                        </wps:txbx>
                        <wps:bodyPr rot="0" vert="horz" wrap="none" lIns="0" tIns="0" rIns="0" bIns="0" anchor="t" anchorCtr="0">
                          <a:spAutoFit/>
                        </wps:bodyPr>
                      </wps:wsp>
                      <wps:wsp>
                        <wps:cNvPr id="27" name="Rectangle 29"/>
                        <wps:cNvSpPr>
                          <a:spLocks noChangeArrowheads="1"/>
                        </wps:cNvSpPr>
                        <wps:spPr bwMode="auto">
                          <a:xfrm>
                            <a:off x="1557020" y="242824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5B35A" w14:textId="77777777" w:rsidR="00AF2E9A" w:rsidRPr="00771A4B" w:rsidRDefault="00AF2E9A" w:rsidP="0044710E">
                              <w:pPr>
                                <w:rPr>
                                  <w:rFonts w:cstheme="minorHAnsi"/>
                                  <w:sz w:val="24"/>
                                </w:rPr>
                              </w:pPr>
                              <w:r w:rsidRPr="00771A4B">
                                <w:rPr>
                                  <w:rFonts w:cstheme="minorHAnsi"/>
                                  <w:color w:val="000000"/>
                                  <w:sz w:val="20"/>
                                  <w:szCs w:val="18"/>
                                  <w:lang w:val="en-US"/>
                                </w:rPr>
                                <w:t>2025</w:t>
                              </w:r>
                            </w:p>
                          </w:txbxContent>
                        </wps:txbx>
                        <wps:bodyPr rot="0" vert="horz" wrap="none" lIns="0" tIns="0" rIns="0" bIns="0" anchor="t" anchorCtr="0">
                          <a:spAutoFit/>
                        </wps:bodyPr>
                      </wps:wsp>
                      <wps:wsp>
                        <wps:cNvPr id="28" name="Rectangle 30"/>
                        <wps:cNvSpPr>
                          <a:spLocks noChangeArrowheads="1"/>
                        </wps:cNvSpPr>
                        <wps:spPr bwMode="auto">
                          <a:xfrm>
                            <a:off x="1903730" y="242824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E9283" w14:textId="77777777" w:rsidR="00AF2E9A" w:rsidRPr="00771A4B" w:rsidRDefault="00AF2E9A" w:rsidP="0044710E">
                              <w:pPr>
                                <w:rPr>
                                  <w:rFonts w:cstheme="minorHAnsi"/>
                                  <w:sz w:val="24"/>
                                </w:rPr>
                              </w:pPr>
                              <w:r w:rsidRPr="00771A4B">
                                <w:rPr>
                                  <w:rFonts w:cstheme="minorHAnsi"/>
                                  <w:color w:val="000000"/>
                                  <w:sz w:val="20"/>
                                  <w:szCs w:val="18"/>
                                  <w:lang w:val="en-US"/>
                                </w:rPr>
                                <w:t>2030</w:t>
                              </w:r>
                            </w:p>
                          </w:txbxContent>
                        </wps:txbx>
                        <wps:bodyPr rot="0" vert="horz" wrap="none" lIns="0" tIns="0" rIns="0" bIns="0" anchor="t" anchorCtr="0">
                          <a:spAutoFit/>
                        </wps:bodyPr>
                      </wps:wsp>
                      <wps:wsp>
                        <wps:cNvPr id="29" name="Rectangle 31"/>
                        <wps:cNvSpPr>
                          <a:spLocks noChangeArrowheads="1"/>
                        </wps:cNvSpPr>
                        <wps:spPr bwMode="auto">
                          <a:xfrm>
                            <a:off x="202565" y="1337310"/>
                            <a:ext cx="24765" cy="15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76728" w14:textId="77777777" w:rsidR="00AF2E9A" w:rsidRDefault="00AF2E9A" w:rsidP="0044710E">
                              <w:r>
                                <w:rPr>
                                  <w:rFonts w:ascii="Calibri" w:hAnsi="Calibri" w:cs="Calibri"/>
                                  <w:b/>
                                  <w:bCs/>
                                  <w:color w:val="000000"/>
                                  <w:sz w:val="2"/>
                                  <w:szCs w:val="2"/>
                                  <w:lang w:val="en-US"/>
                                </w:rPr>
                                <w:t>TWh</w:t>
                              </w:r>
                            </w:p>
                          </w:txbxContent>
                        </wps:txbx>
                        <wps:bodyPr rot="0" vert="horz" wrap="none" lIns="0" tIns="0" rIns="0" bIns="0" anchor="t" anchorCtr="0">
                          <a:spAutoFit/>
                        </wps:bodyPr>
                      </wps:wsp>
                      <wps:wsp>
                        <wps:cNvPr id="30" name="Rectangle 32"/>
                        <wps:cNvSpPr>
                          <a:spLocks noChangeArrowheads="1"/>
                        </wps:cNvSpPr>
                        <wps:spPr bwMode="auto">
                          <a:xfrm>
                            <a:off x="2316480" y="420370"/>
                            <a:ext cx="57785" cy="5715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33"/>
                        <wps:cNvSpPr>
                          <a:spLocks noChangeArrowheads="1"/>
                        </wps:cNvSpPr>
                        <wps:spPr bwMode="auto">
                          <a:xfrm>
                            <a:off x="2391410" y="389255"/>
                            <a:ext cx="1471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D52E1" w14:textId="77777777" w:rsidR="00AF2E9A" w:rsidRPr="00771A4B" w:rsidRDefault="00AF2E9A" w:rsidP="0044710E">
                              <w:pPr>
                                <w:rPr>
                                  <w:rFonts w:cstheme="minorHAnsi"/>
                                  <w:sz w:val="20"/>
                                  <w:szCs w:val="20"/>
                                  <w:lang w:val="en-US"/>
                                </w:rPr>
                              </w:pPr>
                              <w:r>
                                <w:rPr>
                                  <w:rFonts w:cstheme="minorHAnsi"/>
                                  <w:color w:val="000000"/>
                                  <w:sz w:val="20"/>
                                  <w:szCs w:val="20"/>
                                  <w:lang w:val="en-US"/>
                                </w:rPr>
                                <w:t>Connection of new buildings</w:t>
                              </w:r>
                            </w:p>
                          </w:txbxContent>
                        </wps:txbx>
                        <wps:bodyPr rot="0" vert="horz" wrap="none" lIns="0" tIns="0" rIns="0" bIns="0" anchor="t" anchorCtr="0">
                          <a:spAutoFit/>
                        </wps:bodyPr>
                      </wps:wsp>
                      <wps:wsp>
                        <wps:cNvPr id="32" name="Rectangle 34"/>
                        <wps:cNvSpPr>
                          <a:spLocks noChangeArrowheads="1"/>
                        </wps:cNvSpPr>
                        <wps:spPr bwMode="auto">
                          <a:xfrm>
                            <a:off x="2316480" y="689610"/>
                            <a:ext cx="57785" cy="57150"/>
                          </a:xfrm>
                          <a:prstGeom prst="rect">
                            <a:avLst/>
                          </a:prstGeom>
                          <a:solidFill>
                            <a:srgbClr val="93CD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35"/>
                        <wps:cNvSpPr>
                          <a:spLocks noChangeArrowheads="1"/>
                        </wps:cNvSpPr>
                        <wps:spPr bwMode="auto">
                          <a:xfrm>
                            <a:off x="2391410" y="656590"/>
                            <a:ext cx="16617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16A69" w14:textId="77777777" w:rsidR="00AF2E9A" w:rsidRPr="00771A4B" w:rsidRDefault="00AF2E9A" w:rsidP="0044710E">
                              <w:pPr>
                                <w:rPr>
                                  <w:rFonts w:cstheme="minorHAnsi"/>
                                  <w:sz w:val="32"/>
                                </w:rPr>
                              </w:pPr>
                              <w:r w:rsidRPr="00771A4B">
                                <w:rPr>
                                  <w:rFonts w:cstheme="minorHAnsi"/>
                                  <w:color w:val="000000"/>
                                  <w:sz w:val="20"/>
                                  <w:szCs w:val="14"/>
                                  <w:lang w:val="en-US"/>
                                </w:rPr>
                                <w:t xml:space="preserve">Connection of existing buildings </w:t>
                              </w:r>
                            </w:p>
                          </w:txbxContent>
                        </wps:txbx>
                        <wps:bodyPr rot="0" vert="horz" wrap="none" lIns="0" tIns="0" rIns="0" bIns="0" anchor="t" anchorCtr="0">
                          <a:spAutoFit/>
                        </wps:bodyPr>
                      </wps:wsp>
                      <wps:wsp>
                        <wps:cNvPr id="34" name="Rectangle 37"/>
                        <wps:cNvSpPr>
                          <a:spLocks noChangeArrowheads="1"/>
                        </wps:cNvSpPr>
                        <wps:spPr bwMode="auto">
                          <a:xfrm>
                            <a:off x="2316480" y="958215"/>
                            <a:ext cx="57785" cy="5143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38"/>
                        <wps:cNvSpPr>
                          <a:spLocks noChangeArrowheads="1"/>
                        </wps:cNvSpPr>
                        <wps:spPr bwMode="auto">
                          <a:xfrm>
                            <a:off x="2391410" y="923290"/>
                            <a:ext cx="8147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C34D5" w14:textId="77777777" w:rsidR="00AF2E9A" w:rsidRPr="00771A4B" w:rsidRDefault="00AF2E9A" w:rsidP="0044710E">
                              <w:pPr>
                                <w:rPr>
                                  <w:rFonts w:cstheme="minorHAnsi"/>
                                  <w:sz w:val="32"/>
                                </w:rPr>
                              </w:pPr>
                              <w:r w:rsidRPr="00771A4B">
                                <w:rPr>
                                  <w:rFonts w:cstheme="minorHAnsi"/>
                                  <w:color w:val="000000"/>
                                  <w:sz w:val="20"/>
                                  <w:szCs w:val="14"/>
                                  <w:lang w:val="en-US"/>
                                </w:rPr>
                                <w:t>Other deliveries</w:t>
                              </w:r>
                            </w:p>
                          </w:txbxContent>
                        </wps:txbx>
                        <wps:bodyPr rot="0" vert="horz" wrap="none" lIns="0" tIns="0" rIns="0" bIns="0" anchor="t" anchorCtr="0">
                          <a:spAutoFit/>
                        </wps:bodyPr>
                      </wps:wsp>
                      <wps:wsp>
                        <wps:cNvPr id="36" name="Rectangle 39"/>
                        <wps:cNvSpPr>
                          <a:spLocks noChangeArrowheads="1"/>
                        </wps:cNvSpPr>
                        <wps:spPr bwMode="auto">
                          <a:xfrm>
                            <a:off x="2316480" y="1221105"/>
                            <a:ext cx="57785" cy="5715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40"/>
                        <wps:cNvSpPr>
                          <a:spLocks noChangeArrowheads="1"/>
                        </wps:cNvSpPr>
                        <wps:spPr bwMode="auto">
                          <a:xfrm>
                            <a:off x="2391410" y="1190625"/>
                            <a:ext cx="278638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39E6F" w14:textId="77777777" w:rsidR="00AF2E9A" w:rsidRPr="00771A4B" w:rsidRDefault="00AF2E9A" w:rsidP="0044710E">
                              <w:pPr>
                                <w:rPr>
                                  <w:rFonts w:cstheme="minorHAnsi"/>
                                  <w:sz w:val="32"/>
                                  <w:lang w:val="en-US"/>
                                </w:rPr>
                              </w:pPr>
                              <w:r>
                                <w:rPr>
                                  <w:rFonts w:cstheme="minorHAnsi"/>
                                  <w:color w:val="000000"/>
                                  <w:sz w:val="20"/>
                                  <w:szCs w:val="14"/>
                                  <w:lang w:val="en-US"/>
                                </w:rPr>
                                <w:t>Single-</w:t>
                              </w:r>
                              <w:r w:rsidRPr="00771A4B">
                                <w:rPr>
                                  <w:rFonts w:cstheme="minorHAnsi"/>
                                  <w:color w:val="000000"/>
                                  <w:sz w:val="20"/>
                                  <w:szCs w:val="14"/>
                                  <w:lang w:val="en-US"/>
                                </w:rPr>
                                <w:t xml:space="preserve">family houses with central district heating 2011 </w:t>
                              </w:r>
                            </w:p>
                          </w:txbxContent>
                        </wps:txbx>
                        <wps:bodyPr rot="0" vert="horz" wrap="none" lIns="0" tIns="0" rIns="0" bIns="0" anchor="t" anchorCtr="0">
                          <a:spAutoFit/>
                        </wps:bodyPr>
                      </wps:wsp>
                      <wps:wsp>
                        <wps:cNvPr id="38" name="Rectangle 42"/>
                        <wps:cNvSpPr>
                          <a:spLocks noChangeArrowheads="1"/>
                        </wps:cNvSpPr>
                        <wps:spPr bwMode="auto">
                          <a:xfrm>
                            <a:off x="2316480" y="1490345"/>
                            <a:ext cx="57785" cy="57150"/>
                          </a:xfrm>
                          <a:prstGeom prst="rect">
                            <a:avLst/>
                          </a:prstGeom>
                          <a:solidFill>
                            <a:srgbClr val="A6A6A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43"/>
                        <wps:cNvSpPr>
                          <a:spLocks noChangeArrowheads="1"/>
                        </wps:cNvSpPr>
                        <wps:spPr bwMode="auto">
                          <a:xfrm>
                            <a:off x="2391410" y="1457325"/>
                            <a:ext cx="298386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1ADA4" w14:textId="77777777" w:rsidR="00AF2E9A" w:rsidRPr="00771A4B" w:rsidRDefault="00AF2E9A" w:rsidP="0044710E">
                              <w:pPr>
                                <w:rPr>
                                  <w:rFonts w:cstheme="minorHAnsi"/>
                                  <w:sz w:val="32"/>
                                  <w:lang w:val="en-US"/>
                                </w:rPr>
                              </w:pPr>
                              <w:r>
                                <w:rPr>
                                  <w:rFonts w:cstheme="minorHAnsi"/>
                                  <w:color w:val="000000"/>
                                  <w:sz w:val="20"/>
                                  <w:szCs w:val="14"/>
                                  <w:lang w:val="en-US"/>
                                </w:rPr>
                                <w:t>Non-</w:t>
                              </w:r>
                              <w:r w:rsidRPr="00771A4B">
                                <w:rPr>
                                  <w:rFonts w:cstheme="minorHAnsi"/>
                                  <w:color w:val="000000"/>
                                  <w:sz w:val="20"/>
                                  <w:szCs w:val="14"/>
                                  <w:lang w:val="en-US"/>
                                </w:rPr>
                                <w:t xml:space="preserve">residential premises with central district heating 2011 </w:t>
                              </w:r>
                            </w:p>
                          </w:txbxContent>
                        </wps:txbx>
                        <wps:bodyPr rot="0" vert="horz" wrap="none" lIns="0" tIns="0" rIns="0" bIns="0" anchor="t" anchorCtr="0">
                          <a:spAutoFit/>
                        </wps:bodyPr>
                      </wps:wsp>
                      <wps:wsp>
                        <wps:cNvPr id="40" name="Rectangle 45"/>
                        <wps:cNvSpPr>
                          <a:spLocks noChangeArrowheads="1"/>
                        </wps:cNvSpPr>
                        <wps:spPr bwMode="auto">
                          <a:xfrm>
                            <a:off x="2316480" y="1758950"/>
                            <a:ext cx="57785" cy="57150"/>
                          </a:xfrm>
                          <a:prstGeom prst="rect">
                            <a:avLst/>
                          </a:prstGeom>
                          <a:solidFill>
                            <a:srgbClr val="7F7F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46"/>
                        <wps:cNvSpPr>
                          <a:spLocks noChangeArrowheads="1"/>
                        </wps:cNvSpPr>
                        <wps:spPr bwMode="auto">
                          <a:xfrm>
                            <a:off x="2391410" y="1724660"/>
                            <a:ext cx="274447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F3197" w14:textId="77777777" w:rsidR="00AF2E9A" w:rsidRPr="00771A4B" w:rsidRDefault="00AF2E9A" w:rsidP="0044710E">
                              <w:pPr>
                                <w:rPr>
                                  <w:rFonts w:cstheme="minorHAnsi"/>
                                  <w:sz w:val="32"/>
                                  <w:lang w:val="en-US"/>
                                </w:rPr>
                              </w:pPr>
                              <w:r>
                                <w:rPr>
                                  <w:rFonts w:cstheme="minorHAnsi"/>
                                  <w:color w:val="000000"/>
                                  <w:sz w:val="20"/>
                                  <w:szCs w:val="14"/>
                                  <w:lang w:val="en-US"/>
                                </w:rPr>
                                <w:t>Multi-</w:t>
                              </w:r>
                              <w:r w:rsidRPr="00771A4B">
                                <w:rPr>
                                  <w:rFonts w:cstheme="minorHAnsi"/>
                                  <w:color w:val="000000"/>
                                  <w:sz w:val="20"/>
                                  <w:szCs w:val="14"/>
                                  <w:lang w:val="en-US"/>
                                </w:rPr>
                                <w:t xml:space="preserve">family houses with central district heating 2011 </w:t>
                              </w:r>
                            </w:p>
                          </w:txbxContent>
                        </wps:txbx>
                        <wps:bodyPr rot="0" vert="horz" wrap="none" lIns="0" tIns="0" rIns="0" bIns="0" anchor="t" anchorCtr="0">
                          <a:spAutoFit/>
                        </wps:bodyPr>
                      </wps:wsp>
                      <wps:wsp>
                        <wps:cNvPr id="42" name="Rectangle 48"/>
                        <wps:cNvSpPr>
                          <a:spLocks noChangeArrowheads="1"/>
                        </wps:cNvSpPr>
                        <wps:spPr bwMode="auto">
                          <a:xfrm>
                            <a:off x="2316480" y="2022475"/>
                            <a:ext cx="57785" cy="57150"/>
                          </a:xfrm>
                          <a:prstGeom prst="rect">
                            <a:avLst/>
                          </a:prstGeom>
                          <a:solidFill>
                            <a:srgbClr val="59595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49"/>
                        <wps:cNvSpPr>
                          <a:spLocks noChangeArrowheads="1"/>
                        </wps:cNvSpPr>
                        <wps:spPr bwMode="auto">
                          <a:xfrm>
                            <a:off x="2391410" y="1991360"/>
                            <a:ext cx="423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E2C80" w14:textId="77777777" w:rsidR="00AF2E9A" w:rsidRPr="00771A4B" w:rsidRDefault="00AF2E9A" w:rsidP="0044710E">
                              <w:pPr>
                                <w:rPr>
                                  <w:rFonts w:cstheme="minorHAnsi"/>
                                  <w:sz w:val="32"/>
                                </w:rPr>
                              </w:pPr>
                              <w:r w:rsidRPr="00771A4B">
                                <w:rPr>
                                  <w:rFonts w:cstheme="minorHAnsi"/>
                                  <w:color w:val="000000"/>
                                  <w:sz w:val="20"/>
                                  <w:szCs w:val="14"/>
                                  <w:lang w:val="en-US"/>
                                </w:rPr>
                                <w:t>Industry</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65022BFD" id="Arbetsyta 44" o:spid="_x0000_s1026" editas="canvas" style="position:absolute;margin-left:0;margin-top:22.95pt;width:436pt;height:231.55pt;z-index:251658240;mso-position-horizontal:left;mso-position-horizontal-relative:margin" coordsize="55372,29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372;height:29406;visibility:visible;mso-wrap-style:square">
                  <v:fill o:detectmouseclick="t"/>
                  <v:path o:connecttype="none"/>
                </v:shape>
                <v:rect id="Rectangle 5" o:spid="_x0000_s1028" style="position:absolute;left:18980;top:31;width:35160;height:26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shape id="Freeform 7" o:spid="_x0000_s1029" style="position:absolute;left:4610;top:31;width:17354;height:18847;visibility:visible;mso-wrap-style:square;v-text-anchor:top" coordsize="2733,2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" path="m5,2959r36,l41,2968r-36,l5,2959xm68,2959r36,l104,2968r-36,l68,2959xm131,2959r36,l167,2968r-36,l131,2959xm194,2959r36,l230,2968r-36,l194,2959xm257,2959r36,l293,2968r-36,l257,2959xm320,2959r36,l356,2968r-36,l320,2959xm383,2959r36,l419,2968r-36,l383,2959xm447,2959r36,l483,2968r-36,l447,2959xm510,2959r36,l546,2968r-36,l510,2959xm573,2959r36,l609,2968r-36,l573,2959xm636,2959r36,l672,2968r-36,l636,2959xm699,2959r36,l735,2968r-36,l699,2959xm762,2959r36,l798,2968r-36,l762,2959xm825,2959r36,l861,2968r-36,l825,2959xm888,2959r37,l925,2968r-37,l888,2959xm952,2959r36,l988,2968r-36,l952,2959xm1015,2959r36,l1051,2968r-36,l1015,2959xm1078,2959r36,l1114,2968r-36,l1078,2959xm1141,2959r36,l1177,2968r-36,l1141,2959xm1204,2959r36,l1240,2968r-36,l1204,2959xm1267,2959r36,l1303,2968r-36,l1267,2959xm1330,2959r37,l1367,2968r-37,l1330,2959xm1394,2959r36,l1430,2968r-36,l1394,2959xm1457,2959r36,l1493,2968r-36,l1457,2959xm1520,2959r36,l1556,2968r-36,l1520,2959xm1583,2959r36,l1619,2968r-36,l1583,2959xm1646,2959r36,l1682,2968r-36,l1646,2959xm1709,2959r36,l1745,2968r-36,l1709,2959xm1772,2959r36,l1808,2968r-36,l1772,2959xm1836,2959r36,l1872,2968r-36,l1836,2959xm1899,2959r36,l1935,2968r-36,l1899,2959xm1962,2959r36,l1998,2968r-36,l1962,2959xm2025,2959r36,l2061,2968r-36,l2025,2959xm2088,2959r36,l2124,2968r-36,l2088,2959xm2151,2959r36,l2187,2968r-36,l2151,2959xm2214,2959r36,l2250,2968r-36,l2214,2959xm2277,2959r37,l2314,2968r-37,l2277,2959xm2341,2959r36,l2377,2968r-36,l2341,2959xm2404,2959r36,l2440,2968r-36,l2404,2959xm2467,2959r36,l2503,2968r-36,l2467,2959xm2530,2959r36,l2566,2968r-36,l2530,2959xm2593,2959r36,l2629,2968r-36,l2593,2959xm2656,2959r36,l2692,2968r-36,l2656,2959xm2719,2959r9,l2728,2968r-9,l2719,2959xm,2360r36,l36,2369r-36,l,2360xm63,2360r36,l99,2369r-36,l63,2360xm126,2360r36,l162,2369r-36,l126,2360xm189,2360r37,l226,2369r-37,l189,2360xm253,2360r36,l289,2369r-36,l253,2360xm316,2360r36,l352,2369r-36,l316,2360xm379,2360r36,l415,2369r-36,l379,2360xm442,2360r36,l478,2369r-36,l442,2360xm505,2360r36,l541,2369r-36,l505,2360xm568,2360r36,l604,2369r-36,l568,2360xm631,2360r37,l668,2369r-37,l631,2360xm695,2360r36,l731,2369r-36,l695,2360xm758,2360r36,l794,2369r-36,l758,2360xm821,2360r36,l857,2369r-36,l821,2360xm884,2360r36,l920,2369r-36,l884,2360xm947,2360r36,l983,2369r-36,l947,2360xm1010,2360r36,l1046,2369r-36,l1010,2360xm1073,2360r36,l1109,2369r-36,l1073,2360xm1137,2360r36,l1173,2369r-36,l1137,2360xm1200,2360r36,l1236,2369r-36,l1200,2360xm1263,2360r36,l1299,2369r-36,l1263,2360xm1326,2360r36,l1362,2369r-36,l1326,2360xm1389,2360r36,l1425,2369r-36,l1389,2360xm1452,2360r36,l1488,2369r-36,l1452,2360xm1515,2360r36,l1551,2369r-36,l1515,2360xm1578,2360r37,l1615,2369r-37,l1578,2360xm1642,2360r36,l1678,2369r-36,l1642,2360xm1705,2360r36,l1741,2369r-36,l1705,2360xm1768,2360r36,l1804,2369r-36,l1768,2360xm1831,2360r36,l1867,2369r-36,l1831,2360xm1894,2360r36,l1930,2369r-36,l1894,2360xm1957,2360r36,l1993,2369r-36,l1957,2360xm2020,2360r37,l2057,2369r-37,l2020,2360xm2084,2360r36,l2120,2369r-36,l2084,2360xm2147,2360r36,l2183,2369r-36,l2147,2360xm2210,2360r36,l2246,2369r-36,l2210,2360xm2273,2360r36,l2309,2369r-36,l2273,2360xm2336,2360r36,l2372,2369r-36,l2336,2360xm2399,2360r36,l2435,2369r-36,l2399,2360xm2462,2360r36,l2498,2369r-36,l2462,2360xm2526,2360r36,l2562,2369r-36,l2526,2360xm2589,2360r36,l2625,2369r-36,l2589,2360xm2652,2360r36,l2688,2369r-36,l2652,2360xm2715,2360r18,l2733,2369r-18,l2715,2360xm,1775r36,l36,1784r-36,l,1775xm63,1775r36,l99,1784r-36,l63,1775xm126,1775r36,l162,1784r-36,l126,1775xm189,1775r37,l226,1784r-37,l189,1775xm253,1775r36,l289,1784r-36,l253,1775xm316,1775r36,l352,1784r-36,l316,1775xm379,1775r36,l415,1784r-36,l379,1775xm442,1775r36,l478,1784r-36,l442,1775xm505,1775r36,l541,1784r-36,l505,1775xm568,1775r36,l604,1784r-36,l568,1775xm631,1775r37,l668,1784r-37,l631,1775xm695,1775r36,l731,1784r-36,l695,1775xm758,1775r36,l794,1784r-36,l758,1775xm821,1775r36,l857,1784r-36,l821,1775xm884,1775r36,l920,1784r-36,l884,1775xm947,1775r36,l983,1784r-36,l947,1775xm1010,1775r36,l1046,1784r-36,l1010,1775xm1073,1775r36,l1109,1784r-36,l1073,1775xm1137,1775r36,l1173,1784r-36,l1137,1775xm1200,1775r36,l1236,1784r-36,l1200,1775xm1263,1775r36,l1299,1784r-36,l1263,1775xm1326,1775r36,l1362,1784r-36,l1326,1775xm1389,1775r36,l1425,1784r-36,l1389,1775xm1452,1775r36,l1488,1784r-36,l1452,1775xm1515,1775r36,l1551,1784r-36,l1515,1775xm1578,1775r37,l1615,1784r-37,l1578,1775xm1642,1775r36,l1678,1784r-36,l1642,1775xm1705,1775r36,l1741,1784r-36,l1705,1775xm1768,1775r36,l1804,1784r-36,l1768,1775xm1831,1775r36,l1867,1784r-36,l1831,1775xm1894,1775r36,l1930,1784r-36,l1894,1775xm1957,1775r36,l1993,1784r-36,l1957,1775xm2020,1775r37,l2057,1784r-37,l2020,1775xm2084,1775r36,l2120,1784r-36,l2084,1775xm2147,1775r36,l2183,1784r-36,l2147,1775xm2210,1775r36,l2246,1784r-36,l2210,1775xm2273,1775r36,l2309,1784r-36,l2273,1775xm2336,1775r36,l2372,1784r-36,l2336,1775xm2399,1775r36,l2435,1784r-36,l2399,1775xm2462,1775r36,l2498,1784r-36,l2462,1775xm2526,1775r36,l2562,1784r-36,l2526,1775xm2589,1775r36,l2625,1784r-36,l2589,1775xm2652,1775r36,l2688,1784r-36,l2652,1775xm2715,1775r18,l2733,1784r-18,l2715,1775xm,1180r36,l36,1189r-36,l,1180xm63,1180r36,l99,1189r-36,l63,1180xm126,1180r36,l162,1189r-36,l126,1180xm189,1180r37,l226,1189r-37,l189,1180xm253,1180r36,l289,1189r-36,l253,1180xm316,1180r36,l352,1189r-36,l316,1180xm379,1180r36,l415,1189r-36,l379,1180xm442,1180r36,l478,1189r-36,l442,1180xm505,1180r36,l541,1189r-36,l505,1180xm568,1180r36,l604,1189r-36,l568,1180xm631,1180r37,l668,1189r-37,l631,1180xm695,1180r36,l731,1189r-36,l695,1180xm758,1180r36,l794,1189r-36,l758,1180xm821,1180r36,l857,1189r-36,l821,1180xm884,1180r36,l920,1189r-36,l884,1180xm947,1180r36,l983,1189r-36,l947,1180xm1010,1180r36,l1046,1189r-36,l1010,1180xm1073,1180r36,l1109,1189r-36,l1073,1180xm1137,1180r36,l1173,1189r-36,l1137,1180xm1200,1180r36,l1236,1189r-36,l1200,1180xm1263,1180r36,l1299,1189r-36,l1263,1180xm1326,1180r36,l1362,1189r-36,l1326,1180xm1389,1180r36,l1425,1189r-36,l1389,1180xm1452,1180r36,l1488,1189r-36,l1452,1180xm1515,1180r36,l1551,1189r-36,l1515,1180xm1578,1180r37,l1615,1189r-37,l1578,1180xm1642,1180r36,l1678,1189r-36,l1642,1180xm1705,1180r36,l1741,1189r-36,l1705,1180xm1768,1180r36,l1804,1189r-36,l1768,1180xm1831,1180r36,l1867,1189r-36,l1831,1180xm1894,1180r36,l1930,1189r-36,l1894,1180xm1957,1180r36,l1993,1189r-36,l1957,1180xm2020,1180r37,l2057,1189r-37,l2020,1180xm2084,1180r36,l2120,1189r-36,l2084,1180xm2147,1180r36,l2183,1189r-36,l2147,1180xm2210,1180r36,l2246,1189r-36,l2210,1180xm2273,1180r36,l2309,1189r-36,l2273,1180xm2336,1180r36,l2372,1189r-36,l2336,1180xm2399,1180r36,l2435,1189r-36,l2399,1180xm2462,1180r36,l2498,1189r-36,l2462,1180xm2526,1180r36,l2562,1189r-36,l2526,1180xm2589,1180r36,l2625,1189r-36,l2589,1180xm2652,1180r36,l2688,1189r-36,l2652,1180xm2715,1180r18,l2733,1189r-18,l2715,1180xm,595r36,l36,604,,604r,-9xm63,595r36,l99,604r-36,l63,595xm126,595r36,l162,604r-36,l126,595xm189,595r37,l226,604r-37,l189,595xm253,595r36,l289,604r-36,l253,595xm316,595r36,l352,604r-36,l316,595xm379,595r36,l415,604r-36,l379,595xm442,595r36,l478,604r-36,l442,595xm505,595r36,l541,604r-36,l505,595xm568,595r36,l604,604r-36,l568,595xm631,595r37,l668,604r-37,l631,595xm695,595r36,l731,604r-36,l695,595xm758,595r36,l794,604r-36,l758,595xm821,595r36,l857,604r-36,l821,595xm884,595r36,l920,604r-36,l884,595xm947,595r36,l983,604r-36,l947,595xm1010,595r36,l1046,604r-36,l1010,595xm1073,595r36,l1109,604r-36,l1073,595xm1137,595r36,l1173,604r-36,l1137,595xm1200,595r36,l1236,604r-36,l1200,595xm1263,595r36,l1299,604r-36,l1263,595xm1326,595r36,l1362,604r-36,l1326,595xm1389,595r36,l1425,604r-36,l1389,595xm1452,595r36,l1488,604r-36,l1452,595xm1515,595r36,l1551,604r-36,l1515,595xm1578,595r37,l1615,604r-37,l1578,595xm1642,595r36,l1678,604r-36,l1642,595xm1705,595r36,l1741,604r-36,l1705,595xm1768,595r36,l1804,604r-36,l1768,595xm1831,595r36,l1867,604r-36,l1831,595xm1894,595r36,l1930,604r-36,l1894,595xm1957,595r36,l1993,604r-36,l1957,595xm2020,595r37,l2057,604r-37,l2020,595xm2084,595r36,l2120,604r-36,l2084,595xm2147,595r36,l2183,604r-36,l2147,595xm2210,595r36,l2246,604r-36,l2210,595xm2273,595r36,l2309,604r-36,l2273,595xm2336,595r36,l2372,604r-36,l2336,595xm2399,595r36,l2435,604r-36,l2399,595xm2462,595r36,l2498,604r-36,l2462,595xm2526,595r36,l2562,604r-36,l2526,595xm2589,595r36,l2625,604r-36,l2589,595xm2652,595r36,l2688,604r-36,l2652,595xm2715,595r18,l2733,604r-18,l2715,595xm,l36,r,9l,9,,xm63,l99,r,9l63,9,63,xm126,r36,l162,9r-36,l126,xm189,r37,l226,9r-37,l189,xm253,r36,l289,9r-36,l253,xm316,r36,l352,9r-36,l316,xm379,r36,l415,9r-36,l379,xm442,r36,l478,9r-36,l442,xm505,r36,l541,9r-36,l505,xm568,r36,l604,9r-36,l568,xm631,r37,l668,9r-37,l631,xm695,r36,l731,9r-36,l695,xm758,r36,l794,9r-36,l758,xm821,r36,l857,9r-36,l821,xm884,r36,l920,9r-36,l884,xm947,r36,l983,9r-36,l947,xm1010,r36,l1046,9r-36,l1010,xm1073,r36,l1109,9r-36,l1073,xm1137,r36,l1173,9r-36,l1137,xm1200,r36,l1236,9r-36,l1200,xm1263,r36,l1299,9r-36,l1263,xm1326,r36,l1362,9r-36,l1326,xm1389,r36,l1425,9r-36,l1389,xm1452,r36,l1488,9r-36,l1452,xm1515,r36,l1551,9r-36,l1515,xm1578,r37,l1615,9r-37,l1578,xm1642,r36,l1678,9r-36,l1642,xm1705,r36,l1741,9r-36,l1705,xm1768,r36,l1804,9r-36,l1768,xm1831,r36,l1867,9r-36,l1831,xm1894,r36,l1930,9r-36,l1894,xm1957,r36,l1993,9r-36,l1957,xm2020,r37,l2057,9r-37,l2020,xm2084,r36,l2120,9r-36,l2084,xm2147,r36,l2183,9r-36,l2147,xm2210,r36,l2246,9r-36,l2210,xm2273,r36,l2309,9r-36,l2273,xm2336,r36,l2372,9r-36,l2336,xm2399,r36,l2435,9r-36,l2399,xm2462,r36,l2498,9r-36,l2462,xm2526,r36,l2562,9r-36,l2526,xm2589,r36,l2625,9r-36,l2589,xm2652,r36,l2688,9r-36,l2652,xm2715,r18,l2733,9r-18,l2715,xe" fillcolor="#868686" strokecolor="#868686" strokeweight=".45pt">
                  <v:stroke joinstyle="bevel"/>
                  <v:path arrowok="t" o:connecttype="custom" o:connectlocs="163195,1878965;346710,1878965;506730,1884680;644525,1884680;804545,1878965;1005205,1878965;1188720,1878965;1348740,1884680;1486535,1884680;1646555,1878965;80010,1498600;263525,1498600;424180,1504315;561340,1504315;721995,1498600;922020,1498600;1105535,1498600;1265555,1504315;1403350,1504315;1563370,1498600;0,1127125;183515,1127125;343535,1132840;481330,1132840;641350,1127125;842010,1127125;1025525,1127125;1185545,1132840;1323340,1132840;1483360,1127125;1684020,1127125;102870,749300;263525,755015;400685,755015;561340,749300;762000,749300;944880,749300;1105535,755015;1242695,755015;1403350,749300;1604010,749300;22860,377825;183515,383540;320675,383540;481330,377825;681355,377825;864870,377825;1025525,383540;1162685,383540;1323340,377825;1523365,377825;1706880,377825;102870,5715;240665,5715;400685,0;601345,0;784860,0;944880,5715;1082675,5715;1242695,0;1443355,0;1626870,0" o:connectangles="0,0,0,0,0,0,0,0,0,0,0,0,0,0,0,0,0,0,0,0,0,0,0,0,0,0,0,0,0,0,0,0,0,0,0,0,0,0,0,0,0,0,0,0,0,0,0,0,0,0,0,0,0,0,0,0,0,0,0,0,0,0"/>
                  <o:lock v:ext="edit" verticies="t"/>
                </v:shape>
                <v:shape id="Freeform 8" o:spid="_x0000_s1030" style="position:absolute;left:4953;top:21139;width:16554;height:2457;visibility:visible;mso-wrap-style:square;v-text-anchor:top" coordsize="2607,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" path="m,9r424,l424,387,,387,,9xm550,9r415,l965,387r-415,l550,9xm1092,r423,l1515,387r-423,l1092,xm1642,r415,l2057,387r-415,l1642,xm2183,r424,l2607,387r-424,l2183,xe" fillcolor="#595959" stroked="f">
                  <v:path arrowok="t" o:connecttype="custom" o:connectlocs="0,5715;269240,5715;269240,245745;0,245745;0,5715;349250,5715;612775,5715;612775,245745;349250,245745;349250,5715;693420,0;962025,0;962025,245745;693420,245745;693420,0;1042670,0;1306195,0;1306195,245745;1042670,245745;1042670,0;1386205,0;1655445,0;1655445,245745;1386205,245745;1386205,0" o:connectangles="0,0,0,0,0,0,0,0,0,0,0,0,0,0,0,0,0,0,0,0,0,0,0,0,0"/>
                  <o:lock v:ext="edit" verticies="t"/>
                </v:shape>
                <v:shape id="Freeform 9" o:spid="_x0000_s1031" style="position:absolute;left:4953;top:12325;width:16554;height:8871;visibility:visible;mso-wrap-style:square;v-text-anchor:top" coordsize="2607,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" path="m,l424,r,1397l,1397,,xm550,90r415,l965,1397r-415,l550,90xm1092,208r423,l1515,1388r-423,l1092,208xm1642,298r415,l2057,1388r-415,l1642,298xm2183,388r424,l2607,1388r-424,l2183,388xe" fillcolor="#7f7f7f" stroked="f">
                  <v:path arrowok="t" o:connecttype="custom" o:connectlocs="0,0;269240,0;269240,887095;0,887095;0,0;349250,57150;612775,57150;612775,887095;349250,887095;349250,57150;693420,132080;962025,132080;962025,881380;693420,881380;693420,132080;1042670,189230;1306195,189230;1306195,881380;1042670,881380;1042670,189230;1386205,246380;1655445,246380;1655445,881380;1386205,881380;1386205,246380" o:connectangles="0,0,0,0,0,0,0,0,0,0,0,0,0,0,0,0,0,0,0,0,0,0,0,0,0"/>
                  <o:lock v:ext="edit" verticies="t"/>
                </v:shape>
                <v:shape id="Freeform 10" o:spid="_x0000_s1032" style="position:absolute;left:4953;top:5803;width:16554;height:8986;visibility:visible;mso-wrap-style:square;v-text-anchor:top" coordsize="2607,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" path="m,l424,r,1027l,1027,,xm550,163r415,l965,1117r-415,l550,163xm1092,343r423,l1515,1235r-423,l1092,343xm1642,505r415,l2057,1325r-415,l1642,505xm2183,649r424,l2607,1415r-424,l2183,649xe" fillcolor="#a6a6a6" stroked="f">
                  <v:path arrowok="t" o:connecttype="custom" o:connectlocs="0,0;269240,0;269240,652145;0,652145;0,0;349250,103505;612775,103505;612775,709295;349250,709295;349250,103505;693420,217805;962025,217805;962025,784225;693420,784225;693420,217805;1042670,320675;1306195,320675;1306195,841375;1042670,841375;1042670,320675;1386205,412115;1655445,412115;1655445,898525;1386205,898525;1386205,412115" o:connectangles="0,0,0,0,0,0,0,0,0,0,0,0,0,0,0,0,0,0,0,0,0,0,0,0,0"/>
                  <o:lock v:ext="edit" verticies="t"/>
                </v:shape>
                <v:shape id="Freeform 11" o:spid="_x0000_s1033" style="position:absolute;left:4953;top:3689;width:16554;height:6236;visibility:visible;mso-wrap-style:square;v-text-anchor:top" coordsize="2607,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" path="m,l424,r,333l,333,,xm550,171r415,l965,496r-415,l550,171xm1092,369r423,l1515,676r-423,l1092,369xm1642,541r415,l2057,838r-415,l1642,541xm2183,694r424,l2607,982r-424,l2183,694xe" fillcolor="#bfbfbf" stroked="f">
                  <v:path arrowok="t" o:connecttype="custom" o:connectlocs="0,0;269240,0;269240,211455;0,211455;0,0;349250,108585;612775,108585;612775,314960;349250,314960;349250,108585;693420,234315;962025,234315;962025,429260;693420,429260;693420,234315;1042670,343535;1306195,343535;1306195,532130;1042670,532130;1042670,343535;1386205,440690;1655445,440690;1655445,623570;1386205,623570;1386205,440690" o:connectangles="0,0,0,0,0,0,0,0,0,0,0,0,0,0,0,0,0,0,0,0,0,0,0,0,0"/>
                  <o:lock v:ext="edit" verticies="t"/>
                </v:shape>
                <v:shape id="Freeform 12" o:spid="_x0000_s1034" style="position:absolute;left:4953;top:3060;width:16554;height:5036;visibility:visible;mso-wrap-style:square;v-text-anchor:top" coordsize="260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" path="m,l424,r,99l,99,,xm550,162r415,l965,270r-415,l550,162xm1092,360r423,l1515,468r-423,l1092,360xm1642,531r415,l2057,640r-415,l1642,531xm2183,694r424,l2607,793r-424,l2183,694xe" fillcolor="#d9d9d9" stroked="f">
                  <v:path arrowok="t" o:connecttype="custom" o:connectlocs="0,0;269240,0;269240,62865;0,62865;0,0;349250,102870;612775,102870;612775,171450;349250,171450;349250,102870;693420,228600;962025,228600;962025,297180;693420,297180;693420,228600;1042670,337185;1306195,337185;1306195,406400;1042670,406400;1042670,337185;1386205,440690;1655445,440690;1655445,503555;1386205,503555;1386205,440690" o:connectangles="0,0,0,0,0,0,0,0,0,0,0,0,0,0,0,0,0,0,0,0,0,0,0,0,0"/>
                  <o:lock v:ext="edit" verticies="t"/>
                </v:shape>
                <v:shape id="Freeform 13" o:spid="_x0000_s1035" style="position:absolute;left:8445;top:3689;width:13062;height:3778;visibility:visible;mso-wrap-style:square;v-text-anchor:top" coordsize="2057,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" path="m,l415,r,63l,63,,xm542,108r423,l965,261r-423,l542,108xm1092,198r415,l1507,432r-415,l1092,198xm1633,279r424,l2057,595r-424,l1633,279xe" fillcolor="#93cddd" stroked="f">
                  <v:path arrowok="t" o:connecttype="custom" o:connectlocs="0,0;263525,0;263525,40005;0,40005;0,0;344170,68580;612775,68580;612775,165735;344170,165735;344170,68580;693420,125730;956945,125730;956945,274320;693420,274320;693420,125730;1036955,177165;1306195,177165;1306195,377825;1036955,377825;1036955,177165" o:connectangles="0,0,0,0,0,0,0,0,0,0,0,0,0,0,0,0,0,0,0,0"/>
                  <o:lock v:ext="edit" verticies="t"/>
                </v:shape>
                <v:shape id="Freeform 14" o:spid="_x0000_s1036" style="position:absolute;left:8445;top:3403;width:13062;height:2058;visibility:visible;mso-wrap-style:square;v-text-anchor:top" coordsize="205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" path="m,l415,r,45l,45,,xm542,54r423,l965,153r-423,l542,54xm1092,108r415,l1507,243r-415,l1092,108xm1633,153r424,l2057,324r-424,l1633,153xe" fillcolor="#4f81bd" stroked="f">
                  <v:path arrowok="t" o:connecttype="custom" o:connectlocs="0,0;263525,0;263525,28575;0,28575;0,0;344170,34290;612775,34290;612775,97155;344170,97155;344170,34290;693420,68580;956945,68580;956945,154305;693420,154305;693420,68580;1036955,97155;1306195,97155;1306195,205740;1036955,205740;1036955,97155" o:connectangles="0,0,0,0,0,0,0,0,0,0,0,0,0,0,0,0,0,0,0,0"/>
                  <o:lock v:ext="edit" verticies="t"/>
                </v:shape>
                <v:rect id="Rectangle 15" o:spid="_x0000_s1037" style="position:absolute;left:4552;top:1028;width:58;height:2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" fillcolor="#868686" strokecolor="#868686" strokeweight=".45pt">
                  <v:stroke joinstyle="bevel"/>
                </v:rect>
                <v:shape id="Freeform 16" o:spid="_x0000_s1038" style="position:absolute;left:4235;top:1003;width:349;height:22593;visibility:visible;mso-wrap-style:square;v-text-anchor:top" coordsize="55,3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" path="m,3549r55,l55,3558r-55,l,3549xm,2963r55,l55,2972r-55,l,2963xm,2369r55,l55,2378r-55,l,2369xm,1774r55,l55,1783r-55,l,1774xm,1189r55,l55,1198r-55,l,1189xm,594r55,l55,603,,603r,-9xm,l55,r,9l,9,,xe" fillcolor="#868686" strokecolor="#868686" strokeweight=".45pt">
                  <v:stroke joinstyle="bevel"/>
                  <v:path arrowok="t" o:connecttype="custom" o:connectlocs="0,2253615;34925,2253615;34925,2259330;0,2259330;0,2253615;0,1881505;34925,1881505;34925,1887220;0,1887220;0,1881505;0,1504315;34925,1504315;34925,1510030;0,1510030;0,1504315;0,1126490;34925,1126490;34925,1132205;0,1132205;0,1126490;0,755015;34925,755015;34925,760730;0,760730;0,755015;0,377190;34925,377190;34925,382905;0,382905;0,377190;0,0;34925,0;34925,5715;0,5715;0,0" o:connectangles="0,0,0,0,0,0,0,0,0,0,0,0,0,0,0,0,0,0,0,0,0,0,0,0,0,0,0,0,0,0,0,0,0,0,0"/>
                  <o:lock v:ext="edit" verticies="t"/>
                </v:shape>
                <v:rect id="Rectangle 17" o:spid="_x0000_s1039" style="position:absolute;left:4584;top:23539;width:17291;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" fillcolor="#868686" strokecolor="#868686" strokeweight=".45pt">
                  <v:stroke joinstyle="bevel"/>
                </v:rect>
                <v:shape id="Freeform 18" o:spid="_x0000_s1040" style="position:absolute;left:4552;top:23571;width:17355;height:343;visibility:visible;mso-wrap-style:square;v-text-anchor:top" coordsize="273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" path="m9,r,54l,54,,,9,xm550,r,54l541,54,541,r9,xm1100,r,54l1091,54r,-54l1100,xm1642,r,54l1633,54r,-54l1642,xm2192,r,54l2183,54r,-54l2192,xm2733,r,54l2724,54r,-54l2733,xe" fillcolor="#868686" strokecolor="#868686" strokeweight=".45pt">
                  <v:stroke joinstyle="bevel"/>
                  <v:path arrowok="t" o:connecttype="custom" o:connectlocs="5715,0;5715,34290;0,34290;0,0;5715,0;349250,0;349250,34290;343535,34290;343535,0;349250,0;698500,0;698500,34290;692785,34290;692785,0;698500,0;1042670,0;1042670,34290;1036955,34290;1036955,0;1042670,0;1391920,0;1391920,34290;1386205,34290;1386205,0;1391920,0;1735455,0;1735455,34290;1729740,34290;1729740,0;1735455,0" o:connectangles="0,0,0,0,0,0,0,0,0,0,0,0,0,0,0,0,0,0,0,0,0,0,0,0,0,0,0,0,0,0"/>
                  <o:lock v:ext="edit" verticies="t"/>
                </v:shape>
                <v:rect id="Rectangle 19" o:spid="_x0000_s1041" style="position:absolute;left:3022;top:22891;width:64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7793EAEF" w14:textId="77777777" w:rsidR="00AF2E9A" w:rsidRPr="00771A4B" w:rsidRDefault="00AF2E9A" w:rsidP="0044710E">
                        <w:pPr>
                          <w:rPr>
                            <w:rFonts w:cstheme="minorHAnsi"/>
                            <w:sz w:val="24"/>
                          </w:rPr>
                        </w:pPr>
                        <w:r w:rsidRPr="00771A4B">
                          <w:rPr>
                            <w:rFonts w:cstheme="minorHAnsi"/>
                            <w:color w:val="000000"/>
                            <w:sz w:val="20"/>
                            <w:szCs w:val="18"/>
                            <w:lang w:val="en-US"/>
                          </w:rPr>
                          <w:t>0</w:t>
                        </w:r>
                      </w:p>
                    </w:txbxContent>
                  </v:textbox>
                </v:rect>
                <v:rect id="Rectangle 20" o:spid="_x0000_s1042" style="position:absolute;left:2463;top:19138;width:127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00A8D7FA" w14:textId="77777777" w:rsidR="00AF2E9A" w:rsidRPr="00771A4B" w:rsidRDefault="00AF2E9A" w:rsidP="0044710E">
                        <w:pPr>
                          <w:rPr>
                            <w:rFonts w:cstheme="minorHAnsi"/>
                            <w:sz w:val="24"/>
                          </w:rPr>
                        </w:pPr>
                        <w:r w:rsidRPr="00771A4B">
                          <w:rPr>
                            <w:rFonts w:cstheme="minorHAnsi"/>
                            <w:color w:val="000000"/>
                            <w:sz w:val="20"/>
                            <w:szCs w:val="18"/>
                            <w:lang w:val="en-US"/>
                          </w:rPr>
                          <w:t>10</w:t>
                        </w:r>
                      </w:p>
                    </w:txbxContent>
                  </v:textbox>
                </v:rect>
                <v:rect id="Rectangle 21" o:spid="_x0000_s1043" style="position:absolute;left:2463;top:15386;width:1277;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68723CC1" w14:textId="77777777" w:rsidR="00AF2E9A" w:rsidRPr="00771A4B" w:rsidRDefault="00AF2E9A" w:rsidP="0044710E">
                        <w:pPr>
                          <w:rPr>
                            <w:rFonts w:cstheme="minorHAnsi"/>
                            <w:sz w:val="24"/>
                          </w:rPr>
                        </w:pPr>
                        <w:r w:rsidRPr="00771A4B">
                          <w:rPr>
                            <w:rFonts w:cstheme="minorHAnsi"/>
                            <w:color w:val="000000"/>
                            <w:sz w:val="20"/>
                            <w:szCs w:val="18"/>
                            <w:lang w:val="en-US"/>
                          </w:rPr>
                          <w:t>20</w:t>
                        </w:r>
                      </w:p>
                    </w:txbxContent>
                  </v:textbox>
                </v:rect>
                <v:rect id="Rectangle 22" o:spid="_x0000_s1044" style="position:absolute;left:2463;top:11633;width:1277;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01919508" w14:textId="77777777" w:rsidR="00AF2E9A" w:rsidRPr="00771A4B" w:rsidRDefault="00AF2E9A" w:rsidP="0044710E">
                        <w:pPr>
                          <w:rPr>
                            <w:rFonts w:cstheme="minorHAnsi"/>
                            <w:sz w:val="24"/>
                          </w:rPr>
                        </w:pPr>
                        <w:r w:rsidRPr="00771A4B">
                          <w:rPr>
                            <w:rFonts w:cstheme="minorHAnsi"/>
                            <w:color w:val="000000"/>
                            <w:sz w:val="20"/>
                            <w:szCs w:val="18"/>
                            <w:lang w:val="en-US"/>
                          </w:rPr>
                          <w:t>30</w:t>
                        </w:r>
                      </w:p>
                    </w:txbxContent>
                  </v:textbox>
                </v:rect>
                <v:rect id="Rectangle 23" o:spid="_x0000_s1045" style="position:absolute;left:2463;top:7880;width:1277;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490EF579" w14:textId="77777777" w:rsidR="00AF2E9A" w:rsidRPr="00771A4B" w:rsidRDefault="00AF2E9A" w:rsidP="0044710E">
                        <w:pPr>
                          <w:rPr>
                            <w:rFonts w:cstheme="minorHAnsi"/>
                            <w:sz w:val="24"/>
                          </w:rPr>
                        </w:pPr>
                        <w:r w:rsidRPr="00771A4B">
                          <w:rPr>
                            <w:rFonts w:cstheme="minorHAnsi"/>
                            <w:color w:val="000000"/>
                            <w:sz w:val="20"/>
                            <w:szCs w:val="18"/>
                            <w:lang w:val="en-US"/>
                          </w:rPr>
                          <w:t>40</w:t>
                        </w:r>
                      </w:p>
                    </w:txbxContent>
                  </v:textbox>
                </v:rect>
                <v:rect id="Rectangle 24" o:spid="_x0000_s1046" style="position:absolute;left:2463;top:4127;width:127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5DEC0B2F" w14:textId="77777777" w:rsidR="00AF2E9A" w:rsidRPr="00771A4B" w:rsidRDefault="00AF2E9A" w:rsidP="0044710E">
                        <w:pPr>
                          <w:rPr>
                            <w:rFonts w:cstheme="minorHAnsi"/>
                            <w:sz w:val="24"/>
                          </w:rPr>
                        </w:pPr>
                        <w:r w:rsidRPr="00771A4B">
                          <w:rPr>
                            <w:rFonts w:cstheme="minorHAnsi"/>
                            <w:color w:val="000000"/>
                            <w:sz w:val="20"/>
                            <w:szCs w:val="18"/>
                            <w:lang w:val="en-US"/>
                          </w:rPr>
                          <w:t>50</w:t>
                        </w:r>
                      </w:p>
                    </w:txbxContent>
                  </v:textbox>
                </v:rect>
                <v:rect id="Rectangle 25" o:spid="_x0000_s1047" style="position:absolute;left:2463;top:374;width:127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4375E26A" w14:textId="77777777" w:rsidR="00AF2E9A" w:rsidRPr="00771A4B" w:rsidRDefault="00AF2E9A" w:rsidP="0044710E">
                        <w:pPr>
                          <w:rPr>
                            <w:rFonts w:cstheme="minorHAnsi"/>
                            <w:sz w:val="24"/>
                          </w:rPr>
                        </w:pPr>
                        <w:r w:rsidRPr="00771A4B">
                          <w:rPr>
                            <w:rFonts w:cstheme="minorHAnsi"/>
                            <w:color w:val="000000"/>
                            <w:sz w:val="20"/>
                            <w:szCs w:val="18"/>
                            <w:lang w:val="en-US"/>
                          </w:rPr>
                          <w:t>60</w:t>
                        </w:r>
                      </w:p>
                    </w:txbxContent>
                  </v:textbox>
                </v:rect>
                <v:rect id="Rectangle 26" o:spid="_x0000_s1048" style="position:absolute;left:5175;top:24282;width:254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1C7BDC45" w14:textId="77777777" w:rsidR="00AF2E9A" w:rsidRPr="00771A4B" w:rsidRDefault="00AF2E9A" w:rsidP="0044710E">
                        <w:pPr>
                          <w:rPr>
                            <w:rFonts w:cstheme="minorHAnsi"/>
                            <w:sz w:val="24"/>
                          </w:rPr>
                        </w:pPr>
                        <w:r w:rsidRPr="00771A4B">
                          <w:rPr>
                            <w:rFonts w:cstheme="minorHAnsi"/>
                            <w:color w:val="000000"/>
                            <w:sz w:val="20"/>
                            <w:szCs w:val="18"/>
                            <w:lang w:val="en-US"/>
                          </w:rPr>
                          <w:t>2011</w:t>
                        </w:r>
                      </w:p>
                    </w:txbxContent>
                  </v:textbox>
                </v:rect>
                <v:rect id="Rectangle 27" o:spid="_x0000_s1049" style="position:absolute;left:8642;top:24282;width:254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56BDFBC9" w14:textId="77777777" w:rsidR="00AF2E9A" w:rsidRPr="00771A4B" w:rsidRDefault="00AF2E9A" w:rsidP="0044710E">
                        <w:pPr>
                          <w:rPr>
                            <w:rFonts w:cstheme="minorHAnsi"/>
                            <w:sz w:val="24"/>
                          </w:rPr>
                        </w:pPr>
                        <w:r w:rsidRPr="00771A4B">
                          <w:rPr>
                            <w:rFonts w:cstheme="minorHAnsi"/>
                            <w:color w:val="000000"/>
                            <w:sz w:val="20"/>
                            <w:szCs w:val="18"/>
                            <w:lang w:val="en-US"/>
                          </w:rPr>
                          <w:t>2015</w:t>
                        </w:r>
                      </w:p>
                    </w:txbxContent>
                  </v:textbox>
                </v:rect>
                <v:rect id="Rectangle 28" o:spid="_x0000_s1050" style="position:absolute;left:12103;top:24282;width:254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51713B1D" w14:textId="77777777" w:rsidR="00AF2E9A" w:rsidRPr="00771A4B" w:rsidRDefault="00AF2E9A" w:rsidP="0044710E">
                        <w:pPr>
                          <w:rPr>
                            <w:rFonts w:cstheme="minorHAnsi"/>
                            <w:sz w:val="24"/>
                          </w:rPr>
                        </w:pPr>
                        <w:r w:rsidRPr="00771A4B">
                          <w:rPr>
                            <w:rFonts w:cstheme="minorHAnsi"/>
                            <w:color w:val="000000"/>
                            <w:sz w:val="20"/>
                            <w:szCs w:val="18"/>
                            <w:lang w:val="en-US"/>
                          </w:rPr>
                          <w:t>2020</w:t>
                        </w:r>
                      </w:p>
                    </w:txbxContent>
                  </v:textbox>
                </v:rect>
                <v:rect id="Rectangle 29" o:spid="_x0000_s1051" style="position:absolute;left:15570;top:24282;width:254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7FF5B35A" w14:textId="77777777" w:rsidR="00AF2E9A" w:rsidRPr="00771A4B" w:rsidRDefault="00AF2E9A" w:rsidP="0044710E">
                        <w:pPr>
                          <w:rPr>
                            <w:rFonts w:cstheme="minorHAnsi"/>
                            <w:sz w:val="24"/>
                          </w:rPr>
                        </w:pPr>
                        <w:r w:rsidRPr="00771A4B">
                          <w:rPr>
                            <w:rFonts w:cstheme="minorHAnsi"/>
                            <w:color w:val="000000"/>
                            <w:sz w:val="20"/>
                            <w:szCs w:val="18"/>
                            <w:lang w:val="en-US"/>
                          </w:rPr>
                          <w:t>2025</w:t>
                        </w:r>
                      </w:p>
                    </w:txbxContent>
                  </v:textbox>
                </v:rect>
                <v:rect id="Rectangle 30" o:spid="_x0000_s1052" style="position:absolute;left:19037;top:24282;width:2546;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0FEE9283" w14:textId="77777777" w:rsidR="00AF2E9A" w:rsidRPr="00771A4B" w:rsidRDefault="00AF2E9A" w:rsidP="0044710E">
                        <w:pPr>
                          <w:rPr>
                            <w:rFonts w:cstheme="minorHAnsi"/>
                            <w:sz w:val="24"/>
                          </w:rPr>
                        </w:pPr>
                        <w:r w:rsidRPr="00771A4B">
                          <w:rPr>
                            <w:rFonts w:cstheme="minorHAnsi"/>
                            <w:color w:val="000000"/>
                            <w:sz w:val="20"/>
                            <w:szCs w:val="18"/>
                            <w:lang w:val="en-US"/>
                          </w:rPr>
                          <w:t>2030</w:t>
                        </w:r>
                      </w:p>
                    </w:txbxContent>
                  </v:textbox>
                </v:rect>
                <v:rect id="Rectangle 31" o:spid="_x0000_s1053" style="position:absolute;left:2025;top:13373;width:248;height:1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4E776728" w14:textId="77777777" w:rsidR="00AF2E9A" w:rsidRDefault="00AF2E9A" w:rsidP="0044710E">
                        <w:r>
                          <w:rPr>
                            <w:rFonts w:ascii="Calibri" w:hAnsi="Calibri" w:cs="Calibri"/>
                            <w:b/>
                            <w:bCs/>
                            <w:color w:val="000000"/>
                            <w:sz w:val="2"/>
                            <w:szCs w:val="2"/>
                            <w:lang w:val="en-US"/>
                          </w:rPr>
                          <w:t>TWh</w:t>
                        </w:r>
                      </w:p>
                    </w:txbxContent>
                  </v:textbox>
                </v:rect>
                <v:rect id="Rectangle 32" o:spid="_x0000_s1054" style="position:absolute;left:23164;top:4203;width:578;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" fillcolor="#4f81bd" stroked="f"/>
                <v:rect id="Rectangle 33" o:spid="_x0000_s1055" style="position:absolute;left:23914;top:3892;width:14713;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55BD52E1" w14:textId="77777777" w:rsidR="00AF2E9A" w:rsidRPr="00771A4B" w:rsidRDefault="00AF2E9A" w:rsidP="0044710E">
                        <w:pPr>
                          <w:rPr>
                            <w:rFonts w:cstheme="minorHAnsi"/>
                            <w:sz w:val="20"/>
                            <w:szCs w:val="20"/>
                            <w:lang w:val="en-US"/>
                          </w:rPr>
                        </w:pPr>
                        <w:r>
                          <w:rPr>
                            <w:rFonts w:cstheme="minorHAnsi"/>
                            <w:color w:val="000000"/>
                            <w:sz w:val="20"/>
                            <w:szCs w:val="20"/>
                            <w:lang w:val="en-US"/>
                          </w:rPr>
                          <w:t>Connection of new buildings</w:t>
                        </w:r>
                      </w:p>
                    </w:txbxContent>
                  </v:textbox>
                </v:rect>
                <v:rect id="Rectangle 34" o:spid="_x0000_s1056" style="position:absolute;left:23164;top:6896;width:578;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" fillcolor="#93cddd" stroked="f"/>
                <v:rect id="Rectangle 35" o:spid="_x0000_s1057" style="position:absolute;left:23914;top:6565;width:16618;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14:paraId="5B216A69" w14:textId="77777777" w:rsidR="00AF2E9A" w:rsidRPr="00771A4B" w:rsidRDefault="00AF2E9A" w:rsidP="0044710E">
                        <w:pPr>
                          <w:rPr>
                            <w:rFonts w:cstheme="minorHAnsi"/>
                            <w:sz w:val="32"/>
                          </w:rPr>
                        </w:pPr>
                        <w:r w:rsidRPr="00771A4B">
                          <w:rPr>
                            <w:rFonts w:cstheme="minorHAnsi"/>
                            <w:color w:val="000000"/>
                            <w:sz w:val="20"/>
                            <w:szCs w:val="14"/>
                            <w:lang w:val="en-US"/>
                          </w:rPr>
                          <w:t xml:space="preserve">Connection of existing buildings </w:t>
                        </w:r>
                      </w:p>
                    </w:txbxContent>
                  </v:textbox>
                </v:rect>
                <v:rect id="Rectangle 37" o:spid="_x0000_s1058" style="position:absolute;left:23164;top:9582;width:578;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" fillcolor="#d9d9d9" stroked="f"/>
                <v:rect id="Rectangle 38" o:spid="_x0000_s1059" style="position:absolute;left:23914;top:9232;width:814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14:paraId="2BFC34D5" w14:textId="77777777" w:rsidR="00AF2E9A" w:rsidRPr="00771A4B" w:rsidRDefault="00AF2E9A" w:rsidP="0044710E">
                        <w:pPr>
                          <w:rPr>
                            <w:rFonts w:cstheme="minorHAnsi"/>
                            <w:sz w:val="32"/>
                          </w:rPr>
                        </w:pPr>
                        <w:r w:rsidRPr="00771A4B">
                          <w:rPr>
                            <w:rFonts w:cstheme="minorHAnsi"/>
                            <w:color w:val="000000"/>
                            <w:sz w:val="20"/>
                            <w:szCs w:val="14"/>
                            <w:lang w:val="en-US"/>
                          </w:rPr>
                          <w:t>Other deliveries</w:t>
                        </w:r>
                      </w:p>
                    </w:txbxContent>
                  </v:textbox>
                </v:rect>
                <v:rect id="Rectangle 39" o:spid="_x0000_s1060" style="position:absolute;left:23164;top:12211;width:578;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" fillcolor="#bfbfbf" stroked="f"/>
                <v:rect id="Rectangle 40" o:spid="_x0000_s1061" style="position:absolute;left:23914;top:11906;width:27863;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14:paraId="05839E6F" w14:textId="77777777" w:rsidR="00AF2E9A" w:rsidRPr="00771A4B" w:rsidRDefault="00AF2E9A" w:rsidP="0044710E">
                        <w:pPr>
                          <w:rPr>
                            <w:rFonts w:cstheme="minorHAnsi"/>
                            <w:sz w:val="32"/>
                            <w:lang w:val="en-US"/>
                          </w:rPr>
                        </w:pPr>
                        <w:r>
                          <w:rPr>
                            <w:rFonts w:cstheme="minorHAnsi"/>
                            <w:color w:val="000000"/>
                            <w:sz w:val="20"/>
                            <w:szCs w:val="14"/>
                            <w:lang w:val="en-US"/>
                          </w:rPr>
                          <w:t>Single-</w:t>
                        </w:r>
                        <w:r w:rsidRPr="00771A4B">
                          <w:rPr>
                            <w:rFonts w:cstheme="minorHAnsi"/>
                            <w:color w:val="000000"/>
                            <w:sz w:val="20"/>
                            <w:szCs w:val="14"/>
                            <w:lang w:val="en-US"/>
                          </w:rPr>
                          <w:t xml:space="preserve">family houses with central district heating 2011 </w:t>
                        </w:r>
                      </w:p>
                    </w:txbxContent>
                  </v:textbox>
                </v:rect>
                <v:rect id="Rectangle 42" o:spid="_x0000_s1062" style="position:absolute;left:23164;top:14903;width:578;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" fillcolor="#a6a6a6" stroked="f"/>
                <v:rect id="Rectangle 43" o:spid="_x0000_s1063" style="position:absolute;left:23914;top:14573;width:29838;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14:paraId="2561ADA4" w14:textId="77777777" w:rsidR="00AF2E9A" w:rsidRPr="00771A4B" w:rsidRDefault="00AF2E9A" w:rsidP="0044710E">
                        <w:pPr>
                          <w:rPr>
                            <w:rFonts w:cstheme="minorHAnsi"/>
                            <w:sz w:val="32"/>
                            <w:lang w:val="en-US"/>
                          </w:rPr>
                        </w:pPr>
                        <w:r>
                          <w:rPr>
                            <w:rFonts w:cstheme="minorHAnsi"/>
                            <w:color w:val="000000"/>
                            <w:sz w:val="20"/>
                            <w:szCs w:val="14"/>
                            <w:lang w:val="en-US"/>
                          </w:rPr>
                          <w:t>Non-</w:t>
                        </w:r>
                        <w:r w:rsidRPr="00771A4B">
                          <w:rPr>
                            <w:rFonts w:cstheme="minorHAnsi"/>
                            <w:color w:val="000000"/>
                            <w:sz w:val="20"/>
                            <w:szCs w:val="14"/>
                            <w:lang w:val="en-US"/>
                          </w:rPr>
                          <w:t xml:space="preserve">residential premises with central district heating 2011 </w:t>
                        </w:r>
                      </w:p>
                    </w:txbxContent>
                  </v:textbox>
                </v:rect>
                <v:rect id="Rectangle 45" o:spid="_x0000_s1064" style="position:absolute;left:23164;top:17589;width:578;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" fillcolor="#7f7f7f" stroked="f"/>
                <v:rect id="Rectangle 46" o:spid="_x0000_s1065" style="position:absolute;left:23914;top:17246;width:27444;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14:paraId="2F4F3197" w14:textId="77777777" w:rsidR="00AF2E9A" w:rsidRPr="00771A4B" w:rsidRDefault="00AF2E9A" w:rsidP="0044710E">
                        <w:pPr>
                          <w:rPr>
                            <w:rFonts w:cstheme="minorHAnsi"/>
                            <w:sz w:val="32"/>
                            <w:lang w:val="en-US"/>
                          </w:rPr>
                        </w:pPr>
                        <w:r>
                          <w:rPr>
                            <w:rFonts w:cstheme="minorHAnsi"/>
                            <w:color w:val="000000"/>
                            <w:sz w:val="20"/>
                            <w:szCs w:val="14"/>
                            <w:lang w:val="en-US"/>
                          </w:rPr>
                          <w:t>Multi-</w:t>
                        </w:r>
                        <w:r w:rsidRPr="00771A4B">
                          <w:rPr>
                            <w:rFonts w:cstheme="minorHAnsi"/>
                            <w:color w:val="000000"/>
                            <w:sz w:val="20"/>
                            <w:szCs w:val="14"/>
                            <w:lang w:val="en-US"/>
                          </w:rPr>
                          <w:t xml:space="preserve">family houses with central district heating 2011 </w:t>
                        </w:r>
                      </w:p>
                    </w:txbxContent>
                  </v:textbox>
                </v:rect>
                <v:rect id="Rectangle 48" o:spid="_x0000_s1066" style="position:absolute;left:23164;top:20224;width:578;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" fillcolor="#595959" stroked="f"/>
                <v:rect id="Rectangle 49" o:spid="_x0000_s1067" style="position:absolute;left:23914;top:19913;width:4235;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14:paraId="0C2E2C80" w14:textId="77777777" w:rsidR="00AF2E9A" w:rsidRPr="00771A4B" w:rsidRDefault="00AF2E9A" w:rsidP="0044710E">
                        <w:pPr>
                          <w:rPr>
                            <w:rFonts w:cstheme="minorHAnsi"/>
                            <w:sz w:val="32"/>
                          </w:rPr>
                        </w:pPr>
                        <w:r w:rsidRPr="00771A4B">
                          <w:rPr>
                            <w:rFonts w:cstheme="minorHAnsi"/>
                            <w:color w:val="000000"/>
                            <w:sz w:val="20"/>
                            <w:szCs w:val="14"/>
                            <w:lang w:val="en-US"/>
                          </w:rPr>
                          <w:t>Industry</w:t>
                        </w:r>
                      </w:p>
                    </w:txbxContent>
                  </v:textbox>
                </v:rect>
                <w10:wrap type="topAndBottom" anchorx="margin"/>
              </v:group>
            </w:pict>
          </mc:Fallback>
        </mc:AlternateContent>
      </w:r>
    </w:p>
    <w:p w14:paraId="64DAAC4D" w14:textId="77777777" w:rsidR="0044710E" w:rsidRPr="008E2A7B" w:rsidRDefault="0044710E" w:rsidP="0044710E">
      <w:pPr>
        <w:pStyle w:val="Brdtext"/>
        <w:rPr>
          <w:lang w:val="en-GB"/>
        </w:rPr>
      </w:pPr>
      <w:r w:rsidRPr="008E2A7B">
        <w:rPr>
          <w:lang w:val="en-GB"/>
        </w:rPr>
        <w:t>District cooling is currently around 1 TWh. For district cooling, the potential has been estimated at an additional 2 TWh by 2030.</w:t>
      </w:r>
    </w:p>
    <w:p w14:paraId="3410F3BE" w14:textId="2FC1B14C" w:rsidR="0044710E" w:rsidRPr="008E2A7B" w:rsidRDefault="0044710E" w:rsidP="0044710E">
      <w:pPr>
        <w:pStyle w:val="Brdtext"/>
        <w:rPr>
          <w:lang w:val="en-GB"/>
        </w:rPr>
      </w:pPr>
      <w:r w:rsidRPr="008E2A7B">
        <w:rPr>
          <w:b/>
          <w:lang w:val="en-GB"/>
        </w:rPr>
        <w:t>The potential of CHP</w:t>
      </w:r>
      <w:r w:rsidRPr="008E2A7B">
        <w:rPr>
          <w:b/>
          <w:lang w:val="en-GB"/>
        </w:rPr>
        <w:br/>
      </w:r>
      <w:r w:rsidRPr="008E2A7B">
        <w:rPr>
          <w:lang w:val="en-GB"/>
        </w:rPr>
        <w:t xml:space="preserve">The combined heat and power potential consists of cogeneration in district heating systems and industrial cogeneration, so-called industrial back pressure. The additional potential for electricity generation from CHP </w:t>
      </w:r>
      <w:r w:rsidR="006F133C" w:rsidRPr="008E2A7B">
        <w:rPr>
          <w:lang w:val="en-GB"/>
        </w:rPr>
        <w:t xml:space="preserve">is </w:t>
      </w:r>
      <w:r w:rsidRPr="008E2A7B">
        <w:rPr>
          <w:lang w:val="en-GB"/>
        </w:rPr>
        <w:t xml:space="preserve">approximately 15 TWh </w:t>
      </w:r>
      <w:r w:rsidR="006F133C" w:rsidRPr="008E2A7B">
        <w:rPr>
          <w:lang w:val="en-GB"/>
        </w:rPr>
        <w:t xml:space="preserve">by </w:t>
      </w:r>
      <w:r w:rsidRPr="008E2A7B">
        <w:rPr>
          <w:lang w:val="en-GB"/>
        </w:rPr>
        <w:t>2030, from 10.5 TWh in 2011. This is based on the assumption that district heating supplies will slightly decrease in the long term.</w:t>
      </w:r>
    </w:p>
    <w:p w14:paraId="09639DD6" w14:textId="1B724E6B" w:rsidR="0044710E" w:rsidRPr="008E2A7B" w:rsidRDefault="0044710E" w:rsidP="0044710E">
      <w:pPr>
        <w:pStyle w:val="Brdtext"/>
        <w:rPr>
          <w:lang w:val="en-GB"/>
        </w:rPr>
      </w:pPr>
      <w:r w:rsidRPr="008E2A7B">
        <w:rPr>
          <w:lang w:val="en-GB"/>
        </w:rPr>
        <w:t xml:space="preserve">Electricity production from the industrial CHP is currently 6 TWh per year. The overall assessment of the potential of industrial back pressure is 8.8 TWh </w:t>
      </w:r>
      <w:r w:rsidR="006F133C" w:rsidRPr="008E2A7B">
        <w:rPr>
          <w:lang w:val="en-GB"/>
        </w:rPr>
        <w:t>by</w:t>
      </w:r>
      <w:r w:rsidRPr="008E2A7B">
        <w:rPr>
          <w:lang w:val="en-GB"/>
        </w:rPr>
        <w:t xml:space="preserve"> 2030.</w:t>
      </w:r>
    </w:p>
    <w:p w14:paraId="4DAADE1A" w14:textId="77777777" w:rsidR="0044710E" w:rsidRPr="008E2A7B" w:rsidRDefault="0044710E" w:rsidP="0044710E">
      <w:pPr>
        <w:pStyle w:val="i-lista"/>
        <w:numPr>
          <w:ilvl w:val="1"/>
          <w:numId w:val="34"/>
        </w:numPr>
        <w:rPr>
          <w:i/>
          <w:lang w:val="en-GB"/>
        </w:rPr>
      </w:pPr>
      <w:r w:rsidRPr="008E2A7B">
        <w:rPr>
          <w:i/>
          <w:lang w:val="en-GB"/>
        </w:rPr>
        <w:t xml:space="preserve">Projections considering existing energy efficiency policies, measures and programmes as described under 1.2. ii) for primary and final energy consumption for each sector at least until 2040 (including for the year 2030) </w:t>
      </w:r>
    </w:p>
    <w:p w14:paraId="2F17709A" w14:textId="0939837F" w:rsidR="0044710E" w:rsidRPr="008E2A7B" w:rsidRDefault="006B0558" w:rsidP="0044710E">
      <w:pPr>
        <w:pStyle w:val="Brdtext"/>
        <w:rPr>
          <w:lang w:val="en-GB"/>
        </w:rPr>
      </w:pPr>
      <w:r w:rsidRPr="008E2A7B">
        <w:rPr>
          <w:lang w:val="en-GB"/>
        </w:rPr>
        <w:fldChar w:fldCharType="begin"/>
      </w:r>
      <w:r w:rsidRPr="008E2A7B">
        <w:rPr>
          <w:lang w:val="en-GB"/>
        </w:rPr>
        <w:instrText xml:space="preserve"> REF _Ref496280950 \h </w:instrText>
      </w:r>
      <w:r w:rsidRPr="008E2A7B">
        <w:rPr>
          <w:lang w:val="en-GB"/>
        </w:rPr>
      </w:r>
      <w:r w:rsidRPr="008E2A7B">
        <w:rPr>
          <w:lang w:val="en-GB"/>
        </w:rPr>
        <w:fldChar w:fldCharType="separate"/>
      </w:r>
      <w:r w:rsidRPr="008E2A7B">
        <w:rPr>
          <w:lang w:val="en-GB"/>
        </w:rPr>
        <w:t xml:space="preserve">Figure </w:t>
      </w:r>
      <w:r w:rsidRPr="008E2A7B">
        <w:rPr>
          <w:noProof/>
          <w:lang w:val="en-GB"/>
        </w:rPr>
        <w:t>19</w:t>
      </w:r>
      <w:r w:rsidRPr="008E2A7B">
        <w:rPr>
          <w:lang w:val="en-GB"/>
        </w:rPr>
        <w:fldChar w:fldCharType="end"/>
      </w:r>
      <w:r w:rsidR="0044710E" w:rsidRPr="008E2A7B">
        <w:rPr>
          <w:lang w:val="en-GB"/>
        </w:rPr>
        <w:t xml:space="preserve"> shows a projection of Sweden's final energy consumption by 2040, for each sector. The projection is based on policies and measures decided until 30</w:t>
      </w:r>
      <w:r w:rsidR="006F133C" w:rsidRPr="008E2A7B">
        <w:rPr>
          <w:lang w:val="en-GB"/>
        </w:rPr>
        <w:t xml:space="preserve"> June</w:t>
      </w:r>
      <w:r w:rsidR="0044710E" w:rsidRPr="008E2A7B">
        <w:rPr>
          <w:lang w:val="en-GB"/>
        </w:rPr>
        <w:t xml:space="preserve"> 2016. At present, there is no projection for primary energy consumption for each sector available.</w:t>
      </w:r>
    </w:p>
    <w:p w14:paraId="530560B3" w14:textId="77777777" w:rsidR="006B0558" w:rsidRPr="008E2A7B" w:rsidRDefault="006B0558">
      <w:pPr>
        <w:spacing w:after="160" w:line="0" w:lineRule="auto"/>
        <w:rPr>
          <w:b/>
          <w:iCs/>
          <w:sz w:val="20"/>
          <w:szCs w:val="18"/>
          <w:lang w:val="en-GB"/>
        </w:rPr>
      </w:pPr>
      <w:bookmarkStart w:id="66" w:name="_Ref496280950"/>
      <w:r w:rsidRPr="008E2A7B">
        <w:rPr>
          <w:lang w:val="en-GB"/>
        </w:rPr>
        <w:br w:type="page"/>
      </w:r>
    </w:p>
    <w:p w14:paraId="31477FAA" w14:textId="13126693" w:rsidR="0044710E" w:rsidRPr="008E2A7B" w:rsidRDefault="0044710E" w:rsidP="0044710E">
      <w:pPr>
        <w:pStyle w:val="Beskrivning"/>
        <w:rPr>
          <w:szCs w:val="20"/>
          <w:lang w:val="en-GB"/>
        </w:rPr>
      </w:pPr>
      <w:bookmarkStart w:id="67" w:name="_Ref498518921"/>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19</w:t>
      </w:r>
      <w:r w:rsidRPr="008E2A7B">
        <w:rPr>
          <w:lang w:val="en-GB"/>
        </w:rPr>
        <w:fldChar w:fldCharType="end"/>
      </w:r>
      <w:bookmarkEnd w:id="66"/>
      <w:bookmarkEnd w:id="67"/>
      <w:r w:rsidRPr="008E2A7B">
        <w:rPr>
          <w:szCs w:val="20"/>
          <w:lang w:val="en-GB"/>
        </w:rPr>
        <w:t xml:space="preserve"> Projection of Sweden's energy consumption for the sectors Residential and service, Transport and Industry, 2014-2040</w:t>
      </w:r>
    </w:p>
    <w:p w14:paraId="1EF96DAF" w14:textId="77777777" w:rsidR="0044710E" w:rsidRPr="008E2A7B" w:rsidRDefault="0044710E" w:rsidP="0044710E">
      <w:pPr>
        <w:pStyle w:val="Brdtext"/>
        <w:rPr>
          <w:lang w:val="en-GB"/>
        </w:rPr>
      </w:pPr>
      <w:r w:rsidRPr="008E2A7B">
        <w:rPr>
          <w:noProof/>
          <w:lang w:val="en-GB" w:eastAsia="sv-SE"/>
        </w:rPr>
        <w:drawing>
          <wp:inline distT="0" distB="0" distL="0" distR="0" wp14:anchorId="04975F10" wp14:editId="3E269219">
            <wp:extent cx="4391660" cy="2940050"/>
            <wp:effectExtent l="0" t="0" r="8890" b="12700"/>
            <wp:docPr id="1" name="Diagram 1">
              <a:extLst xmlns:a="http://schemas.openxmlformats.org/drawingml/2006/main">
                <a:ext uri="{FF2B5EF4-FFF2-40B4-BE49-F238E27FC236}">
                  <a16:creationId xmlns:a16="http://schemas.microsoft.com/office/drawing/2014/main" id="{9F2FA6CE-02F6-4FC5-AFA2-B01CCE93C6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1F18CA4" w14:textId="77777777" w:rsidR="0044710E" w:rsidRPr="008E2A7B" w:rsidRDefault="0044710E" w:rsidP="0044710E">
      <w:pPr>
        <w:pStyle w:val="i-lista"/>
        <w:numPr>
          <w:ilvl w:val="1"/>
          <w:numId w:val="34"/>
        </w:numPr>
        <w:rPr>
          <w:i/>
          <w:lang w:val="en-GB"/>
        </w:rPr>
      </w:pPr>
      <w:r w:rsidRPr="008E2A7B">
        <w:rPr>
          <w:i/>
          <w:lang w:val="en-GB"/>
        </w:rPr>
        <w:t>Cost-optimal levels of minimum energy performance requirements resulting from national calculations, according to Article 5 of Directive 2010/31/EU</w:t>
      </w:r>
    </w:p>
    <w:p w14:paraId="0AAD6704" w14:textId="77777777" w:rsidR="0044710E" w:rsidRPr="008E2A7B" w:rsidRDefault="0044710E" w:rsidP="0044710E">
      <w:pPr>
        <w:pStyle w:val="Brdtext"/>
        <w:rPr>
          <w:lang w:val="en-GB"/>
        </w:rPr>
      </w:pPr>
      <w:r w:rsidRPr="008E2A7B">
        <w:rPr>
          <w:lang w:val="en-GB"/>
        </w:rPr>
        <w:t xml:space="preserve">Not available at the moment but there is ongoing work to develop cost-optimal levels for near zero energy buildings. </w:t>
      </w:r>
    </w:p>
    <w:p w14:paraId="3955CC76" w14:textId="77777777" w:rsidR="0044710E" w:rsidRPr="008821B1" w:rsidRDefault="0044710E" w:rsidP="0044710E">
      <w:pPr>
        <w:pStyle w:val="Brdtext"/>
        <w:rPr>
          <w:color w:val="FF0000"/>
          <w:lang w:val="sv-SE"/>
        </w:rPr>
      </w:pPr>
      <w:r w:rsidRPr="008821B1">
        <w:rPr>
          <w:color w:val="FF0000"/>
          <w:lang w:val="sv-SE"/>
        </w:rPr>
        <w:t>[RK ansvarar för arbetet och fyller på med när det förväntas vara klart]</w:t>
      </w:r>
    </w:p>
    <w:p w14:paraId="6BE03BCF" w14:textId="77777777" w:rsidR="00D96AB7" w:rsidRPr="008821B1" w:rsidRDefault="00D96AB7" w:rsidP="0044710E">
      <w:pPr>
        <w:pStyle w:val="Brdtext"/>
        <w:rPr>
          <w:color w:val="FF0000"/>
          <w:lang w:val="sv-SE"/>
        </w:rPr>
      </w:pPr>
    </w:p>
    <w:p w14:paraId="2B9193B3" w14:textId="77777777" w:rsidR="0044710E" w:rsidRPr="008E2A7B" w:rsidRDefault="0044710E" w:rsidP="0044710E">
      <w:pPr>
        <w:pStyle w:val="Rubrik2"/>
        <w:rPr>
          <w:lang w:val="en-GB"/>
        </w:rPr>
      </w:pPr>
      <w:bookmarkStart w:id="68" w:name="_Toc499285557"/>
      <w:r w:rsidRPr="008E2A7B">
        <w:rPr>
          <w:lang w:val="en-GB"/>
        </w:rPr>
        <w:t>Dimension Energy security</w:t>
      </w:r>
      <w:bookmarkEnd w:id="68"/>
      <w:r w:rsidRPr="008E2A7B">
        <w:rPr>
          <w:lang w:val="en-GB"/>
        </w:rPr>
        <w:t xml:space="preserve"> </w:t>
      </w:r>
    </w:p>
    <w:p w14:paraId="0ADC02C9" w14:textId="77777777" w:rsidR="0044710E" w:rsidRPr="008E2A7B" w:rsidRDefault="0044710E" w:rsidP="0044710E">
      <w:pPr>
        <w:pStyle w:val="i-lista"/>
        <w:numPr>
          <w:ilvl w:val="1"/>
          <w:numId w:val="35"/>
        </w:numPr>
        <w:rPr>
          <w:i/>
          <w:lang w:val="en-GB"/>
        </w:rPr>
      </w:pPr>
      <w:r w:rsidRPr="008E2A7B">
        <w:rPr>
          <w:i/>
          <w:lang w:val="en-GB"/>
        </w:rPr>
        <w:t>Current energy mix, domestic energy resources, import dependency, including relevant risks</w:t>
      </w:r>
    </w:p>
    <w:p w14:paraId="35639ACF" w14:textId="30FC85B1" w:rsidR="0044710E" w:rsidRPr="008E2A7B" w:rsidRDefault="0044710E" w:rsidP="0044710E">
      <w:pPr>
        <w:pStyle w:val="Brdtext"/>
        <w:rPr>
          <w:lang w:val="en-GB"/>
        </w:rPr>
      </w:pPr>
      <w:r w:rsidRPr="008E2A7B">
        <w:rPr>
          <w:lang w:val="en-GB"/>
        </w:rPr>
        <w:t>The Swedish energy system is partly based on domestic sources of renewable energy such as water, wind and biofuel. The biofuel represent</w:t>
      </w:r>
      <w:r w:rsidR="006F133C" w:rsidRPr="008E2A7B">
        <w:rPr>
          <w:lang w:val="en-GB"/>
        </w:rPr>
        <w:t>ed</w:t>
      </w:r>
      <w:r w:rsidRPr="008E2A7B">
        <w:rPr>
          <w:lang w:val="en-GB"/>
        </w:rPr>
        <w:t xml:space="preserve"> 25% of the primary energy in 2015. In addition, a large proportion of the energy supplied is dependent on imports, such as nuclear fuel for electricity production in nuclear reactors and fossil fuels, such as oil and natural gas for the transport system. The fossil fuels represent</w:t>
      </w:r>
      <w:r w:rsidR="006F133C" w:rsidRPr="008E2A7B">
        <w:rPr>
          <w:lang w:val="en-GB"/>
        </w:rPr>
        <w:t>ed</w:t>
      </w:r>
      <w:r w:rsidRPr="008E2A7B">
        <w:rPr>
          <w:lang w:val="en-GB"/>
        </w:rPr>
        <w:t xml:space="preserve"> 28% of the primary energy in 2015. The development of total energy supply 2005-2015 is shown in </w:t>
      </w:r>
      <w:r w:rsidR="00D96AB7">
        <w:rPr>
          <w:lang w:val="en-GB"/>
        </w:rPr>
        <w:fldChar w:fldCharType="begin"/>
      </w:r>
      <w:r w:rsidR="00D96AB7">
        <w:rPr>
          <w:lang w:val="en-GB"/>
        </w:rPr>
        <w:instrText xml:space="preserve"> REF _Ref496281058 \h </w:instrText>
      </w:r>
      <w:r w:rsidR="00D96AB7">
        <w:rPr>
          <w:lang w:val="en-GB"/>
        </w:rPr>
      </w:r>
      <w:r w:rsidR="00D96AB7">
        <w:rPr>
          <w:lang w:val="en-GB"/>
        </w:rPr>
        <w:fldChar w:fldCharType="separate"/>
      </w:r>
      <w:r w:rsidR="00D96AB7" w:rsidRPr="008E2A7B">
        <w:rPr>
          <w:lang w:val="en-GB"/>
        </w:rPr>
        <w:t xml:space="preserve">Figure </w:t>
      </w:r>
      <w:r w:rsidR="00D96AB7">
        <w:rPr>
          <w:noProof/>
          <w:lang w:val="en-GB"/>
        </w:rPr>
        <w:t>20</w:t>
      </w:r>
      <w:r w:rsidR="00D96AB7">
        <w:rPr>
          <w:lang w:val="en-GB"/>
        </w:rPr>
        <w:fldChar w:fldCharType="end"/>
      </w:r>
      <w:r w:rsidRPr="008E2A7B">
        <w:rPr>
          <w:lang w:val="en-GB"/>
        </w:rPr>
        <w:t xml:space="preserve">. </w:t>
      </w:r>
    </w:p>
    <w:p w14:paraId="4936BD1B" w14:textId="77777777" w:rsidR="0044710E" w:rsidRPr="008E2A7B" w:rsidRDefault="0044710E" w:rsidP="0044710E">
      <w:pPr>
        <w:pStyle w:val="Brdtext"/>
        <w:rPr>
          <w:lang w:val="en-GB"/>
        </w:rPr>
      </w:pPr>
      <w:r w:rsidRPr="008E2A7B">
        <w:rPr>
          <w:lang w:val="en-GB"/>
        </w:rPr>
        <w:t xml:space="preserve">The Swedish electricity production is based mostly on hydropower and nuclear power, 47% and 34% in 2015. The expansion of wind power is steadily increasing and in 2015 it produced 10% of total electricity production. The use of biofuel for electricity and heat production is also increasing. </w:t>
      </w:r>
    </w:p>
    <w:p w14:paraId="5401A0B4" w14:textId="4FE33AA4" w:rsidR="0044710E" w:rsidRPr="008E2A7B" w:rsidRDefault="0044710E" w:rsidP="0044710E">
      <w:pPr>
        <w:pStyle w:val="Beskrivning"/>
        <w:rPr>
          <w:szCs w:val="20"/>
          <w:lang w:val="en-GB"/>
        </w:rPr>
      </w:pPr>
      <w:bookmarkStart w:id="69" w:name="_Ref496281058"/>
      <w:r w:rsidRPr="008E2A7B">
        <w:rPr>
          <w:noProof/>
          <w:lang w:val="en-GB" w:eastAsia="sv-SE"/>
        </w:rPr>
        <w:lastRenderedPageBreak/>
        <w:drawing>
          <wp:anchor distT="0" distB="0" distL="114300" distR="114300" simplePos="0" relativeHeight="251658241" behindDoc="0" locked="0" layoutInCell="1" allowOverlap="1" wp14:anchorId="68BFA624" wp14:editId="1B55A3D9">
            <wp:simplePos x="0" y="0"/>
            <wp:positionH relativeFrom="margin">
              <wp:align>left</wp:align>
            </wp:positionH>
            <wp:positionV relativeFrom="paragraph">
              <wp:posOffset>304800</wp:posOffset>
            </wp:positionV>
            <wp:extent cx="5372100" cy="3714750"/>
            <wp:effectExtent l="0" t="0" r="0" b="0"/>
            <wp:wrapTopAndBottom/>
            <wp:docPr id="69" name="Diagram 6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20</w:t>
      </w:r>
      <w:r w:rsidRPr="008E2A7B">
        <w:rPr>
          <w:lang w:val="en-GB"/>
        </w:rPr>
        <w:fldChar w:fldCharType="end"/>
      </w:r>
      <w:bookmarkEnd w:id="69"/>
      <w:r w:rsidRPr="008E2A7B">
        <w:rPr>
          <w:szCs w:val="20"/>
          <w:lang w:val="en-GB"/>
        </w:rPr>
        <w:t xml:space="preserve"> Total energy supply by energy commodity, TWh, 2005-2015</w:t>
      </w:r>
    </w:p>
    <w:p w14:paraId="5D7F08CF" w14:textId="77777777" w:rsidR="0044710E" w:rsidRPr="008E2A7B" w:rsidRDefault="0044710E" w:rsidP="0044710E">
      <w:pPr>
        <w:pStyle w:val="i-lista"/>
        <w:numPr>
          <w:ilvl w:val="1"/>
          <w:numId w:val="35"/>
        </w:numPr>
        <w:rPr>
          <w:i/>
          <w:lang w:val="en-GB"/>
        </w:rPr>
      </w:pPr>
      <w:r w:rsidRPr="008E2A7B">
        <w:rPr>
          <w:i/>
          <w:lang w:val="en-GB"/>
        </w:rPr>
        <w:t>Projections of development with existing policies and measures at least until 2040 (including for the year 2030)</w:t>
      </w:r>
    </w:p>
    <w:p w14:paraId="6D81CADB" w14:textId="40B50B0A" w:rsidR="0044710E" w:rsidRPr="008E2A7B" w:rsidRDefault="0044710E" w:rsidP="0044710E">
      <w:pPr>
        <w:pStyle w:val="Brdtext"/>
        <w:rPr>
          <w:lang w:val="en-GB"/>
        </w:rPr>
      </w:pPr>
      <w:r w:rsidRPr="008E2A7B">
        <w:rPr>
          <w:lang w:val="en-GB"/>
        </w:rPr>
        <w:t xml:space="preserve">The projection of the energy mix in the reference scenario for 2040 is presented in </w:t>
      </w:r>
      <w:r w:rsidR="006B0558" w:rsidRPr="008E2A7B">
        <w:rPr>
          <w:lang w:val="en-GB"/>
        </w:rPr>
        <w:fldChar w:fldCharType="begin"/>
      </w:r>
      <w:r w:rsidR="006B0558" w:rsidRPr="008E2A7B">
        <w:rPr>
          <w:lang w:val="en-GB"/>
        </w:rPr>
        <w:instrText xml:space="preserve"> REF _Ref496281125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21</w:t>
      </w:r>
      <w:r w:rsidR="006B0558" w:rsidRPr="008E2A7B">
        <w:rPr>
          <w:lang w:val="en-GB"/>
        </w:rPr>
        <w:fldChar w:fldCharType="end"/>
      </w:r>
      <w:r w:rsidRPr="008E2A7B">
        <w:rPr>
          <w:lang w:val="en-GB"/>
        </w:rPr>
        <w:t xml:space="preserve"> below. </w:t>
      </w:r>
    </w:p>
    <w:p w14:paraId="4B294E39" w14:textId="63C4D1E2" w:rsidR="0044710E" w:rsidRPr="008E2A7B" w:rsidRDefault="0044710E" w:rsidP="00D96AB7">
      <w:pPr>
        <w:pStyle w:val="Beskrivning"/>
        <w:rPr>
          <w:lang w:val="en-GB"/>
        </w:rPr>
      </w:pPr>
      <w:bookmarkStart w:id="70" w:name="_Ref496281125"/>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21</w:t>
      </w:r>
      <w:r w:rsidRPr="008E2A7B">
        <w:rPr>
          <w:lang w:val="en-GB"/>
        </w:rPr>
        <w:fldChar w:fldCharType="end"/>
      </w:r>
      <w:bookmarkEnd w:id="70"/>
      <w:r w:rsidRPr="008E2A7B">
        <w:rPr>
          <w:szCs w:val="20"/>
          <w:lang w:val="en-GB"/>
        </w:rPr>
        <w:t xml:space="preserve"> Total energy supply by e</w:t>
      </w:r>
      <w:r w:rsidR="00D96AB7">
        <w:rPr>
          <w:szCs w:val="20"/>
          <w:lang w:val="en-GB"/>
        </w:rPr>
        <w:t>nergy commodity, TWh, 2014-2040</w:t>
      </w:r>
    </w:p>
    <w:p w14:paraId="0AAAC903" w14:textId="77777777" w:rsidR="0044710E" w:rsidRPr="008E2A7B" w:rsidRDefault="0044710E" w:rsidP="0044710E">
      <w:pPr>
        <w:pStyle w:val="Brdtext"/>
        <w:rPr>
          <w:noProof/>
          <w:lang w:val="en-GB"/>
        </w:rPr>
      </w:pPr>
      <w:r w:rsidRPr="008E2A7B">
        <w:rPr>
          <w:noProof/>
          <w:lang w:val="en-GB" w:eastAsia="sv-SE"/>
        </w:rPr>
        <w:drawing>
          <wp:inline distT="0" distB="0" distL="0" distR="0" wp14:anchorId="3F7B7D78" wp14:editId="6DF617E8">
            <wp:extent cx="4391660" cy="2952750"/>
            <wp:effectExtent l="0" t="0" r="8890" b="0"/>
            <wp:docPr id="70" name="Diagram 70">
              <a:extLst xmlns:a="http://schemas.openxmlformats.org/drawingml/2006/main">
                <a:ext uri="{FF2B5EF4-FFF2-40B4-BE49-F238E27FC236}">
                  <a16:creationId xmlns:a16="http://schemas.microsoft.com/office/drawing/2014/main" id="{5C9500CD-42A2-48EA-9177-64099E0363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4EE2592" w14:textId="4B433AE4" w:rsidR="0044710E" w:rsidRPr="008E2A7B" w:rsidRDefault="0044710E" w:rsidP="0044710E">
      <w:pPr>
        <w:pStyle w:val="Brdtext"/>
        <w:rPr>
          <w:lang w:val="en-GB"/>
        </w:rPr>
      </w:pPr>
      <w:r w:rsidRPr="008E2A7B">
        <w:rPr>
          <w:noProof/>
          <w:lang w:val="en-GB"/>
        </w:rPr>
        <w:lastRenderedPageBreak/>
        <w:t xml:space="preserve">In 2040 the nuclear production will decrease </w:t>
      </w:r>
      <w:r w:rsidR="006F133C" w:rsidRPr="008E2A7B">
        <w:rPr>
          <w:noProof/>
          <w:lang w:val="en-GB"/>
        </w:rPr>
        <w:t xml:space="preserve">because </w:t>
      </w:r>
      <w:r w:rsidRPr="008E2A7B">
        <w:rPr>
          <w:noProof/>
          <w:lang w:val="en-GB"/>
        </w:rPr>
        <w:t>several reactors are old and projected to shut down. The n</w:t>
      </w:r>
      <w:r w:rsidR="006F133C" w:rsidRPr="008E2A7B">
        <w:rPr>
          <w:noProof/>
          <w:lang w:val="en-GB"/>
        </w:rPr>
        <w:t>uclear production is nearly halved</w:t>
      </w:r>
      <w:r w:rsidRPr="008E2A7B">
        <w:rPr>
          <w:noProof/>
          <w:lang w:val="en-GB"/>
        </w:rPr>
        <w:t xml:space="preserve"> in 2040 compared to 2020. </w:t>
      </w:r>
      <w:r w:rsidRPr="008E2A7B">
        <w:rPr>
          <w:lang w:val="en-GB"/>
        </w:rPr>
        <w:t xml:space="preserve">The Swedish electricity system and especially electricity generation are facing major changes. The owners of nuclear power plants have taken decisions in the last year that will affect the importance of nuclear power. There are discussions about whether the operation of the market provides sufficiently good conditions for long-term </w:t>
      </w:r>
      <w:r w:rsidR="006F133C" w:rsidRPr="008E2A7B">
        <w:rPr>
          <w:lang w:val="en-GB"/>
        </w:rPr>
        <w:t>secure</w:t>
      </w:r>
      <w:r w:rsidRPr="008E2A7B">
        <w:rPr>
          <w:lang w:val="en-GB"/>
        </w:rPr>
        <w:t xml:space="preserve"> electricity generation in Sweden. This affects the future risk of both power and electricity diversity and requires different types of analyses and measures in both the short and long term.</w:t>
      </w:r>
    </w:p>
    <w:p w14:paraId="4F2435B1" w14:textId="31136E1A" w:rsidR="0044710E" w:rsidRPr="008E2A7B" w:rsidRDefault="0044710E" w:rsidP="0044710E">
      <w:pPr>
        <w:pStyle w:val="Brdtext"/>
        <w:rPr>
          <w:noProof/>
          <w:lang w:val="en-GB"/>
        </w:rPr>
      </w:pPr>
      <w:r w:rsidRPr="008E2A7B">
        <w:rPr>
          <w:noProof/>
          <w:lang w:val="en-GB"/>
        </w:rPr>
        <w:t xml:space="preserve">The production of wind power </w:t>
      </w:r>
      <w:r w:rsidR="006F133C" w:rsidRPr="008E2A7B">
        <w:rPr>
          <w:noProof/>
          <w:lang w:val="en-GB"/>
        </w:rPr>
        <w:t xml:space="preserve">will increase </w:t>
      </w:r>
      <w:r w:rsidRPr="008E2A7B">
        <w:rPr>
          <w:noProof/>
          <w:lang w:val="en-GB"/>
        </w:rPr>
        <w:t>to 2040. In 2040</w:t>
      </w:r>
      <w:r w:rsidR="006F133C" w:rsidRPr="008E2A7B">
        <w:rPr>
          <w:noProof/>
          <w:lang w:val="en-GB"/>
        </w:rPr>
        <w:t>,</w:t>
      </w:r>
      <w:r w:rsidRPr="008E2A7B">
        <w:rPr>
          <w:noProof/>
          <w:lang w:val="en-GB"/>
        </w:rPr>
        <w:t xml:space="preserve"> wind power production is over 50 TWh compared to 19 TWh in 2020. In 2030</w:t>
      </w:r>
      <w:r w:rsidR="006F133C" w:rsidRPr="008E2A7B">
        <w:rPr>
          <w:noProof/>
          <w:lang w:val="en-GB"/>
        </w:rPr>
        <w:t>,</w:t>
      </w:r>
      <w:r w:rsidRPr="008E2A7B">
        <w:rPr>
          <w:noProof/>
          <w:lang w:val="en-GB"/>
        </w:rPr>
        <w:t xml:space="preserve"> solar power is also increasing and in 2040 it is almost 5 TWh in the energy system. A</w:t>
      </w:r>
      <w:r w:rsidR="006F133C" w:rsidRPr="008E2A7B">
        <w:rPr>
          <w:noProof/>
          <w:lang w:val="en-GB"/>
        </w:rPr>
        <w:t>n</w:t>
      </w:r>
      <w:r w:rsidRPr="008E2A7B">
        <w:rPr>
          <w:noProof/>
          <w:lang w:val="en-GB"/>
        </w:rPr>
        <w:t xml:space="preserve"> electricity system wit</w:t>
      </w:r>
      <w:r w:rsidR="006F133C" w:rsidRPr="008E2A7B">
        <w:rPr>
          <w:noProof/>
          <w:lang w:val="en-GB"/>
        </w:rPr>
        <w:t xml:space="preserve">h a </w:t>
      </w:r>
      <w:r w:rsidR="00E93338" w:rsidRPr="008E2A7B">
        <w:rPr>
          <w:noProof/>
          <w:lang w:val="en-GB"/>
        </w:rPr>
        <w:t>large share</w:t>
      </w:r>
      <w:r w:rsidR="006F133C" w:rsidRPr="008E2A7B">
        <w:rPr>
          <w:noProof/>
          <w:lang w:val="en-GB"/>
        </w:rPr>
        <w:t xml:space="preserve"> of variable</w:t>
      </w:r>
      <w:r w:rsidRPr="008E2A7B">
        <w:rPr>
          <w:noProof/>
          <w:lang w:val="en-GB"/>
        </w:rPr>
        <w:t xml:space="preserve"> electricity, such as wind and solar power, will bring several challenges in terms of power control. Without any other power source that replaces nuclear power, there is an increased risk of power failure situations occurring more often in the future. Two key issues regarding the future power balance will be to determine which level of energy security to apply and how to ensure the availability of electricity power. </w:t>
      </w:r>
    </w:p>
    <w:p w14:paraId="3B2CB778" w14:textId="77777777" w:rsidR="0044710E" w:rsidRPr="008E2A7B" w:rsidRDefault="0044710E" w:rsidP="0044710E">
      <w:pPr>
        <w:pStyle w:val="Brdtext"/>
        <w:rPr>
          <w:noProof/>
          <w:lang w:val="en-GB"/>
        </w:rPr>
      </w:pPr>
      <w:r w:rsidRPr="008E2A7B">
        <w:rPr>
          <w:noProof/>
          <w:lang w:val="en-GB"/>
        </w:rPr>
        <w:t xml:space="preserve">Other energy sources and fuels, such as biomass anf fossil fuels, is approximately at the same level between 2020 and 2040. </w:t>
      </w:r>
    </w:p>
    <w:p w14:paraId="3D874D36" w14:textId="26DEE5ED" w:rsidR="0044710E" w:rsidRPr="008E2A7B" w:rsidRDefault="0044710E" w:rsidP="0044710E">
      <w:pPr>
        <w:pStyle w:val="Brdtext"/>
        <w:rPr>
          <w:noProof/>
          <w:lang w:val="en-GB"/>
        </w:rPr>
      </w:pPr>
      <w:r w:rsidRPr="008E2A7B">
        <w:rPr>
          <w:noProof/>
          <w:lang w:val="en-GB"/>
        </w:rPr>
        <w:t xml:space="preserve">The export of electricity </w:t>
      </w:r>
      <w:r w:rsidR="00E93338" w:rsidRPr="008E2A7B">
        <w:rPr>
          <w:noProof/>
          <w:lang w:val="en-GB"/>
        </w:rPr>
        <w:t>will increase</w:t>
      </w:r>
      <w:r w:rsidRPr="008E2A7B">
        <w:rPr>
          <w:noProof/>
          <w:lang w:val="en-GB"/>
        </w:rPr>
        <w:t xml:space="preserve"> and between 2030 and 2040 the export is more than 30 TWh yearly. </w:t>
      </w:r>
    </w:p>
    <w:p w14:paraId="0AA9E990" w14:textId="521D12C4" w:rsidR="0044710E" w:rsidRPr="008E2A7B" w:rsidRDefault="0044710E" w:rsidP="0044710E">
      <w:pPr>
        <w:pStyle w:val="Brdtext"/>
        <w:rPr>
          <w:noProof/>
          <w:lang w:val="en-GB"/>
        </w:rPr>
      </w:pPr>
      <w:r w:rsidRPr="008E2A7B">
        <w:rPr>
          <w:noProof/>
          <w:lang w:val="en-GB"/>
        </w:rPr>
        <w:t xml:space="preserve">The development towards decentralized energy systems and smart networks means that more and smaller players will be involved in the energy market in the future. This means an increase in information management but also in the use of information technology. Thus, there is a risk that future energy supply will become more vulnerable to IT-related threats. The rising age of the infrastructure and low investment rate may also be a clear and immediate threat to security of energy supply in the future. Systematic monitoring and analysis are therefore the key to ensuring the necessary ability to prevent and deal with </w:t>
      </w:r>
      <w:r w:rsidR="00E93338" w:rsidRPr="008E2A7B">
        <w:rPr>
          <w:noProof/>
          <w:lang w:val="en-GB"/>
        </w:rPr>
        <w:t xml:space="preserve">distrubances </w:t>
      </w:r>
      <w:r w:rsidRPr="008E2A7B">
        <w:rPr>
          <w:noProof/>
          <w:lang w:val="en-GB"/>
        </w:rPr>
        <w:t>in the energy supply – today and in the future.</w:t>
      </w:r>
    </w:p>
    <w:p w14:paraId="3371DDBB" w14:textId="127319B0" w:rsidR="0044710E" w:rsidRPr="008E2A7B" w:rsidRDefault="0044710E" w:rsidP="0044710E">
      <w:pPr>
        <w:pStyle w:val="Brdtext"/>
        <w:rPr>
          <w:lang w:val="en-GB"/>
        </w:rPr>
      </w:pPr>
      <w:r w:rsidRPr="008E2A7B">
        <w:rPr>
          <w:lang w:val="en-GB"/>
        </w:rPr>
        <w:t>Work on defen</w:t>
      </w:r>
      <w:r w:rsidR="00E93338" w:rsidRPr="008E2A7B">
        <w:rPr>
          <w:lang w:val="en-GB"/>
        </w:rPr>
        <w:t>c</w:t>
      </w:r>
      <w:r w:rsidRPr="008E2A7B">
        <w:rPr>
          <w:lang w:val="en-GB"/>
        </w:rPr>
        <w:t>e planning will in the future bring special needs for robustness and enhancement in all aspects of energy supply. Security and, in particular, information security are considered to be areas that need further treatment.</w:t>
      </w:r>
    </w:p>
    <w:p w14:paraId="32540D0D" w14:textId="77777777" w:rsidR="0044710E" w:rsidRPr="008E2A7B" w:rsidRDefault="0044710E" w:rsidP="0044710E">
      <w:pPr>
        <w:pStyle w:val="Rubrik2"/>
        <w:rPr>
          <w:lang w:val="en-GB"/>
        </w:rPr>
      </w:pPr>
      <w:bookmarkStart w:id="71" w:name="_Toc499285558"/>
      <w:r w:rsidRPr="008E2A7B">
        <w:rPr>
          <w:lang w:val="en-GB"/>
        </w:rPr>
        <w:lastRenderedPageBreak/>
        <w:t>Dimension Internal energy market</w:t>
      </w:r>
      <w:bookmarkEnd w:id="71"/>
    </w:p>
    <w:p w14:paraId="5D857573" w14:textId="1B6D9162" w:rsidR="0044710E" w:rsidRPr="008E2A7B" w:rsidRDefault="0044710E" w:rsidP="0044710E">
      <w:pPr>
        <w:pStyle w:val="Brdtext"/>
        <w:rPr>
          <w:lang w:val="en-GB"/>
        </w:rPr>
      </w:pPr>
      <w:r w:rsidRPr="008E2A7B">
        <w:rPr>
          <w:lang w:val="en-GB"/>
        </w:rPr>
        <w:t xml:space="preserve">There are no projections regarding the electricity infrastructure and interconnections after 2027. Planning and projections are performed </w:t>
      </w:r>
      <w:r w:rsidR="00E93338" w:rsidRPr="008E2A7B">
        <w:rPr>
          <w:lang w:val="en-GB"/>
        </w:rPr>
        <w:t xml:space="preserve">on </w:t>
      </w:r>
      <w:r w:rsidRPr="008E2A7B">
        <w:rPr>
          <w:lang w:val="en-GB"/>
        </w:rPr>
        <w:t xml:space="preserve">a 10-year </w:t>
      </w:r>
      <w:r w:rsidR="00E93338" w:rsidRPr="008E2A7B">
        <w:rPr>
          <w:lang w:val="en-GB"/>
        </w:rPr>
        <w:t xml:space="preserve">period </w:t>
      </w:r>
      <w:r w:rsidRPr="008E2A7B">
        <w:rPr>
          <w:lang w:val="en-GB"/>
        </w:rPr>
        <w:t xml:space="preserve">by the Swedish TSO, Svenska kraftnät. </w:t>
      </w:r>
    </w:p>
    <w:p w14:paraId="63F7B2CA" w14:textId="77777777" w:rsidR="0044710E" w:rsidRPr="008E2A7B" w:rsidRDefault="0044710E" w:rsidP="0044710E">
      <w:pPr>
        <w:pStyle w:val="Rubrik3"/>
        <w:rPr>
          <w:lang w:val="en-GB"/>
        </w:rPr>
      </w:pPr>
      <w:r w:rsidRPr="008E2A7B">
        <w:rPr>
          <w:lang w:val="en-GB"/>
        </w:rPr>
        <w:t xml:space="preserve">Electricity interconnectivity </w:t>
      </w:r>
    </w:p>
    <w:p w14:paraId="3092CC72" w14:textId="77777777" w:rsidR="0044710E" w:rsidRPr="008E2A7B" w:rsidRDefault="0044710E" w:rsidP="0044710E">
      <w:pPr>
        <w:pStyle w:val="i-lista"/>
        <w:numPr>
          <w:ilvl w:val="1"/>
          <w:numId w:val="36"/>
        </w:numPr>
        <w:rPr>
          <w:i/>
          <w:lang w:val="en-GB"/>
        </w:rPr>
      </w:pPr>
      <w:r w:rsidRPr="008E2A7B">
        <w:rPr>
          <w:i/>
          <w:lang w:val="en-GB"/>
        </w:rPr>
        <w:t xml:space="preserve">Current interconnection level and main interconnectors </w:t>
      </w:r>
    </w:p>
    <w:p w14:paraId="0AB9FBD2" w14:textId="4E9BF7D9" w:rsidR="0044710E" w:rsidRPr="008E2A7B" w:rsidRDefault="0044710E" w:rsidP="0044710E">
      <w:pPr>
        <w:pStyle w:val="Brdtext"/>
        <w:rPr>
          <w:lang w:val="en-GB"/>
        </w:rPr>
      </w:pPr>
      <w:r w:rsidRPr="008E2A7B">
        <w:rPr>
          <w:lang w:val="en-GB"/>
        </w:rPr>
        <w:t xml:space="preserve">Sweden has at the end of 2017 an interconnection level of 26%. Total import capacity is 10 250 MW and installed production capacity is 39 799 MW. Actual interconnectors are shown in </w:t>
      </w:r>
      <w:r w:rsidR="006B0558" w:rsidRPr="008E2A7B">
        <w:rPr>
          <w:lang w:val="en-GB"/>
        </w:rPr>
        <w:fldChar w:fldCharType="begin"/>
      </w:r>
      <w:r w:rsidR="006B0558" w:rsidRPr="008E2A7B">
        <w:rPr>
          <w:lang w:val="en-GB"/>
        </w:rPr>
        <w:instrText xml:space="preserve"> REF _Ref496281188 \h </w:instrText>
      </w:r>
      <w:r w:rsidR="006B0558" w:rsidRPr="008E2A7B">
        <w:rPr>
          <w:lang w:val="en-GB"/>
        </w:rPr>
      </w:r>
      <w:r w:rsidR="006B0558" w:rsidRPr="008E2A7B">
        <w:rPr>
          <w:lang w:val="en-GB"/>
        </w:rPr>
        <w:fldChar w:fldCharType="separate"/>
      </w:r>
      <w:r w:rsidR="006B0558" w:rsidRPr="008E2A7B">
        <w:rPr>
          <w:lang w:val="en-GB"/>
        </w:rPr>
        <w:t xml:space="preserve">Table </w:t>
      </w:r>
      <w:r w:rsidR="006B0558" w:rsidRPr="008E2A7B">
        <w:rPr>
          <w:noProof/>
          <w:lang w:val="en-GB"/>
        </w:rPr>
        <w:t>19</w:t>
      </w:r>
      <w:r w:rsidR="006B0558" w:rsidRPr="008E2A7B">
        <w:rPr>
          <w:lang w:val="en-GB"/>
        </w:rPr>
        <w:fldChar w:fldCharType="end"/>
      </w:r>
      <w:r w:rsidR="006B0558" w:rsidRPr="008E2A7B">
        <w:rPr>
          <w:lang w:val="en-GB"/>
        </w:rPr>
        <w:t xml:space="preserve"> </w:t>
      </w:r>
      <w:r w:rsidRPr="008E2A7B">
        <w:rPr>
          <w:lang w:val="en-GB"/>
        </w:rPr>
        <w:t>below.</w:t>
      </w:r>
    </w:p>
    <w:p w14:paraId="1BFE68EE" w14:textId="289400A2" w:rsidR="0044710E" w:rsidRPr="008E2A7B" w:rsidRDefault="0044710E" w:rsidP="0044710E">
      <w:pPr>
        <w:pStyle w:val="Beskrivning"/>
        <w:rPr>
          <w:szCs w:val="20"/>
          <w:lang w:val="en-GB"/>
        </w:rPr>
      </w:pPr>
      <w:bookmarkStart w:id="72" w:name="_Ref496281188"/>
      <w:r w:rsidRPr="008E2A7B">
        <w:rPr>
          <w:lang w:val="en-GB"/>
        </w:rPr>
        <w:t xml:space="preserve">Table </w:t>
      </w:r>
      <w:r w:rsidRPr="008E2A7B">
        <w:rPr>
          <w:lang w:val="en-GB"/>
        </w:rPr>
        <w:fldChar w:fldCharType="begin"/>
      </w:r>
      <w:r w:rsidRPr="008E2A7B">
        <w:rPr>
          <w:lang w:val="en-GB"/>
        </w:rPr>
        <w:instrText xml:space="preserve"> SEQ Table \* ARABIC </w:instrText>
      </w:r>
      <w:r w:rsidRPr="008E2A7B">
        <w:rPr>
          <w:lang w:val="en-GB"/>
        </w:rPr>
        <w:fldChar w:fldCharType="separate"/>
      </w:r>
      <w:r w:rsidR="009D5B3B">
        <w:rPr>
          <w:noProof/>
          <w:lang w:val="en-GB"/>
        </w:rPr>
        <w:t>19</w:t>
      </w:r>
      <w:r w:rsidRPr="008E2A7B">
        <w:rPr>
          <w:lang w:val="en-GB"/>
        </w:rPr>
        <w:fldChar w:fldCharType="end"/>
      </w:r>
      <w:bookmarkEnd w:id="72"/>
      <w:r w:rsidRPr="008E2A7B">
        <w:rPr>
          <w:szCs w:val="20"/>
          <w:lang w:val="en-GB"/>
        </w:rPr>
        <w:t xml:space="preserve"> Actual interconnectors</w:t>
      </w:r>
    </w:p>
    <w:tbl>
      <w:tblPr>
        <w:tblStyle w:val="Enkeltabell1"/>
        <w:tblW w:w="0" w:type="auto"/>
        <w:tblLook w:val="04A0" w:firstRow="1" w:lastRow="0" w:firstColumn="1" w:lastColumn="0" w:noHBand="0" w:noVBand="1"/>
      </w:tblPr>
      <w:tblGrid>
        <w:gridCol w:w="1754"/>
        <w:gridCol w:w="1690"/>
        <w:gridCol w:w="1783"/>
        <w:gridCol w:w="1689"/>
      </w:tblGrid>
      <w:tr w:rsidR="0044710E" w:rsidRPr="008E2A7B" w14:paraId="7B3551C6" w14:textId="77777777" w:rsidTr="0044710E">
        <w:trPr>
          <w:cnfStyle w:val="100000000000" w:firstRow="1" w:lastRow="0" w:firstColumn="0" w:lastColumn="0" w:oddVBand="0" w:evenVBand="0" w:oddHBand="0" w:evenHBand="0" w:firstRowFirstColumn="0" w:firstRowLastColumn="0" w:lastRowFirstColumn="0" w:lastRowLastColumn="0"/>
        </w:trPr>
        <w:tc>
          <w:tcPr>
            <w:tcW w:w="1981" w:type="dxa"/>
          </w:tcPr>
          <w:p w14:paraId="0A0C2A70" w14:textId="77777777" w:rsidR="0044710E" w:rsidRPr="008E2A7B" w:rsidRDefault="0044710E" w:rsidP="0044710E">
            <w:pPr>
              <w:pStyle w:val="Brdtext"/>
              <w:rPr>
                <w:b/>
                <w:szCs w:val="22"/>
                <w:lang w:val="en-GB"/>
              </w:rPr>
            </w:pPr>
            <w:r w:rsidRPr="008E2A7B">
              <w:rPr>
                <w:b/>
                <w:szCs w:val="22"/>
                <w:lang w:val="en-GB"/>
              </w:rPr>
              <w:t>From</w:t>
            </w:r>
          </w:p>
        </w:tc>
        <w:tc>
          <w:tcPr>
            <w:tcW w:w="1981" w:type="dxa"/>
          </w:tcPr>
          <w:p w14:paraId="0FC4B21A" w14:textId="77777777" w:rsidR="0044710E" w:rsidRPr="008E2A7B" w:rsidRDefault="0044710E" w:rsidP="0044710E">
            <w:pPr>
              <w:pStyle w:val="Brdtext"/>
              <w:rPr>
                <w:b/>
                <w:szCs w:val="22"/>
                <w:lang w:val="en-GB"/>
              </w:rPr>
            </w:pPr>
            <w:r w:rsidRPr="008E2A7B">
              <w:rPr>
                <w:b/>
                <w:szCs w:val="22"/>
                <w:lang w:val="en-GB"/>
              </w:rPr>
              <w:t>Type</w:t>
            </w:r>
          </w:p>
        </w:tc>
        <w:tc>
          <w:tcPr>
            <w:tcW w:w="1982" w:type="dxa"/>
          </w:tcPr>
          <w:p w14:paraId="07F157C1" w14:textId="77777777" w:rsidR="0044710E" w:rsidRPr="008E2A7B" w:rsidRDefault="0044710E" w:rsidP="0044710E">
            <w:pPr>
              <w:pStyle w:val="Brdtext"/>
              <w:rPr>
                <w:b/>
                <w:szCs w:val="22"/>
                <w:lang w:val="en-GB"/>
              </w:rPr>
            </w:pPr>
            <w:r w:rsidRPr="008E2A7B">
              <w:rPr>
                <w:b/>
                <w:szCs w:val="22"/>
                <w:lang w:val="en-GB"/>
              </w:rPr>
              <w:t>Name</w:t>
            </w:r>
          </w:p>
        </w:tc>
        <w:tc>
          <w:tcPr>
            <w:tcW w:w="1982" w:type="dxa"/>
          </w:tcPr>
          <w:p w14:paraId="50C04574" w14:textId="77777777" w:rsidR="0044710E" w:rsidRPr="008E2A7B" w:rsidRDefault="0044710E" w:rsidP="0044710E">
            <w:pPr>
              <w:pStyle w:val="Brdtext"/>
              <w:rPr>
                <w:b/>
                <w:szCs w:val="22"/>
                <w:lang w:val="en-GB"/>
              </w:rPr>
            </w:pPr>
            <w:r w:rsidRPr="008E2A7B">
              <w:rPr>
                <w:b/>
                <w:szCs w:val="22"/>
                <w:lang w:val="en-GB"/>
              </w:rPr>
              <w:t>MW</w:t>
            </w:r>
          </w:p>
        </w:tc>
      </w:tr>
      <w:tr w:rsidR="0044710E" w:rsidRPr="008E2A7B" w14:paraId="3FFFE7DE" w14:textId="77777777" w:rsidTr="0044710E">
        <w:tc>
          <w:tcPr>
            <w:tcW w:w="1981" w:type="dxa"/>
          </w:tcPr>
          <w:p w14:paraId="478F0294" w14:textId="77777777" w:rsidR="0044710E" w:rsidRPr="008E2A7B" w:rsidRDefault="0044710E" w:rsidP="0044710E">
            <w:pPr>
              <w:pStyle w:val="Brdtext"/>
              <w:rPr>
                <w:szCs w:val="22"/>
                <w:lang w:val="en-GB"/>
              </w:rPr>
            </w:pPr>
            <w:r w:rsidRPr="008E2A7B">
              <w:rPr>
                <w:szCs w:val="22"/>
                <w:lang w:val="en-GB"/>
              </w:rPr>
              <w:t>Finland</w:t>
            </w:r>
          </w:p>
        </w:tc>
        <w:tc>
          <w:tcPr>
            <w:tcW w:w="1981" w:type="dxa"/>
          </w:tcPr>
          <w:p w14:paraId="5462C619" w14:textId="77777777" w:rsidR="0044710E" w:rsidRPr="008E2A7B" w:rsidRDefault="0044710E" w:rsidP="0044710E">
            <w:pPr>
              <w:pStyle w:val="Brdtext"/>
              <w:rPr>
                <w:szCs w:val="22"/>
                <w:lang w:val="en-GB"/>
              </w:rPr>
            </w:pPr>
            <w:r w:rsidRPr="008E2A7B">
              <w:rPr>
                <w:szCs w:val="22"/>
                <w:lang w:val="en-GB"/>
              </w:rPr>
              <w:t>AC</w:t>
            </w:r>
          </w:p>
        </w:tc>
        <w:tc>
          <w:tcPr>
            <w:tcW w:w="1982" w:type="dxa"/>
          </w:tcPr>
          <w:p w14:paraId="6C56A138" w14:textId="77777777" w:rsidR="0044710E" w:rsidRPr="008E2A7B" w:rsidRDefault="0044710E" w:rsidP="0044710E">
            <w:pPr>
              <w:pStyle w:val="Brdtext"/>
              <w:rPr>
                <w:szCs w:val="22"/>
                <w:lang w:val="en-GB"/>
              </w:rPr>
            </w:pPr>
          </w:p>
        </w:tc>
        <w:tc>
          <w:tcPr>
            <w:tcW w:w="1982" w:type="dxa"/>
          </w:tcPr>
          <w:p w14:paraId="5273D003" w14:textId="77777777" w:rsidR="0044710E" w:rsidRPr="008E2A7B" w:rsidRDefault="0044710E" w:rsidP="0044710E">
            <w:pPr>
              <w:pStyle w:val="Brdtext"/>
              <w:jc w:val="right"/>
              <w:rPr>
                <w:szCs w:val="22"/>
                <w:lang w:val="en-GB"/>
              </w:rPr>
            </w:pPr>
            <w:r w:rsidRPr="008E2A7B">
              <w:rPr>
                <w:szCs w:val="22"/>
                <w:lang w:val="en-GB"/>
              </w:rPr>
              <w:t>1,100</w:t>
            </w:r>
          </w:p>
        </w:tc>
      </w:tr>
      <w:tr w:rsidR="0044710E" w:rsidRPr="008E2A7B" w14:paraId="65906DAE" w14:textId="77777777" w:rsidTr="0044710E">
        <w:tc>
          <w:tcPr>
            <w:tcW w:w="1981" w:type="dxa"/>
          </w:tcPr>
          <w:p w14:paraId="576F1540" w14:textId="77777777" w:rsidR="0044710E" w:rsidRPr="008E2A7B" w:rsidRDefault="0044710E" w:rsidP="0044710E">
            <w:pPr>
              <w:pStyle w:val="Brdtext"/>
              <w:rPr>
                <w:szCs w:val="22"/>
                <w:lang w:val="en-GB"/>
              </w:rPr>
            </w:pPr>
            <w:r w:rsidRPr="008E2A7B">
              <w:rPr>
                <w:szCs w:val="22"/>
                <w:lang w:val="en-GB"/>
              </w:rPr>
              <w:t>Finland</w:t>
            </w:r>
          </w:p>
        </w:tc>
        <w:tc>
          <w:tcPr>
            <w:tcW w:w="1981" w:type="dxa"/>
          </w:tcPr>
          <w:p w14:paraId="5B8F1DC7"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1C7639DB" w14:textId="77777777" w:rsidR="0044710E" w:rsidRPr="008E2A7B" w:rsidRDefault="0044710E" w:rsidP="0044710E">
            <w:pPr>
              <w:pStyle w:val="Brdtext"/>
              <w:rPr>
                <w:szCs w:val="22"/>
                <w:lang w:val="en-GB"/>
              </w:rPr>
            </w:pPr>
            <w:r w:rsidRPr="008E2A7B">
              <w:rPr>
                <w:szCs w:val="22"/>
                <w:lang w:val="en-GB"/>
              </w:rPr>
              <w:t>Fennoskan 1&amp;2</w:t>
            </w:r>
          </w:p>
        </w:tc>
        <w:tc>
          <w:tcPr>
            <w:tcW w:w="1982" w:type="dxa"/>
          </w:tcPr>
          <w:p w14:paraId="7E9642DF" w14:textId="77777777" w:rsidR="0044710E" w:rsidRPr="008E2A7B" w:rsidRDefault="0044710E" w:rsidP="0044710E">
            <w:pPr>
              <w:pStyle w:val="Brdtext"/>
              <w:jc w:val="right"/>
              <w:rPr>
                <w:szCs w:val="22"/>
                <w:lang w:val="en-GB"/>
              </w:rPr>
            </w:pPr>
            <w:r w:rsidRPr="008E2A7B">
              <w:rPr>
                <w:szCs w:val="22"/>
                <w:lang w:val="en-GB"/>
              </w:rPr>
              <w:t>1,200</w:t>
            </w:r>
          </w:p>
        </w:tc>
      </w:tr>
      <w:tr w:rsidR="0044710E" w:rsidRPr="008E2A7B" w14:paraId="02734902" w14:textId="77777777" w:rsidTr="0044710E">
        <w:tc>
          <w:tcPr>
            <w:tcW w:w="1981" w:type="dxa"/>
          </w:tcPr>
          <w:p w14:paraId="70CC9209" w14:textId="77777777" w:rsidR="0044710E" w:rsidRPr="008E2A7B" w:rsidRDefault="0044710E" w:rsidP="0044710E">
            <w:pPr>
              <w:pStyle w:val="Brdtext"/>
              <w:rPr>
                <w:szCs w:val="22"/>
                <w:lang w:val="en-GB"/>
              </w:rPr>
            </w:pPr>
            <w:r w:rsidRPr="008E2A7B">
              <w:rPr>
                <w:szCs w:val="22"/>
                <w:lang w:val="en-GB"/>
              </w:rPr>
              <w:t>Lithuania</w:t>
            </w:r>
          </w:p>
        </w:tc>
        <w:tc>
          <w:tcPr>
            <w:tcW w:w="1981" w:type="dxa"/>
          </w:tcPr>
          <w:p w14:paraId="730B5DB3"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161694BD" w14:textId="77777777" w:rsidR="0044710E" w:rsidRPr="008E2A7B" w:rsidRDefault="0044710E" w:rsidP="0044710E">
            <w:pPr>
              <w:pStyle w:val="Brdtext"/>
              <w:rPr>
                <w:szCs w:val="22"/>
                <w:lang w:val="en-GB"/>
              </w:rPr>
            </w:pPr>
            <w:r w:rsidRPr="008E2A7B">
              <w:rPr>
                <w:szCs w:val="22"/>
                <w:lang w:val="en-GB"/>
              </w:rPr>
              <w:t>Nordbalt</w:t>
            </w:r>
          </w:p>
        </w:tc>
        <w:tc>
          <w:tcPr>
            <w:tcW w:w="1982" w:type="dxa"/>
          </w:tcPr>
          <w:p w14:paraId="7B54E21C" w14:textId="77777777" w:rsidR="0044710E" w:rsidRPr="008E2A7B" w:rsidRDefault="0044710E" w:rsidP="0044710E">
            <w:pPr>
              <w:pStyle w:val="Brdtext"/>
              <w:jc w:val="right"/>
              <w:rPr>
                <w:szCs w:val="22"/>
                <w:lang w:val="en-GB"/>
              </w:rPr>
            </w:pPr>
            <w:r w:rsidRPr="008E2A7B">
              <w:rPr>
                <w:szCs w:val="22"/>
                <w:lang w:val="en-GB"/>
              </w:rPr>
              <w:t>700</w:t>
            </w:r>
          </w:p>
        </w:tc>
      </w:tr>
      <w:tr w:rsidR="0044710E" w:rsidRPr="008E2A7B" w14:paraId="29291243" w14:textId="77777777" w:rsidTr="0044710E">
        <w:tc>
          <w:tcPr>
            <w:tcW w:w="1981" w:type="dxa"/>
          </w:tcPr>
          <w:p w14:paraId="1BC47685" w14:textId="77777777" w:rsidR="0044710E" w:rsidRPr="008E2A7B" w:rsidRDefault="0044710E" w:rsidP="0044710E">
            <w:pPr>
              <w:pStyle w:val="Brdtext"/>
              <w:rPr>
                <w:szCs w:val="22"/>
                <w:lang w:val="en-GB"/>
              </w:rPr>
            </w:pPr>
            <w:r w:rsidRPr="008E2A7B">
              <w:rPr>
                <w:szCs w:val="22"/>
                <w:lang w:val="en-GB"/>
              </w:rPr>
              <w:t>Poland</w:t>
            </w:r>
          </w:p>
        </w:tc>
        <w:tc>
          <w:tcPr>
            <w:tcW w:w="1981" w:type="dxa"/>
          </w:tcPr>
          <w:p w14:paraId="5B0386E9"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315B8B23" w14:textId="77777777" w:rsidR="0044710E" w:rsidRPr="008E2A7B" w:rsidRDefault="0044710E" w:rsidP="0044710E">
            <w:pPr>
              <w:pStyle w:val="Brdtext"/>
              <w:rPr>
                <w:szCs w:val="22"/>
                <w:lang w:val="en-GB"/>
              </w:rPr>
            </w:pPr>
            <w:r w:rsidRPr="008E2A7B">
              <w:rPr>
                <w:szCs w:val="22"/>
                <w:lang w:val="en-GB"/>
              </w:rPr>
              <w:t>SvePol link</w:t>
            </w:r>
          </w:p>
        </w:tc>
        <w:tc>
          <w:tcPr>
            <w:tcW w:w="1982" w:type="dxa"/>
          </w:tcPr>
          <w:p w14:paraId="1FF5862C" w14:textId="77777777" w:rsidR="0044710E" w:rsidRPr="008E2A7B" w:rsidRDefault="0044710E" w:rsidP="0044710E">
            <w:pPr>
              <w:pStyle w:val="Brdtext"/>
              <w:jc w:val="right"/>
              <w:rPr>
                <w:szCs w:val="22"/>
                <w:lang w:val="en-GB"/>
              </w:rPr>
            </w:pPr>
            <w:r w:rsidRPr="008E2A7B">
              <w:rPr>
                <w:szCs w:val="22"/>
                <w:lang w:val="en-GB"/>
              </w:rPr>
              <w:t>600</w:t>
            </w:r>
          </w:p>
        </w:tc>
      </w:tr>
      <w:tr w:rsidR="0044710E" w:rsidRPr="008E2A7B" w14:paraId="2FEA1148" w14:textId="77777777" w:rsidTr="0044710E">
        <w:tc>
          <w:tcPr>
            <w:tcW w:w="1981" w:type="dxa"/>
          </w:tcPr>
          <w:p w14:paraId="27AE6ABC" w14:textId="77777777" w:rsidR="0044710E" w:rsidRPr="008E2A7B" w:rsidRDefault="0044710E" w:rsidP="0044710E">
            <w:pPr>
              <w:pStyle w:val="Brdtext"/>
              <w:rPr>
                <w:szCs w:val="22"/>
                <w:lang w:val="en-GB"/>
              </w:rPr>
            </w:pPr>
            <w:r w:rsidRPr="008E2A7B">
              <w:rPr>
                <w:szCs w:val="22"/>
                <w:lang w:val="en-GB"/>
              </w:rPr>
              <w:t>Germany</w:t>
            </w:r>
          </w:p>
        </w:tc>
        <w:tc>
          <w:tcPr>
            <w:tcW w:w="1981" w:type="dxa"/>
          </w:tcPr>
          <w:p w14:paraId="69417254"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0ECBFE06" w14:textId="77777777" w:rsidR="0044710E" w:rsidRPr="008E2A7B" w:rsidRDefault="0044710E" w:rsidP="0044710E">
            <w:pPr>
              <w:pStyle w:val="Brdtext"/>
              <w:rPr>
                <w:szCs w:val="22"/>
                <w:lang w:val="en-GB"/>
              </w:rPr>
            </w:pPr>
            <w:r w:rsidRPr="008E2A7B">
              <w:rPr>
                <w:szCs w:val="22"/>
                <w:lang w:val="en-GB"/>
              </w:rPr>
              <w:t>Baltic cable</w:t>
            </w:r>
          </w:p>
        </w:tc>
        <w:tc>
          <w:tcPr>
            <w:tcW w:w="1982" w:type="dxa"/>
          </w:tcPr>
          <w:p w14:paraId="42DCE92C" w14:textId="77777777" w:rsidR="0044710E" w:rsidRPr="008E2A7B" w:rsidRDefault="0044710E" w:rsidP="0044710E">
            <w:pPr>
              <w:pStyle w:val="Brdtext"/>
              <w:jc w:val="right"/>
              <w:rPr>
                <w:szCs w:val="22"/>
                <w:lang w:val="en-GB"/>
              </w:rPr>
            </w:pPr>
            <w:r w:rsidRPr="008E2A7B">
              <w:rPr>
                <w:szCs w:val="22"/>
                <w:lang w:val="en-GB"/>
              </w:rPr>
              <w:t>615</w:t>
            </w:r>
          </w:p>
        </w:tc>
      </w:tr>
      <w:tr w:rsidR="0044710E" w:rsidRPr="008E2A7B" w14:paraId="4AB0B344" w14:textId="77777777" w:rsidTr="0044710E">
        <w:tc>
          <w:tcPr>
            <w:tcW w:w="1981" w:type="dxa"/>
          </w:tcPr>
          <w:p w14:paraId="41A5B7E5" w14:textId="77777777" w:rsidR="0044710E" w:rsidRPr="008E2A7B" w:rsidRDefault="0044710E" w:rsidP="0044710E">
            <w:pPr>
              <w:pStyle w:val="Brdtext"/>
              <w:rPr>
                <w:szCs w:val="22"/>
                <w:lang w:val="en-GB"/>
              </w:rPr>
            </w:pPr>
            <w:r w:rsidRPr="008E2A7B">
              <w:rPr>
                <w:szCs w:val="22"/>
                <w:lang w:val="en-GB"/>
              </w:rPr>
              <w:t>Denmark</w:t>
            </w:r>
          </w:p>
        </w:tc>
        <w:tc>
          <w:tcPr>
            <w:tcW w:w="1981" w:type="dxa"/>
          </w:tcPr>
          <w:p w14:paraId="0D8CA3A3"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676E56B7" w14:textId="77777777" w:rsidR="0044710E" w:rsidRPr="008E2A7B" w:rsidRDefault="0044710E" w:rsidP="0044710E">
            <w:pPr>
              <w:pStyle w:val="Brdtext"/>
              <w:rPr>
                <w:szCs w:val="22"/>
                <w:lang w:val="en-GB"/>
              </w:rPr>
            </w:pPr>
          </w:p>
        </w:tc>
        <w:tc>
          <w:tcPr>
            <w:tcW w:w="1982" w:type="dxa"/>
          </w:tcPr>
          <w:p w14:paraId="0F0194A8" w14:textId="77777777" w:rsidR="0044710E" w:rsidRPr="008E2A7B" w:rsidRDefault="0044710E" w:rsidP="0044710E">
            <w:pPr>
              <w:pStyle w:val="Brdtext"/>
              <w:jc w:val="right"/>
              <w:rPr>
                <w:szCs w:val="22"/>
                <w:lang w:val="en-GB"/>
              </w:rPr>
            </w:pPr>
            <w:r w:rsidRPr="008E2A7B">
              <w:rPr>
                <w:szCs w:val="22"/>
                <w:lang w:val="en-GB"/>
              </w:rPr>
              <w:t>740</w:t>
            </w:r>
          </w:p>
        </w:tc>
      </w:tr>
      <w:tr w:rsidR="0044710E" w:rsidRPr="008E2A7B" w14:paraId="214E09B5" w14:textId="77777777" w:rsidTr="0044710E">
        <w:tc>
          <w:tcPr>
            <w:tcW w:w="1981" w:type="dxa"/>
          </w:tcPr>
          <w:p w14:paraId="77DA276B" w14:textId="77777777" w:rsidR="0044710E" w:rsidRPr="008E2A7B" w:rsidRDefault="0044710E" w:rsidP="0044710E">
            <w:pPr>
              <w:pStyle w:val="Brdtext"/>
              <w:rPr>
                <w:szCs w:val="22"/>
                <w:lang w:val="en-GB"/>
              </w:rPr>
            </w:pPr>
            <w:r w:rsidRPr="008E2A7B">
              <w:rPr>
                <w:szCs w:val="22"/>
                <w:lang w:val="en-GB"/>
              </w:rPr>
              <w:t>Denmark</w:t>
            </w:r>
          </w:p>
        </w:tc>
        <w:tc>
          <w:tcPr>
            <w:tcW w:w="1981" w:type="dxa"/>
          </w:tcPr>
          <w:p w14:paraId="07272D69" w14:textId="77777777" w:rsidR="0044710E" w:rsidRPr="008E2A7B" w:rsidRDefault="0044710E" w:rsidP="0044710E">
            <w:pPr>
              <w:pStyle w:val="Brdtext"/>
              <w:rPr>
                <w:szCs w:val="22"/>
                <w:lang w:val="en-GB"/>
              </w:rPr>
            </w:pPr>
            <w:r w:rsidRPr="008E2A7B">
              <w:rPr>
                <w:szCs w:val="22"/>
                <w:lang w:val="en-GB"/>
              </w:rPr>
              <w:t>AC</w:t>
            </w:r>
          </w:p>
        </w:tc>
        <w:tc>
          <w:tcPr>
            <w:tcW w:w="1982" w:type="dxa"/>
          </w:tcPr>
          <w:p w14:paraId="0505BA3D" w14:textId="77777777" w:rsidR="0044710E" w:rsidRPr="008E2A7B" w:rsidRDefault="0044710E" w:rsidP="0044710E">
            <w:pPr>
              <w:pStyle w:val="Brdtext"/>
              <w:rPr>
                <w:szCs w:val="22"/>
                <w:lang w:val="en-GB"/>
              </w:rPr>
            </w:pPr>
          </w:p>
        </w:tc>
        <w:tc>
          <w:tcPr>
            <w:tcW w:w="1982" w:type="dxa"/>
          </w:tcPr>
          <w:p w14:paraId="47C66644" w14:textId="77777777" w:rsidR="0044710E" w:rsidRPr="008E2A7B" w:rsidRDefault="0044710E" w:rsidP="0044710E">
            <w:pPr>
              <w:pStyle w:val="Brdtext"/>
              <w:jc w:val="right"/>
              <w:rPr>
                <w:szCs w:val="22"/>
                <w:lang w:val="en-GB"/>
              </w:rPr>
            </w:pPr>
            <w:r w:rsidRPr="008E2A7B">
              <w:rPr>
                <w:szCs w:val="22"/>
                <w:lang w:val="en-GB"/>
              </w:rPr>
              <w:t>1,700</w:t>
            </w:r>
          </w:p>
        </w:tc>
      </w:tr>
      <w:tr w:rsidR="0044710E" w:rsidRPr="008E2A7B" w14:paraId="07110237" w14:textId="77777777" w:rsidTr="0044710E">
        <w:tc>
          <w:tcPr>
            <w:tcW w:w="1981" w:type="dxa"/>
          </w:tcPr>
          <w:p w14:paraId="49D737C6" w14:textId="77777777" w:rsidR="0044710E" w:rsidRPr="008E2A7B" w:rsidRDefault="0044710E" w:rsidP="0044710E">
            <w:pPr>
              <w:pStyle w:val="Brdtext"/>
              <w:rPr>
                <w:szCs w:val="22"/>
                <w:lang w:val="en-GB"/>
              </w:rPr>
            </w:pPr>
            <w:r w:rsidRPr="008E2A7B">
              <w:rPr>
                <w:szCs w:val="22"/>
                <w:lang w:val="en-GB"/>
              </w:rPr>
              <w:t>Norway</w:t>
            </w:r>
          </w:p>
        </w:tc>
        <w:tc>
          <w:tcPr>
            <w:tcW w:w="1981" w:type="dxa"/>
          </w:tcPr>
          <w:p w14:paraId="60838AA8" w14:textId="77777777" w:rsidR="0044710E" w:rsidRPr="008E2A7B" w:rsidRDefault="0044710E" w:rsidP="0044710E">
            <w:pPr>
              <w:pStyle w:val="Brdtext"/>
              <w:rPr>
                <w:szCs w:val="22"/>
                <w:lang w:val="en-GB"/>
              </w:rPr>
            </w:pPr>
            <w:r w:rsidRPr="008E2A7B">
              <w:rPr>
                <w:szCs w:val="22"/>
                <w:lang w:val="en-GB"/>
              </w:rPr>
              <w:t>AC</w:t>
            </w:r>
          </w:p>
        </w:tc>
        <w:tc>
          <w:tcPr>
            <w:tcW w:w="1982" w:type="dxa"/>
          </w:tcPr>
          <w:p w14:paraId="316B462B" w14:textId="77777777" w:rsidR="0044710E" w:rsidRPr="008E2A7B" w:rsidRDefault="0044710E" w:rsidP="0044710E">
            <w:pPr>
              <w:pStyle w:val="Brdtext"/>
              <w:rPr>
                <w:szCs w:val="22"/>
                <w:lang w:val="en-GB"/>
              </w:rPr>
            </w:pPr>
          </w:p>
        </w:tc>
        <w:tc>
          <w:tcPr>
            <w:tcW w:w="1982" w:type="dxa"/>
          </w:tcPr>
          <w:p w14:paraId="7B6FB21D" w14:textId="77777777" w:rsidR="0044710E" w:rsidRPr="008E2A7B" w:rsidRDefault="0044710E" w:rsidP="0044710E">
            <w:pPr>
              <w:pStyle w:val="Brdtext"/>
              <w:jc w:val="right"/>
              <w:rPr>
                <w:szCs w:val="22"/>
                <w:lang w:val="en-GB"/>
              </w:rPr>
            </w:pPr>
            <w:r w:rsidRPr="008E2A7B">
              <w:rPr>
                <w:szCs w:val="22"/>
                <w:lang w:val="en-GB"/>
              </w:rPr>
              <w:t>3,595</w:t>
            </w:r>
          </w:p>
        </w:tc>
      </w:tr>
      <w:tr w:rsidR="0044710E" w:rsidRPr="008E2A7B" w14:paraId="44C875A2" w14:textId="77777777" w:rsidTr="00D96AB7">
        <w:trPr>
          <w:trHeight w:val="262"/>
        </w:trPr>
        <w:tc>
          <w:tcPr>
            <w:tcW w:w="1981" w:type="dxa"/>
          </w:tcPr>
          <w:p w14:paraId="328EBF3D" w14:textId="77777777" w:rsidR="0044710E" w:rsidRPr="008E2A7B" w:rsidRDefault="0044710E" w:rsidP="0044710E">
            <w:pPr>
              <w:pStyle w:val="Brdtext"/>
              <w:rPr>
                <w:b/>
                <w:szCs w:val="22"/>
                <w:lang w:val="en-GB"/>
              </w:rPr>
            </w:pPr>
            <w:r w:rsidRPr="008E2A7B">
              <w:rPr>
                <w:b/>
                <w:szCs w:val="22"/>
                <w:lang w:val="en-GB"/>
              </w:rPr>
              <w:t>Total</w:t>
            </w:r>
          </w:p>
        </w:tc>
        <w:tc>
          <w:tcPr>
            <w:tcW w:w="1981" w:type="dxa"/>
          </w:tcPr>
          <w:p w14:paraId="294B5709" w14:textId="77777777" w:rsidR="0044710E" w:rsidRPr="008E2A7B" w:rsidRDefault="0044710E" w:rsidP="0044710E">
            <w:pPr>
              <w:pStyle w:val="Brdtext"/>
              <w:rPr>
                <w:szCs w:val="22"/>
                <w:lang w:val="en-GB"/>
              </w:rPr>
            </w:pPr>
          </w:p>
        </w:tc>
        <w:tc>
          <w:tcPr>
            <w:tcW w:w="1982" w:type="dxa"/>
          </w:tcPr>
          <w:p w14:paraId="4A56BFDF" w14:textId="77777777" w:rsidR="0044710E" w:rsidRPr="008E2A7B" w:rsidRDefault="0044710E" w:rsidP="0044710E">
            <w:pPr>
              <w:pStyle w:val="Brdtext"/>
              <w:rPr>
                <w:szCs w:val="22"/>
                <w:lang w:val="en-GB"/>
              </w:rPr>
            </w:pPr>
          </w:p>
        </w:tc>
        <w:tc>
          <w:tcPr>
            <w:tcW w:w="1982" w:type="dxa"/>
          </w:tcPr>
          <w:p w14:paraId="7D0BB26A" w14:textId="77777777" w:rsidR="0044710E" w:rsidRPr="008E2A7B" w:rsidRDefault="0044710E" w:rsidP="0044710E">
            <w:pPr>
              <w:pStyle w:val="Brdtext"/>
              <w:jc w:val="right"/>
              <w:rPr>
                <w:b/>
                <w:szCs w:val="22"/>
                <w:lang w:val="en-GB"/>
              </w:rPr>
            </w:pPr>
            <w:r w:rsidRPr="008E2A7B">
              <w:rPr>
                <w:b/>
                <w:szCs w:val="22"/>
                <w:lang w:val="en-GB"/>
              </w:rPr>
              <w:t>10,250</w:t>
            </w:r>
          </w:p>
        </w:tc>
      </w:tr>
    </w:tbl>
    <w:p w14:paraId="59559BB2" w14:textId="77777777" w:rsidR="0044710E" w:rsidRPr="008E2A7B" w:rsidRDefault="0044710E" w:rsidP="0044710E">
      <w:pPr>
        <w:pStyle w:val="i-lista"/>
        <w:numPr>
          <w:ilvl w:val="1"/>
          <w:numId w:val="36"/>
        </w:numPr>
        <w:rPr>
          <w:i/>
          <w:lang w:val="en-GB"/>
        </w:rPr>
      </w:pPr>
      <w:r w:rsidRPr="008E2A7B">
        <w:rPr>
          <w:i/>
          <w:lang w:val="en-GB"/>
        </w:rPr>
        <w:t xml:space="preserve">Projections of interconnector expansion requirements at least until 2040 (including for the year 2030) </w:t>
      </w:r>
    </w:p>
    <w:p w14:paraId="4442DF52" w14:textId="0F48F3A0" w:rsidR="0044710E" w:rsidRPr="008E2A7B" w:rsidRDefault="0044710E" w:rsidP="0044710E">
      <w:pPr>
        <w:pStyle w:val="Brdtext"/>
        <w:rPr>
          <w:lang w:val="en-GB"/>
        </w:rPr>
      </w:pPr>
      <w:r w:rsidRPr="008E2A7B">
        <w:rPr>
          <w:lang w:val="en-GB"/>
        </w:rPr>
        <w:t xml:space="preserve">By 2027, the following interconnections will be expected, which will change the interconnection level to 28%, shown in </w:t>
      </w:r>
      <w:r w:rsidR="006B0558" w:rsidRPr="008E2A7B">
        <w:rPr>
          <w:lang w:val="en-GB"/>
        </w:rPr>
        <w:fldChar w:fldCharType="begin"/>
      </w:r>
      <w:r w:rsidR="006B0558" w:rsidRPr="008E2A7B">
        <w:rPr>
          <w:lang w:val="en-GB"/>
        </w:rPr>
        <w:instrText xml:space="preserve"> REF _Ref496605682 \h </w:instrText>
      </w:r>
      <w:r w:rsidR="006B0558" w:rsidRPr="008E2A7B">
        <w:rPr>
          <w:lang w:val="en-GB"/>
        </w:rPr>
      </w:r>
      <w:r w:rsidR="006B0558" w:rsidRPr="008E2A7B">
        <w:rPr>
          <w:lang w:val="en-GB"/>
        </w:rPr>
        <w:fldChar w:fldCharType="separate"/>
      </w:r>
      <w:r w:rsidR="006B0558" w:rsidRPr="008E2A7B">
        <w:rPr>
          <w:lang w:val="en-GB"/>
        </w:rPr>
        <w:t xml:space="preserve">Table </w:t>
      </w:r>
      <w:r w:rsidR="006B0558" w:rsidRPr="008E2A7B">
        <w:rPr>
          <w:noProof/>
          <w:lang w:val="en-GB"/>
        </w:rPr>
        <w:t>20</w:t>
      </w:r>
      <w:r w:rsidR="006B0558" w:rsidRPr="008E2A7B">
        <w:rPr>
          <w:lang w:val="en-GB"/>
        </w:rPr>
        <w:fldChar w:fldCharType="end"/>
      </w:r>
      <w:r w:rsidRPr="008E2A7B">
        <w:rPr>
          <w:lang w:val="en-GB"/>
        </w:rPr>
        <w:t xml:space="preserve">. </w:t>
      </w:r>
    </w:p>
    <w:p w14:paraId="44C64792" w14:textId="77777777" w:rsidR="00D96AB7" w:rsidRDefault="00D96AB7">
      <w:pPr>
        <w:spacing w:after="160" w:line="0" w:lineRule="auto"/>
        <w:rPr>
          <w:b/>
          <w:iCs/>
          <w:sz w:val="20"/>
          <w:szCs w:val="18"/>
          <w:lang w:val="en-GB"/>
        </w:rPr>
      </w:pPr>
      <w:bookmarkStart w:id="73" w:name="_Ref496605682"/>
      <w:r>
        <w:rPr>
          <w:lang w:val="en-GB"/>
        </w:rPr>
        <w:br w:type="page"/>
      </w:r>
    </w:p>
    <w:p w14:paraId="547E1698" w14:textId="5396A688" w:rsidR="0044710E" w:rsidRPr="008E2A7B" w:rsidRDefault="0044710E" w:rsidP="0044710E">
      <w:pPr>
        <w:pStyle w:val="Beskrivning"/>
        <w:rPr>
          <w:szCs w:val="20"/>
          <w:lang w:val="en-GB"/>
        </w:rPr>
      </w:pPr>
      <w:r w:rsidRPr="008E2A7B">
        <w:rPr>
          <w:lang w:val="en-GB"/>
        </w:rPr>
        <w:lastRenderedPageBreak/>
        <w:t xml:space="preserve">Table </w:t>
      </w:r>
      <w:r w:rsidR="00722FEC" w:rsidRPr="008E2A7B">
        <w:rPr>
          <w:lang w:val="en-GB"/>
        </w:rPr>
        <w:fldChar w:fldCharType="begin"/>
      </w:r>
      <w:r w:rsidR="00722FEC" w:rsidRPr="008E2A7B">
        <w:rPr>
          <w:lang w:val="en-GB"/>
        </w:rPr>
        <w:instrText xml:space="preserve"> SEQ Table \* ARABIC </w:instrText>
      </w:r>
      <w:r w:rsidR="00722FEC" w:rsidRPr="008E2A7B">
        <w:rPr>
          <w:lang w:val="en-GB"/>
        </w:rPr>
        <w:fldChar w:fldCharType="separate"/>
      </w:r>
      <w:r w:rsidR="009D5B3B">
        <w:rPr>
          <w:noProof/>
          <w:lang w:val="en-GB"/>
        </w:rPr>
        <w:t>20</w:t>
      </w:r>
      <w:r w:rsidR="00722FEC" w:rsidRPr="008E2A7B">
        <w:rPr>
          <w:noProof/>
          <w:lang w:val="en-GB"/>
        </w:rPr>
        <w:fldChar w:fldCharType="end"/>
      </w:r>
      <w:bookmarkEnd w:id="73"/>
      <w:r w:rsidRPr="008E2A7B">
        <w:rPr>
          <w:szCs w:val="20"/>
          <w:lang w:val="en-GB"/>
        </w:rPr>
        <w:t xml:space="preserve"> Additional interconnectors until 2027</w:t>
      </w:r>
    </w:p>
    <w:tbl>
      <w:tblPr>
        <w:tblStyle w:val="Enkeltabell1"/>
        <w:tblW w:w="0" w:type="auto"/>
        <w:tblLook w:val="04A0" w:firstRow="1" w:lastRow="0" w:firstColumn="1" w:lastColumn="0" w:noHBand="0" w:noVBand="1"/>
      </w:tblPr>
      <w:tblGrid>
        <w:gridCol w:w="1743"/>
        <w:gridCol w:w="1688"/>
        <w:gridCol w:w="1829"/>
        <w:gridCol w:w="1656"/>
      </w:tblGrid>
      <w:tr w:rsidR="0044710E" w:rsidRPr="008E2A7B" w14:paraId="57760613" w14:textId="77777777" w:rsidTr="0044710E">
        <w:trPr>
          <w:cnfStyle w:val="100000000000" w:firstRow="1" w:lastRow="0" w:firstColumn="0" w:lastColumn="0" w:oddVBand="0" w:evenVBand="0" w:oddHBand="0" w:evenHBand="0" w:firstRowFirstColumn="0" w:firstRowLastColumn="0" w:lastRowFirstColumn="0" w:lastRowLastColumn="0"/>
        </w:trPr>
        <w:tc>
          <w:tcPr>
            <w:tcW w:w="1981" w:type="dxa"/>
          </w:tcPr>
          <w:p w14:paraId="04359BD7" w14:textId="77777777" w:rsidR="0044710E" w:rsidRPr="008E2A7B" w:rsidRDefault="0044710E" w:rsidP="0044710E">
            <w:pPr>
              <w:pStyle w:val="Brdtext"/>
              <w:rPr>
                <w:b/>
                <w:szCs w:val="22"/>
                <w:lang w:val="en-GB"/>
              </w:rPr>
            </w:pPr>
            <w:r w:rsidRPr="008E2A7B">
              <w:rPr>
                <w:b/>
                <w:szCs w:val="22"/>
                <w:lang w:val="en-GB"/>
              </w:rPr>
              <w:t>From</w:t>
            </w:r>
          </w:p>
        </w:tc>
        <w:tc>
          <w:tcPr>
            <w:tcW w:w="1981" w:type="dxa"/>
          </w:tcPr>
          <w:p w14:paraId="17A839AF" w14:textId="77777777" w:rsidR="0044710E" w:rsidRPr="008E2A7B" w:rsidRDefault="0044710E" w:rsidP="0044710E">
            <w:pPr>
              <w:pStyle w:val="Brdtext"/>
              <w:rPr>
                <w:b/>
                <w:szCs w:val="22"/>
                <w:lang w:val="en-GB"/>
              </w:rPr>
            </w:pPr>
            <w:r w:rsidRPr="008E2A7B">
              <w:rPr>
                <w:b/>
                <w:szCs w:val="22"/>
                <w:lang w:val="en-GB"/>
              </w:rPr>
              <w:t>Type</w:t>
            </w:r>
          </w:p>
        </w:tc>
        <w:tc>
          <w:tcPr>
            <w:tcW w:w="1982" w:type="dxa"/>
          </w:tcPr>
          <w:p w14:paraId="2BB9B95B" w14:textId="77777777" w:rsidR="0044710E" w:rsidRPr="008E2A7B" w:rsidRDefault="0044710E" w:rsidP="0044710E">
            <w:pPr>
              <w:pStyle w:val="Brdtext"/>
              <w:rPr>
                <w:b/>
                <w:szCs w:val="22"/>
                <w:lang w:val="en-GB"/>
              </w:rPr>
            </w:pPr>
            <w:r w:rsidRPr="008E2A7B">
              <w:rPr>
                <w:b/>
                <w:szCs w:val="22"/>
                <w:lang w:val="en-GB"/>
              </w:rPr>
              <w:t>Name</w:t>
            </w:r>
          </w:p>
        </w:tc>
        <w:tc>
          <w:tcPr>
            <w:tcW w:w="1982" w:type="dxa"/>
          </w:tcPr>
          <w:p w14:paraId="0F08962D" w14:textId="77777777" w:rsidR="0044710E" w:rsidRPr="008E2A7B" w:rsidRDefault="0044710E" w:rsidP="0044710E">
            <w:pPr>
              <w:pStyle w:val="Brdtext"/>
              <w:rPr>
                <w:b/>
                <w:szCs w:val="22"/>
                <w:lang w:val="en-GB"/>
              </w:rPr>
            </w:pPr>
            <w:r w:rsidRPr="008E2A7B">
              <w:rPr>
                <w:b/>
                <w:szCs w:val="22"/>
                <w:lang w:val="en-GB"/>
              </w:rPr>
              <w:t>MW</w:t>
            </w:r>
          </w:p>
        </w:tc>
      </w:tr>
      <w:tr w:rsidR="0044710E" w:rsidRPr="008E2A7B" w14:paraId="04B78E90" w14:textId="77777777" w:rsidTr="0044710E">
        <w:tc>
          <w:tcPr>
            <w:tcW w:w="1981" w:type="dxa"/>
          </w:tcPr>
          <w:p w14:paraId="65D3FCEA" w14:textId="77777777" w:rsidR="0044710E" w:rsidRPr="008E2A7B" w:rsidRDefault="0044710E" w:rsidP="0044710E">
            <w:pPr>
              <w:pStyle w:val="Brdtext"/>
              <w:rPr>
                <w:szCs w:val="22"/>
                <w:lang w:val="en-GB"/>
              </w:rPr>
            </w:pPr>
            <w:r w:rsidRPr="008E2A7B">
              <w:rPr>
                <w:szCs w:val="22"/>
                <w:lang w:val="en-GB"/>
              </w:rPr>
              <w:t>Finland</w:t>
            </w:r>
          </w:p>
        </w:tc>
        <w:tc>
          <w:tcPr>
            <w:tcW w:w="1981" w:type="dxa"/>
          </w:tcPr>
          <w:p w14:paraId="109A7A12" w14:textId="77777777" w:rsidR="0044710E" w:rsidRPr="008E2A7B" w:rsidRDefault="0044710E" w:rsidP="0044710E">
            <w:pPr>
              <w:pStyle w:val="Brdtext"/>
              <w:rPr>
                <w:szCs w:val="22"/>
                <w:lang w:val="en-GB"/>
              </w:rPr>
            </w:pPr>
            <w:r w:rsidRPr="008E2A7B">
              <w:rPr>
                <w:szCs w:val="22"/>
                <w:lang w:val="en-GB"/>
              </w:rPr>
              <w:t>AC</w:t>
            </w:r>
          </w:p>
        </w:tc>
        <w:tc>
          <w:tcPr>
            <w:tcW w:w="1982" w:type="dxa"/>
          </w:tcPr>
          <w:p w14:paraId="1149CEF2" w14:textId="77777777" w:rsidR="0044710E" w:rsidRPr="008E2A7B" w:rsidRDefault="0044710E" w:rsidP="0044710E">
            <w:pPr>
              <w:pStyle w:val="Brdtext"/>
              <w:rPr>
                <w:szCs w:val="22"/>
                <w:lang w:val="en-GB"/>
              </w:rPr>
            </w:pPr>
          </w:p>
        </w:tc>
        <w:tc>
          <w:tcPr>
            <w:tcW w:w="1982" w:type="dxa"/>
          </w:tcPr>
          <w:p w14:paraId="5794DB8D" w14:textId="77777777" w:rsidR="0044710E" w:rsidRPr="008E2A7B" w:rsidRDefault="0044710E" w:rsidP="0044710E">
            <w:pPr>
              <w:pStyle w:val="Brdtext"/>
              <w:jc w:val="right"/>
              <w:rPr>
                <w:szCs w:val="22"/>
                <w:lang w:val="en-GB"/>
              </w:rPr>
            </w:pPr>
            <w:r w:rsidRPr="008E2A7B">
              <w:rPr>
                <w:szCs w:val="22"/>
                <w:lang w:val="en-GB"/>
              </w:rPr>
              <w:t>900</w:t>
            </w:r>
          </w:p>
        </w:tc>
      </w:tr>
      <w:tr w:rsidR="0044710E" w:rsidRPr="008E2A7B" w14:paraId="63823434" w14:textId="77777777" w:rsidTr="0044710E">
        <w:tc>
          <w:tcPr>
            <w:tcW w:w="1981" w:type="dxa"/>
          </w:tcPr>
          <w:p w14:paraId="10E4D1BA" w14:textId="77777777" w:rsidR="0044710E" w:rsidRPr="008E2A7B" w:rsidRDefault="0044710E" w:rsidP="0044710E">
            <w:pPr>
              <w:pStyle w:val="Brdtext"/>
              <w:rPr>
                <w:szCs w:val="22"/>
                <w:lang w:val="en-GB"/>
              </w:rPr>
            </w:pPr>
            <w:r w:rsidRPr="008E2A7B">
              <w:rPr>
                <w:szCs w:val="22"/>
                <w:lang w:val="en-GB"/>
              </w:rPr>
              <w:t>Finland</w:t>
            </w:r>
          </w:p>
        </w:tc>
        <w:tc>
          <w:tcPr>
            <w:tcW w:w="1981" w:type="dxa"/>
          </w:tcPr>
          <w:p w14:paraId="354E94E1"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22B23A15" w14:textId="77777777" w:rsidR="0044710E" w:rsidRPr="008E2A7B" w:rsidRDefault="0044710E" w:rsidP="0044710E">
            <w:pPr>
              <w:pStyle w:val="Brdtext"/>
              <w:rPr>
                <w:szCs w:val="22"/>
                <w:lang w:val="en-GB"/>
              </w:rPr>
            </w:pPr>
            <w:r w:rsidRPr="008E2A7B">
              <w:rPr>
                <w:szCs w:val="22"/>
                <w:lang w:val="en-GB"/>
              </w:rPr>
              <w:t>Fennoskan 1</w:t>
            </w:r>
            <w:r w:rsidRPr="008E2A7B">
              <w:rPr>
                <w:rStyle w:val="Fotnotsreferens"/>
                <w:szCs w:val="22"/>
                <w:lang w:val="en-GB"/>
              </w:rPr>
              <w:footnoteReference w:id="46"/>
            </w:r>
          </w:p>
        </w:tc>
        <w:tc>
          <w:tcPr>
            <w:tcW w:w="1982" w:type="dxa"/>
          </w:tcPr>
          <w:p w14:paraId="2A6AEFE7" w14:textId="77777777" w:rsidR="0044710E" w:rsidRPr="008E2A7B" w:rsidRDefault="0044710E" w:rsidP="0044710E">
            <w:pPr>
              <w:pStyle w:val="Brdtext"/>
              <w:jc w:val="right"/>
              <w:rPr>
                <w:szCs w:val="22"/>
                <w:lang w:val="en-GB"/>
              </w:rPr>
            </w:pPr>
            <w:r w:rsidRPr="008E2A7B">
              <w:rPr>
                <w:szCs w:val="22"/>
                <w:lang w:val="en-GB"/>
              </w:rPr>
              <w:t>-400</w:t>
            </w:r>
          </w:p>
        </w:tc>
      </w:tr>
      <w:tr w:rsidR="0044710E" w:rsidRPr="008E2A7B" w14:paraId="1D80F7C5" w14:textId="77777777" w:rsidTr="0044710E">
        <w:tc>
          <w:tcPr>
            <w:tcW w:w="1981" w:type="dxa"/>
          </w:tcPr>
          <w:p w14:paraId="15198D14" w14:textId="77777777" w:rsidR="0044710E" w:rsidRPr="008E2A7B" w:rsidRDefault="0044710E" w:rsidP="0044710E">
            <w:pPr>
              <w:pStyle w:val="Brdtext"/>
              <w:rPr>
                <w:szCs w:val="22"/>
                <w:lang w:val="en-GB"/>
              </w:rPr>
            </w:pPr>
            <w:r w:rsidRPr="008E2A7B">
              <w:rPr>
                <w:szCs w:val="22"/>
                <w:lang w:val="en-GB"/>
              </w:rPr>
              <w:t>Finland</w:t>
            </w:r>
          </w:p>
        </w:tc>
        <w:tc>
          <w:tcPr>
            <w:tcW w:w="1981" w:type="dxa"/>
          </w:tcPr>
          <w:p w14:paraId="1045F81C"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674BF45B" w14:textId="77777777" w:rsidR="0044710E" w:rsidRPr="008E2A7B" w:rsidRDefault="0044710E" w:rsidP="0044710E">
            <w:pPr>
              <w:pStyle w:val="Brdtext"/>
              <w:rPr>
                <w:szCs w:val="22"/>
                <w:lang w:val="en-GB"/>
              </w:rPr>
            </w:pPr>
          </w:p>
        </w:tc>
        <w:tc>
          <w:tcPr>
            <w:tcW w:w="1982" w:type="dxa"/>
          </w:tcPr>
          <w:p w14:paraId="67EA2B03" w14:textId="77777777" w:rsidR="0044710E" w:rsidRPr="008E2A7B" w:rsidRDefault="0044710E" w:rsidP="0044710E">
            <w:pPr>
              <w:pStyle w:val="Brdtext"/>
              <w:jc w:val="right"/>
              <w:rPr>
                <w:szCs w:val="22"/>
                <w:lang w:val="en-GB"/>
              </w:rPr>
            </w:pPr>
            <w:r w:rsidRPr="008E2A7B">
              <w:rPr>
                <w:szCs w:val="22"/>
                <w:lang w:val="en-GB"/>
              </w:rPr>
              <w:t>800</w:t>
            </w:r>
          </w:p>
        </w:tc>
      </w:tr>
      <w:tr w:rsidR="0044710E" w:rsidRPr="008E2A7B" w14:paraId="4220DD73" w14:textId="77777777" w:rsidTr="0044710E">
        <w:tc>
          <w:tcPr>
            <w:tcW w:w="1981" w:type="dxa"/>
          </w:tcPr>
          <w:p w14:paraId="77AE06B2" w14:textId="77777777" w:rsidR="0044710E" w:rsidRPr="008E2A7B" w:rsidRDefault="0044710E" w:rsidP="0044710E">
            <w:pPr>
              <w:pStyle w:val="Brdtext"/>
              <w:rPr>
                <w:szCs w:val="22"/>
                <w:lang w:val="en-GB"/>
              </w:rPr>
            </w:pPr>
            <w:r w:rsidRPr="008E2A7B">
              <w:rPr>
                <w:szCs w:val="22"/>
                <w:lang w:val="en-GB"/>
              </w:rPr>
              <w:t>Germany</w:t>
            </w:r>
          </w:p>
        </w:tc>
        <w:tc>
          <w:tcPr>
            <w:tcW w:w="1981" w:type="dxa"/>
          </w:tcPr>
          <w:p w14:paraId="6A43DB77" w14:textId="77777777" w:rsidR="0044710E" w:rsidRPr="008E2A7B" w:rsidRDefault="0044710E" w:rsidP="0044710E">
            <w:pPr>
              <w:pStyle w:val="Brdtext"/>
              <w:rPr>
                <w:szCs w:val="22"/>
                <w:lang w:val="en-GB"/>
              </w:rPr>
            </w:pPr>
            <w:r w:rsidRPr="008E2A7B">
              <w:rPr>
                <w:szCs w:val="22"/>
                <w:lang w:val="en-GB"/>
              </w:rPr>
              <w:t>HVDC</w:t>
            </w:r>
          </w:p>
        </w:tc>
        <w:tc>
          <w:tcPr>
            <w:tcW w:w="1982" w:type="dxa"/>
          </w:tcPr>
          <w:p w14:paraId="4847475C" w14:textId="77777777" w:rsidR="0044710E" w:rsidRPr="008E2A7B" w:rsidRDefault="0044710E" w:rsidP="0044710E">
            <w:pPr>
              <w:pStyle w:val="Brdtext"/>
              <w:rPr>
                <w:szCs w:val="22"/>
                <w:lang w:val="en-GB"/>
              </w:rPr>
            </w:pPr>
            <w:r w:rsidRPr="008E2A7B">
              <w:rPr>
                <w:szCs w:val="22"/>
                <w:lang w:val="en-GB"/>
              </w:rPr>
              <w:t>Hansa Powerbridge</w:t>
            </w:r>
          </w:p>
        </w:tc>
        <w:tc>
          <w:tcPr>
            <w:tcW w:w="1982" w:type="dxa"/>
          </w:tcPr>
          <w:p w14:paraId="71897A2C" w14:textId="77777777" w:rsidR="0044710E" w:rsidRPr="008E2A7B" w:rsidRDefault="0044710E" w:rsidP="0044710E">
            <w:pPr>
              <w:pStyle w:val="Brdtext"/>
              <w:jc w:val="right"/>
              <w:rPr>
                <w:szCs w:val="22"/>
                <w:lang w:val="en-GB"/>
              </w:rPr>
            </w:pPr>
            <w:r w:rsidRPr="008E2A7B">
              <w:rPr>
                <w:szCs w:val="22"/>
                <w:lang w:val="en-GB"/>
              </w:rPr>
              <w:t>700</w:t>
            </w:r>
          </w:p>
        </w:tc>
      </w:tr>
      <w:tr w:rsidR="0044710E" w:rsidRPr="00D96AB7" w14:paraId="149AE504" w14:textId="77777777" w:rsidTr="0044710E">
        <w:tc>
          <w:tcPr>
            <w:tcW w:w="1981" w:type="dxa"/>
          </w:tcPr>
          <w:p w14:paraId="01DC5B2C" w14:textId="77777777" w:rsidR="0044710E" w:rsidRPr="008E2A7B" w:rsidRDefault="0044710E" w:rsidP="0044710E">
            <w:pPr>
              <w:pStyle w:val="Brdtext"/>
              <w:rPr>
                <w:b/>
                <w:szCs w:val="22"/>
                <w:lang w:val="en-GB"/>
              </w:rPr>
            </w:pPr>
            <w:r w:rsidRPr="008E2A7B">
              <w:rPr>
                <w:b/>
                <w:szCs w:val="22"/>
                <w:lang w:val="en-GB"/>
              </w:rPr>
              <w:t>Total</w:t>
            </w:r>
          </w:p>
        </w:tc>
        <w:tc>
          <w:tcPr>
            <w:tcW w:w="1981" w:type="dxa"/>
          </w:tcPr>
          <w:p w14:paraId="7DA26B04" w14:textId="77777777" w:rsidR="0044710E" w:rsidRPr="008E2A7B" w:rsidRDefault="0044710E" w:rsidP="0044710E">
            <w:pPr>
              <w:pStyle w:val="Brdtext"/>
              <w:rPr>
                <w:szCs w:val="22"/>
                <w:lang w:val="en-GB"/>
              </w:rPr>
            </w:pPr>
          </w:p>
        </w:tc>
        <w:tc>
          <w:tcPr>
            <w:tcW w:w="1982" w:type="dxa"/>
          </w:tcPr>
          <w:p w14:paraId="5AF075F6" w14:textId="77777777" w:rsidR="0044710E" w:rsidRPr="008E2A7B" w:rsidRDefault="0044710E" w:rsidP="0044710E">
            <w:pPr>
              <w:pStyle w:val="Brdtext"/>
              <w:rPr>
                <w:szCs w:val="22"/>
                <w:lang w:val="en-GB"/>
              </w:rPr>
            </w:pPr>
          </w:p>
        </w:tc>
        <w:tc>
          <w:tcPr>
            <w:tcW w:w="1982" w:type="dxa"/>
          </w:tcPr>
          <w:p w14:paraId="55EA325C" w14:textId="77777777" w:rsidR="0044710E" w:rsidRPr="00D96AB7" w:rsidRDefault="0044710E" w:rsidP="0044710E">
            <w:pPr>
              <w:pStyle w:val="Brdtext"/>
              <w:jc w:val="right"/>
              <w:rPr>
                <w:b/>
                <w:szCs w:val="22"/>
                <w:lang w:val="en-GB"/>
              </w:rPr>
            </w:pPr>
            <w:r w:rsidRPr="00D96AB7">
              <w:rPr>
                <w:b/>
                <w:szCs w:val="22"/>
                <w:lang w:val="en-GB"/>
              </w:rPr>
              <w:t>2,000</w:t>
            </w:r>
          </w:p>
        </w:tc>
      </w:tr>
    </w:tbl>
    <w:p w14:paraId="15508C05" w14:textId="77777777" w:rsidR="0044710E" w:rsidRPr="008E2A7B" w:rsidRDefault="0044710E" w:rsidP="0044710E">
      <w:pPr>
        <w:pStyle w:val="Brdtext"/>
        <w:rPr>
          <w:lang w:val="en-GB"/>
        </w:rPr>
      </w:pPr>
    </w:p>
    <w:p w14:paraId="4E184CD2" w14:textId="77777777" w:rsidR="0044710E" w:rsidRPr="008E2A7B" w:rsidRDefault="0044710E" w:rsidP="0044710E">
      <w:pPr>
        <w:pStyle w:val="Rubrik3"/>
        <w:rPr>
          <w:lang w:val="en-GB"/>
        </w:rPr>
      </w:pPr>
      <w:r w:rsidRPr="008E2A7B">
        <w:rPr>
          <w:lang w:val="en-GB"/>
        </w:rPr>
        <w:t xml:space="preserve">Energy transmission infrastructure </w:t>
      </w:r>
    </w:p>
    <w:p w14:paraId="1547E630" w14:textId="77777777" w:rsidR="0044710E" w:rsidRPr="008E2A7B" w:rsidRDefault="0044710E" w:rsidP="0044710E">
      <w:pPr>
        <w:pStyle w:val="i-lista"/>
        <w:numPr>
          <w:ilvl w:val="1"/>
          <w:numId w:val="37"/>
        </w:numPr>
        <w:rPr>
          <w:i/>
          <w:lang w:val="en-GB"/>
        </w:rPr>
      </w:pPr>
      <w:r w:rsidRPr="008E2A7B">
        <w:rPr>
          <w:i/>
          <w:lang w:val="en-GB"/>
        </w:rPr>
        <w:t xml:space="preserve">Key characteristics of the existing transmission infrastructure for electricity and gas </w:t>
      </w:r>
    </w:p>
    <w:p w14:paraId="0256875F" w14:textId="77777777" w:rsidR="0044710E" w:rsidRPr="008E2A7B" w:rsidRDefault="0044710E" w:rsidP="0044710E">
      <w:pPr>
        <w:pStyle w:val="Brdtext"/>
        <w:contextualSpacing/>
        <w:rPr>
          <w:b/>
          <w:lang w:val="en-GB"/>
        </w:rPr>
      </w:pPr>
      <w:r w:rsidRPr="008E2A7B">
        <w:rPr>
          <w:b/>
          <w:lang w:val="en-GB"/>
        </w:rPr>
        <w:t>Infrastructure for electricity</w:t>
      </w:r>
    </w:p>
    <w:p w14:paraId="4C940960" w14:textId="30BB178A" w:rsidR="0044710E" w:rsidRPr="008E2A7B" w:rsidRDefault="0044710E" w:rsidP="00E93338">
      <w:pPr>
        <w:pStyle w:val="Brdtext"/>
        <w:rPr>
          <w:lang w:val="en-GB"/>
        </w:rPr>
      </w:pPr>
      <w:r w:rsidRPr="008E2A7B">
        <w:rPr>
          <w:lang w:val="en-GB"/>
        </w:rPr>
        <w:t xml:space="preserve">Hydropower in the north of Sweden together with hydropower in Norway are the most important regulatory resources for the entire Nordic power system. Sweden is an elongate country with the bulk of electricity consumption in </w:t>
      </w:r>
      <w:r w:rsidR="00D805C5" w:rsidRPr="008E2A7B">
        <w:rPr>
          <w:lang w:val="en-GB"/>
        </w:rPr>
        <w:t>south and most</w:t>
      </w:r>
      <w:r w:rsidRPr="008E2A7B">
        <w:rPr>
          <w:lang w:val="en-GB"/>
        </w:rPr>
        <w:t xml:space="preserve"> of the hydropower in the north. The task </w:t>
      </w:r>
      <w:r w:rsidR="00E93338" w:rsidRPr="008E2A7B">
        <w:rPr>
          <w:lang w:val="en-GB"/>
        </w:rPr>
        <w:t xml:space="preserve">of the transmission grids </w:t>
      </w:r>
      <w:r w:rsidRPr="008E2A7B">
        <w:rPr>
          <w:lang w:val="en-GB"/>
        </w:rPr>
        <w:t>is thus to transfer production from north to south.</w:t>
      </w:r>
    </w:p>
    <w:p w14:paraId="1EE3E888" w14:textId="4ABF9ED8" w:rsidR="0044710E" w:rsidRPr="008E2A7B" w:rsidRDefault="0044710E" w:rsidP="0044710E">
      <w:pPr>
        <w:pStyle w:val="Brdtext"/>
        <w:rPr>
          <w:lang w:val="en-GB"/>
        </w:rPr>
      </w:pPr>
      <w:r w:rsidRPr="008E2A7B">
        <w:rPr>
          <w:lang w:val="en-GB"/>
        </w:rPr>
        <w:t>During certain hours when there are large electricity flows through Sweden</w:t>
      </w:r>
      <w:r w:rsidR="00E93338" w:rsidRPr="008E2A7B">
        <w:rPr>
          <w:lang w:val="en-GB"/>
        </w:rPr>
        <w:t>,</w:t>
      </w:r>
      <w:r w:rsidRPr="008E2A7B">
        <w:rPr>
          <w:lang w:val="en-GB"/>
        </w:rPr>
        <w:t xml:space="preserve"> the transmission capacity is not always </w:t>
      </w:r>
      <w:r w:rsidR="00E93338" w:rsidRPr="008E2A7B">
        <w:rPr>
          <w:lang w:val="en-GB"/>
        </w:rPr>
        <w:t>sufficient</w:t>
      </w:r>
      <w:r w:rsidRPr="008E2A7B">
        <w:rPr>
          <w:lang w:val="en-GB"/>
        </w:rPr>
        <w:t xml:space="preserve">. Sweden is divided into bidding zones based on </w:t>
      </w:r>
      <w:r w:rsidR="006B0558" w:rsidRPr="008E2A7B">
        <w:rPr>
          <w:lang w:val="en-GB"/>
        </w:rPr>
        <w:t>today's structural bottlenecks.</w:t>
      </w:r>
    </w:p>
    <w:p w14:paraId="285C69C5" w14:textId="77777777" w:rsidR="0044710E" w:rsidRPr="008E2A7B" w:rsidRDefault="0044710E" w:rsidP="0044710E">
      <w:pPr>
        <w:pStyle w:val="Brdtext"/>
        <w:rPr>
          <w:lang w:val="en-GB"/>
        </w:rPr>
      </w:pPr>
      <w:r w:rsidRPr="008E2A7B">
        <w:rPr>
          <w:b/>
          <w:lang w:val="en-GB"/>
        </w:rPr>
        <w:t>Infrastructure for gas</w:t>
      </w:r>
      <w:r w:rsidRPr="008E2A7B">
        <w:rPr>
          <w:lang w:val="en-GB"/>
        </w:rPr>
        <w:br/>
        <w:t>The Swedish natural gas system is small compared to most other natural gas networks in Europe. There are just over 30 of Sweden's 290 municipalities that have access to natural gas. The gas comes to Sweden via a pipeline from the Danish Dragör.</w:t>
      </w:r>
      <w:r w:rsidRPr="008E2A7B">
        <w:rPr>
          <w:rFonts w:ascii="Arial" w:hAnsi="Arial" w:cs="Arial"/>
          <w:color w:val="222222"/>
          <w:lang w:val="en-GB"/>
        </w:rPr>
        <w:t xml:space="preserve"> </w:t>
      </w:r>
      <w:r w:rsidRPr="008E2A7B">
        <w:rPr>
          <w:lang w:val="en-GB"/>
        </w:rPr>
        <w:t>In Sweden, the transmission network is owned and operated by Swedegas, which also holds the system balance responsibility. A few very large consumers are connected directly to the transmission network.</w:t>
      </w:r>
    </w:p>
    <w:p w14:paraId="7C528587" w14:textId="00F1B929" w:rsidR="0044710E" w:rsidRPr="008E2A7B" w:rsidRDefault="0044710E" w:rsidP="0044710E">
      <w:pPr>
        <w:pStyle w:val="Brdtext"/>
        <w:rPr>
          <w:lang w:val="en-GB"/>
        </w:rPr>
      </w:pPr>
      <w:r w:rsidRPr="008E2A7B">
        <w:rPr>
          <w:lang w:val="en-GB"/>
        </w:rPr>
        <w:t xml:space="preserve">There is also an urban and vehicle gas network in the Stockholm area, owned by Gasnätet Stockholm AB. The production and supply of gas to </w:t>
      </w:r>
      <w:r w:rsidRPr="008E2A7B">
        <w:rPr>
          <w:lang w:val="en-GB"/>
        </w:rPr>
        <w:lastRenderedPageBreak/>
        <w:t xml:space="preserve">the urban gas grid mainly takes place from a gasification plant in Stockholm, where both biogas and LNG are delivered. </w:t>
      </w:r>
    </w:p>
    <w:p w14:paraId="04D97984" w14:textId="3EB9899E" w:rsidR="0044710E" w:rsidRPr="008E2A7B" w:rsidRDefault="0044710E" w:rsidP="0044710E">
      <w:pPr>
        <w:pStyle w:val="Brdtext"/>
        <w:rPr>
          <w:lang w:val="en-GB"/>
        </w:rPr>
      </w:pPr>
      <w:r w:rsidRPr="008E2A7B">
        <w:rPr>
          <w:lang w:val="en-GB"/>
        </w:rPr>
        <w:t xml:space="preserve">There are also a number of small local gas networks around Sweden. Many of the small local networks are mainly used to transport biogas </w:t>
      </w:r>
      <w:r w:rsidR="00E93338" w:rsidRPr="008E2A7B">
        <w:rPr>
          <w:lang w:val="en-GB"/>
        </w:rPr>
        <w:t xml:space="preserve">for </w:t>
      </w:r>
      <w:r w:rsidRPr="008E2A7B">
        <w:rPr>
          <w:lang w:val="en-GB"/>
        </w:rPr>
        <w:t>vehicle</w:t>
      </w:r>
      <w:r w:rsidR="00E93338" w:rsidRPr="008E2A7B">
        <w:rPr>
          <w:lang w:val="en-GB"/>
        </w:rPr>
        <w:t>s</w:t>
      </w:r>
      <w:r w:rsidRPr="008E2A7B">
        <w:rPr>
          <w:lang w:val="en-GB"/>
        </w:rPr>
        <w:t xml:space="preserve"> from a production plant to gas stations.</w:t>
      </w:r>
    </w:p>
    <w:p w14:paraId="26177EF8" w14:textId="77777777" w:rsidR="0044710E" w:rsidRPr="008E2A7B" w:rsidRDefault="0044710E" w:rsidP="0044710E">
      <w:pPr>
        <w:pStyle w:val="i-lista"/>
        <w:numPr>
          <w:ilvl w:val="1"/>
          <w:numId w:val="37"/>
        </w:numPr>
        <w:rPr>
          <w:i/>
          <w:lang w:val="en-GB"/>
        </w:rPr>
      </w:pPr>
      <w:r w:rsidRPr="008E2A7B">
        <w:rPr>
          <w:i/>
          <w:lang w:val="en-GB"/>
        </w:rPr>
        <w:t xml:space="preserve">Projections of network expansion requirements at least until 2040 (including for the year 2030) </w:t>
      </w:r>
    </w:p>
    <w:p w14:paraId="6E6EA48B" w14:textId="77777777" w:rsidR="0044710E" w:rsidRPr="008E2A7B" w:rsidRDefault="0044710E" w:rsidP="0044710E">
      <w:pPr>
        <w:pStyle w:val="Brdtext"/>
        <w:contextualSpacing/>
        <w:rPr>
          <w:b/>
          <w:lang w:val="en-GB"/>
        </w:rPr>
      </w:pPr>
      <w:r w:rsidRPr="008E2A7B">
        <w:rPr>
          <w:b/>
          <w:lang w:val="en-GB"/>
        </w:rPr>
        <w:t>Infrastructure for electricity</w:t>
      </w:r>
    </w:p>
    <w:p w14:paraId="25AB4808" w14:textId="4ACE5FA7" w:rsidR="0044710E" w:rsidRPr="008E2A7B" w:rsidRDefault="0044710E" w:rsidP="0044710E">
      <w:pPr>
        <w:pStyle w:val="Brdtext"/>
        <w:contextualSpacing/>
        <w:rPr>
          <w:lang w:val="en-GB"/>
        </w:rPr>
      </w:pPr>
      <w:r w:rsidRPr="008E2A7B">
        <w:rPr>
          <w:lang w:val="en-GB"/>
        </w:rPr>
        <w:t>Svenska kraftnät has no network development plan that extend</w:t>
      </w:r>
      <w:r w:rsidR="00490719" w:rsidRPr="008E2A7B">
        <w:rPr>
          <w:lang w:val="en-GB"/>
        </w:rPr>
        <w:t>s</w:t>
      </w:r>
      <w:r w:rsidRPr="008E2A7B">
        <w:rPr>
          <w:lang w:val="en-GB"/>
        </w:rPr>
        <w:t xml:space="preserve"> to 2040. An analysis can, however, be made given certain assumptions and scenarios. The result is, in such cases, a consequence of the various assumptions and sce</w:t>
      </w:r>
      <w:r w:rsidR="00490719" w:rsidRPr="008E2A7B">
        <w:rPr>
          <w:lang w:val="en-GB"/>
        </w:rPr>
        <w:t>narios and not Svenska kraftnät’</w:t>
      </w:r>
      <w:r w:rsidRPr="008E2A7B">
        <w:rPr>
          <w:lang w:val="en-GB"/>
        </w:rPr>
        <w:t>s projections. The current network development plan from Svenska kraftnät extends to 2025. An updated plan will arr</w:t>
      </w:r>
      <w:r w:rsidR="00490719" w:rsidRPr="008E2A7B">
        <w:rPr>
          <w:lang w:val="en-GB"/>
        </w:rPr>
        <w:t>ive in November and will extend</w:t>
      </w:r>
      <w:r w:rsidRPr="008E2A7B">
        <w:rPr>
          <w:lang w:val="en-GB"/>
        </w:rPr>
        <w:t xml:space="preserve"> to 2027</w:t>
      </w:r>
      <w:r w:rsidRPr="004713CA">
        <w:rPr>
          <w:rStyle w:val="Fotnotsreferens"/>
          <w:color w:val="FF0000"/>
          <w:lang w:val="en-GB"/>
        </w:rPr>
        <w:footnoteReference w:id="47"/>
      </w:r>
      <w:r w:rsidRPr="008E2A7B">
        <w:rPr>
          <w:lang w:val="en-GB"/>
        </w:rPr>
        <w:t>.</w:t>
      </w:r>
    </w:p>
    <w:p w14:paraId="36F72529" w14:textId="77777777" w:rsidR="0044710E" w:rsidRPr="008E2A7B" w:rsidRDefault="0044710E" w:rsidP="0044710E">
      <w:pPr>
        <w:pStyle w:val="Brdtext"/>
        <w:contextualSpacing/>
        <w:rPr>
          <w:b/>
          <w:lang w:val="en-GB"/>
        </w:rPr>
      </w:pPr>
    </w:p>
    <w:p w14:paraId="42596FF5" w14:textId="1D0DB1A5" w:rsidR="0044710E" w:rsidRPr="008E2A7B" w:rsidRDefault="0044710E" w:rsidP="0044710E">
      <w:pPr>
        <w:pStyle w:val="Brdtext"/>
        <w:contextualSpacing/>
        <w:rPr>
          <w:b/>
          <w:lang w:val="en-GB"/>
        </w:rPr>
      </w:pPr>
      <w:r w:rsidRPr="008E2A7B">
        <w:rPr>
          <w:lang w:val="en-GB"/>
        </w:rPr>
        <w:t xml:space="preserve">There are two types of plans for networks expansion. </w:t>
      </w:r>
      <w:r w:rsidR="00490719" w:rsidRPr="008E2A7B">
        <w:rPr>
          <w:lang w:val="en-GB"/>
        </w:rPr>
        <w:t>The first o</w:t>
      </w:r>
      <w:r w:rsidRPr="008E2A7B">
        <w:rPr>
          <w:lang w:val="en-GB"/>
        </w:rPr>
        <w:t>ne is the National Network Development Plan, which extends 10 years ahead and is made every two years (odd). The second one is the European network development plan, TYNDP (Ten Year Network Development Plan), which is being developed within ENTSO-E every two years (even).</w:t>
      </w:r>
    </w:p>
    <w:p w14:paraId="7C28F094" w14:textId="77777777" w:rsidR="0044710E" w:rsidRPr="008E2A7B" w:rsidRDefault="0044710E" w:rsidP="0044710E">
      <w:pPr>
        <w:pStyle w:val="Brdtext"/>
        <w:contextualSpacing/>
        <w:rPr>
          <w:b/>
          <w:lang w:val="en-GB"/>
        </w:rPr>
      </w:pPr>
    </w:p>
    <w:p w14:paraId="49A25128" w14:textId="67CACB0B" w:rsidR="0044710E" w:rsidRPr="008E2A7B" w:rsidRDefault="0044710E" w:rsidP="0044710E">
      <w:pPr>
        <w:pStyle w:val="Brdtext"/>
        <w:contextualSpacing/>
        <w:rPr>
          <w:b/>
          <w:lang w:val="en-GB"/>
        </w:rPr>
      </w:pPr>
      <w:r w:rsidRPr="008E2A7B">
        <w:rPr>
          <w:lang w:val="en-GB"/>
        </w:rPr>
        <w:t>The national plan includes all national planned projects, while the ENTSO-E plan (TYNDP) indicates current and future networking projects of European interest and compiles the latest available information. It provides the basis for consultation with external stakeholders on the development of the European electricity grid. In addition, the plan is an important part of reporting the work on the integration of renewable energy required to achieve the EU's climate and energy goals. Network project of importance is listed in TYNDP 2016</w:t>
      </w:r>
      <w:r w:rsidR="003A68B3">
        <w:rPr>
          <w:rStyle w:val="Fotnotsreferens"/>
          <w:lang w:val="en-GB"/>
        </w:rPr>
        <w:footnoteReference w:id="48"/>
      </w:r>
      <w:r w:rsidR="003A68B3">
        <w:rPr>
          <w:lang w:val="en-GB"/>
        </w:rPr>
        <w:t>.</w:t>
      </w:r>
    </w:p>
    <w:p w14:paraId="73103AE1" w14:textId="77777777" w:rsidR="0044710E" w:rsidRPr="008E2A7B" w:rsidRDefault="0044710E" w:rsidP="0044710E">
      <w:pPr>
        <w:pStyle w:val="Brdtext"/>
        <w:contextualSpacing/>
        <w:rPr>
          <w:b/>
          <w:lang w:val="en-GB"/>
        </w:rPr>
      </w:pPr>
    </w:p>
    <w:p w14:paraId="50AFB14A" w14:textId="77777777" w:rsidR="0044710E" w:rsidRPr="008E2A7B" w:rsidRDefault="0044710E" w:rsidP="0044710E">
      <w:pPr>
        <w:pStyle w:val="Brdtext"/>
        <w:contextualSpacing/>
        <w:rPr>
          <w:b/>
          <w:lang w:val="en-GB"/>
        </w:rPr>
      </w:pPr>
      <w:r w:rsidRPr="008E2A7B">
        <w:rPr>
          <w:b/>
          <w:lang w:val="en-GB"/>
        </w:rPr>
        <w:t>Infrastructure for gas</w:t>
      </w:r>
    </w:p>
    <w:p w14:paraId="7F313EEB" w14:textId="77777777" w:rsidR="0044710E" w:rsidRPr="008E2A7B" w:rsidRDefault="0044710E" w:rsidP="0044710E">
      <w:pPr>
        <w:pStyle w:val="Brdtext"/>
        <w:contextualSpacing/>
        <w:rPr>
          <w:lang w:val="en-GB"/>
        </w:rPr>
      </w:pPr>
      <w:r w:rsidRPr="008E2A7B">
        <w:rPr>
          <w:lang w:val="en-GB"/>
        </w:rPr>
        <w:t xml:space="preserve">There are no projections for the development for the Swedish natural gas system at the present time. </w:t>
      </w:r>
    </w:p>
    <w:p w14:paraId="1F47B1D0" w14:textId="77777777" w:rsidR="0044710E" w:rsidRPr="008E2A7B" w:rsidRDefault="0044710E" w:rsidP="0044710E">
      <w:pPr>
        <w:pStyle w:val="Rubrik3"/>
        <w:rPr>
          <w:lang w:val="en-GB"/>
        </w:rPr>
      </w:pPr>
      <w:r w:rsidRPr="008E2A7B">
        <w:rPr>
          <w:lang w:val="en-GB"/>
        </w:rPr>
        <w:t>Electricity and gas markets, energy prices</w:t>
      </w:r>
    </w:p>
    <w:p w14:paraId="1C7D3688" w14:textId="77777777" w:rsidR="0044710E" w:rsidRPr="008E2A7B" w:rsidRDefault="0044710E" w:rsidP="0044710E">
      <w:pPr>
        <w:pStyle w:val="i-lista"/>
        <w:numPr>
          <w:ilvl w:val="1"/>
          <w:numId w:val="38"/>
        </w:numPr>
        <w:rPr>
          <w:i/>
          <w:lang w:val="en-GB"/>
        </w:rPr>
      </w:pPr>
      <w:r w:rsidRPr="008E2A7B">
        <w:rPr>
          <w:i/>
          <w:lang w:val="en-GB"/>
        </w:rPr>
        <w:t xml:space="preserve">Current situation of electricity and gas markets, including energy prices </w:t>
      </w:r>
    </w:p>
    <w:p w14:paraId="0AA1BB34" w14:textId="77777777" w:rsidR="0044710E" w:rsidRPr="008E2A7B" w:rsidRDefault="0044710E" w:rsidP="0044710E">
      <w:pPr>
        <w:pStyle w:val="Brdtext"/>
        <w:contextualSpacing/>
        <w:rPr>
          <w:b/>
          <w:lang w:val="en-GB"/>
        </w:rPr>
      </w:pPr>
      <w:r w:rsidRPr="008E2A7B">
        <w:rPr>
          <w:b/>
          <w:lang w:val="en-GB"/>
        </w:rPr>
        <w:t>Electricity market</w:t>
      </w:r>
    </w:p>
    <w:p w14:paraId="79976B6A" w14:textId="3D437B3D" w:rsidR="0044710E" w:rsidRPr="008E2A7B" w:rsidRDefault="0044710E" w:rsidP="0044710E">
      <w:pPr>
        <w:pStyle w:val="Brdtext"/>
        <w:contextualSpacing/>
        <w:rPr>
          <w:lang w:val="en-GB"/>
        </w:rPr>
      </w:pPr>
      <w:r w:rsidRPr="008E2A7B">
        <w:rPr>
          <w:lang w:val="en-GB"/>
        </w:rPr>
        <w:t xml:space="preserve">The electricity market is composed of a wholesale and a retail market. In the wholesale market, generators, retailers and other major electricity users are trading with electricity. Sweden's electricity market is linked to Denmark, Norway, Finland, Germany, Poland and Lithuania and </w:t>
      </w:r>
      <w:r w:rsidRPr="008E2A7B">
        <w:rPr>
          <w:lang w:val="en-GB"/>
        </w:rPr>
        <w:lastRenderedPageBreak/>
        <w:t>indirectly throughout Europe. The main marketplace for the wholesale market is the spot market at Nord Pool. It is a day-ahead market and today it is primarily an instrument for power compan</w:t>
      </w:r>
      <w:r w:rsidR="00490719" w:rsidRPr="008E2A7B">
        <w:rPr>
          <w:lang w:val="en-GB"/>
        </w:rPr>
        <w:t>ie</w:t>
      </w:r>
      <w:r w:rsidRPr="008E2A7B">
        <w:rPr>
          <w:lang w:val="en-GB"/>
        </w:rPr>
        <w:t>s</w:t>
      </w:r>
      <w:r w:rsidR="00490719" w:rsidRPr="008E2A7B">
        <w:rPr>
          <w:lang w:val="en-GB"/>
        </w:rPr>
        <w:t>’</w:t>
      </w:r>
      <w:r w:rsidRPr="008E2A7B">
        <w:rPr>
          <w:lang w:val="en-GB"/>
        </w:rPr>
        <w:t xml:space="preserve"> production planning for the next coming day. Trading takes place through an auction process which also includes transmission capacity in the power grid between the four different bidding zones.</w:t>
      </w:r>
    </w:p>
    <w:p w14:paraId="4100C42F" w14:textId="77777777" w:rsidR="0044710E" w:rsidRPr="008E2A7B" w:rsidRDefault="0044710E" w:rsidP="0044710E">
      <w:pPr>
        <w:pStyle w:val="Brdtext"/>
        <w:contextualSpacing/>
        <w:rPr>
          <w:lang w:val="en-GB"/>
        </w:rPr>
      </w:pPr>
    </w:p>
    <w:p w14:paraId="55731085" w14:textId="5FC08155" w:rsidR="0044710E" w:rsidRPr="008E2A7B" w:rsidRDefault="0044710E" w:rsidP="0044710E">
      <w:pPr>
        <w:pStyle w:val="Brdtext"/>
        <w:rPr>
          <w:lang w:val="en-GB"/>
        </w:rPr>
      </w:pPr>
      <w:r w:rsidRPr="008E2A7B">
        <w:rPr>
          <w:lang w:val="en-GB"/>
        </w:rPr>
        <w:t xml:space="preserve">The cost of electricity for an end user consists of electricity price, energy tax and VAT. In addition to the above costs, a number of retailers charge a fixed annual fee (not to </w:t>
      </w:r>
      <w:r w:rsidR="00490719" w:rsidRPr="008E2A7B">
        <w:rPr>
          <w:lang w:val="en-GB"/>
        </w:rPr>
        <w:t xml:space="preserve">be confused </w:t>
      </w:r>
      <w:r w:rsidRPr="008E2A7B">
        <w:rPr>
          <w:lang w:val="en-GB"/>
        </w:rPr>
        <w:t>with the so-called subscription fee on the network side). The annual fee usually varies between 100 and 500 SEK. All these costs are subject to VAT.</w:t>
      </w:r>
    </w:p>
    <w:p w14:paraId="3A4DA92A" w14:textId="14DA3979" w:rsidR="0044710E" w:rsidRPr="008E2A7B" w:rsidRDefault="00490719" w:rsidP="0044710E">
      <w:pPr>
        <w:pStyle w:val="Brdtext"/>
        <w:rPr>
          <w:lang w:val="en-GB"/>
        </w:rPr>
      </w:pPr>
      <w:r w:rsidRPr="008E2A7B">
        <w:rPr>
          <w:lang w:val="en-GB"/>
        </w:rPr>
        <w:t xml:space="preserve">As </w:t>
      </w:r>
      <w:r w:rsidR="0044710E" w:rsidRPr="008E2A7B">
        <w:rPr>
          <w:lang w:val="en-GB"/>
        </w:rPr>
        <w:t>described in section 3.1.2.</w:t>
      </w:r>
      <w:r w:rsidR="0044710E" w:rsidRPr="008E2A7B">
        <w:rPr>
          <w:i/>
          <w:lang w:val="en-GB"/>
        </w:rPr>
        <w:t>i</w:t>
      </w:r>
      <w:r w:rsidRPr="008E2A7B">
        <w:rPr>
          <w:lang w:val="en-GB"/>
        </w:rPr>
        <w:t>, e</w:t>
      </w:r>
      <w:r w:rsidR="0044710E" w:rsidRPr="008E2A7B">
        <w:rPr>
          <w:lang w:val="en-GB"/>
        </w:rPr>
        <w:t xml:space="preserve">lectricity retailers are obliged to purchase electricity certificates corresponding to a quota of their customers' consumption. For fixed electricity price agreements, the electricity certificate fee </w:t>
      </w:r>
      <w:r w:rsidRPr="008E2A7B">
        <w:rPr>
          <w:lang w:val="en-GB"/>
        </w:rPr>
        <w:t xml:space="preserve">is </w:t>
      </w:r>
      <w:r w:rsidR="0044710E" w:rsidRPr="008E2A7B">
        <w:rPr>
          <w:lang w:val="en-GB"/>
        </w:rPr>
        <w:t>included in the electricity price. For variable electricity price contracts, the electricity certificate fee is specified separately.</w:t>
      </w:r>
    </w:p>
    <w:p w14:paraId="505F8AD8" w14:textId="1480AB72" w:rsidR="0044710E" w:rsidRPr="008E2A7B" w:rsidRDefault="0044710E" w:rsidP="0044710E">
      <w:pPr>
        <w:pStyle w:val="Brdtext"/>
        <w:rPr>
          <w:lang w:val="en-GB"/>
        </w:rPr>
      </w:pPr>
      <w:r w:rsidRPr="008E2A7B">
        <w:rPr>
          <w:lang w:val="en-GB"/>
        </w:rPr>
        <w:t xml:space="preserve">The </w:t>
      </w:r>
      <w:r w:rsidR="006B0558" w:rsidRPr="008E2A7B">
        <w:rPr>
          <w:lang w:val="en-GB"/>
        </w:rPr>
        <w:fldChar w:fldCharType="begin"/>
      </w:r>
      <w:r w:rsidR="006B0558" w:rsidRPr="008E2A7B">
        <w:rPr>
          <w:lang w:val="en-GB"/>
        </w:rPr>
        <w:instrText xml:space="preserve"> REF _Ref496608063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22</w:t>
      </w:r>
      <w:r w:rsidR="006B0558" w:rsidRPr="008E2A7B">
        <w:rPr>
          <w:lang w:val="en-GB"/>
        </w:rPr>
        <w:fldChar w:fldCharType="end"/>
      </w:r>
      <w:r w:rsidRPr="008E2A7B">
        <w:rPr>
          <w:lang w:val="en-GB"/>
        </w:rPr>
        <w:t xml:space="preserve"> below is based on typical customers </w:t>
      </w:r>
      <w:r w:rsidR="00490719" w:rsidRPr="008E2A7B">
        <w:rPr>
          <w:lang w:val="en-GB"/>
        </w:rPr>
        <w:t xml:space="preserve">of </w:t>
      </w:r>
      <w:r w:rsidRPr="008E2A7B">
        <w:rPr>
          <w:lang w:val="en-GB"/>
        </w:rPr>
        <w:t>2</w:t>
      </w:r>
      <w:r w:rsidR="00490719" w:rsidRPr="008E2A7B">
        <w:rPr>
          <w:lang w:val="en-GB"/>
        </w:rPr>
        <w:t xml:space="preserve"> </w:t>
      </w:r>
      <w:r w:rsidRPr="008E2A7B">
        <w:rPr>
          <w:lang w:val="en-GB"/>
        </w:rPr>
        <w:t xml:space="preserve">000 and 20 000 kWh, with a variable electricity price for bidding zone 3. Prices are </w:t>
      </w:r>
      <w:r w:rsidR="00490719" w:rsidRPr="008E2A7B">
        <w:rPr>
          <w:lang w:val="en-GB"/>
        </w:rPr>
        <w:t xml:space="preserve">at </w:t>
      </w:r>
      <w:r w:rsidRPr="008E2A7B">
        <w:rPr>
          <w:lang w:val="en-GB"/>
        </w:rPr>
        <w:t>the 2017 price level and indicate the med</w:t>
      </w:r>
      <w:r w:rsidR="00490719" w:rsidRPr="008E2A7B">
        <w:rPr>
          <w:lang w:val="en-GB"/>
        </w:rPr>
        <w:t>ian. Electricity price include</w:t>
      </w:r>
      <w:r w:rsidRPr="008E2A7B">
        <w:rPr>
          <w:lang w:val="en-GB"/>
        </w:rPr>
        <w:t xml:space="preserve"> annual fee and possibly </w:t>
      </w:r>
      <w:r w:rsidR="00490719" w:rsidRPr="008E2A7B">
        <w:rPr>
          <w:lang w:val="en-GB"/>
        </w:rPr>
        <w:t>g</w:t>
      </w:r>
      <w:r w:rsidRPr="008E2A7B">
        <w:rPr>
          <w:lang w:val="en-GB"/>
        </w:rPr>
        <w:t>reen electricity surcharge. VAT and tax are excluded.</w:t>
      </w:r>
    </w:p>
    <w:p w14:paraId="7C5E7175" w14:textId="1E2AB2DD" w:rsidR="0044710E" w:rsidRPr="008E2A7B" w:rsidRDefault="0044710E" w:rsidP="0044710E">
      <w:pPr>
        <w:pStyle w:val="Beskrivning"/>
        <w:rPr>
          <w:lang w:val="en-GB"/>
        </w:rPr>
      </w:pPr>
      <w:bookmarkStart w:id="74" w:name="_Ref496608063"/>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22</w:t>
      </w:r>
      <w:r w:rsidRPr="008E2A7B">
        <w:rPr>
          <w:lang w:val="en-GB"/>
        </w:rPr>
        <w:fldChar w:fldCharType="end"/>
      </w:r>
      <w:bookmarkEnd w:id="74"/>
      <w:r w:rsidRPr="008E2A7B">
        <w:rPr>
          <w:lang w:val="en-GB"/>
        </w:rPr>
        <w:t xml:space="preserve"> Retail prices inclusive yearly fee, excl. VAT &amp; tax</w:t>
      </w:r>
    </w:p>
    <w:p w14:paraId="4E339269" w14:textId="77777777" w:rsidR="0044710E" w:rsidRPr="008E2A7B" w:rsidRDefault="0044710E" w:rsidP="0044710E">
      <w:pPr>
        <w:pStyle w:val="Brdtext"/>
        <w:rPr>
          <w:lang w:val="en-GB"/>
        </w:rPr>
      </w:pPr>
      <w:r w:rsidRPr="008E2A7B">
        <w:rPr>
          <w:noProof/>
          <w:lang w:val="en-GB"/>
        </w:rPr>
        <w:drawing>
          <wp:inline distT="0" distB="0" distL="0" distR="0" wp14:anchorId="4FD9723C" wp14:editId="6400569D">
            <wp:extent cx="4391660" cy="3251835"/>
            <wp:effectExtent l="0" t="0" r="8890" b="5715"/>
            <wp:docPr id="51" name="Diagram 51">
              <a:extLst xmlns:a="http://schemas.openxmlformats.org/drawingml/2006/main">
                <a:ext uri="{FF2B5EF4-FFF2-40B4-BE49-F238E27FC236}">
                  <a16:creationId xmlns:a16="http://schemas.microsoft.com/office/drawing/2014/main" id="{7A18A42E-A865-4010-8ADE-F006EAFD15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B849831" w14:textId="77777777" w:rsidR="0044710E" w:rsidRPr="008E2A7B" w:rsidRDefault="0044710E" w:rsidP="0044710E">
      <w:pPr>
        <w:pStyle w:val="Brdtext"/>
        <w:rPr>
          <w:lang w:val="en-GB"/>
        </w:rPr>
      </w:pPr>
      <w:r w:rsidRPr="008E2A7B">
        <w:rPr>
          <w:lang w:val="en-GB"/>
        </w:rPr>
        <w:t>The costs of the electricity grid consist of a fixed cost, subscription fee and a variable cost (transfer fee). VAT is payable on the fixed subscription fee and on the variable transfer fee.</w:t>
      </w:r>
    </w:p>
    <w:p w14:paraId="18CF65AC" w14:textId="07B75CE0" w:rsidR="0044710E" w:rsidRPr="008E2A7B" w:rsidRDefault="0044710E" w:rsidP="0044710E">
      <w:pPr>
        <w:pStyle w:val="Brdtext"/>
        <w:rPr>
          <w:lang w:val="en-GB"/>
        </w:rPr>
      </w:pPr>
      <w:r w:rsidRPr="008E2A7B">
        <w:rPr>
          <w:lang w:val="en-GB"/>
        </w:rPr>
        <w:lastRenderedPageBreak/>
        <w:t xml:space="preserve">The costs for the three most common household customers for network charges are shown in </w:t>
      </w:r>
      <w:r w:rsidR="006B0558" w:rsidRPr="008E2A7B">
        <w:rPr>
          <w:lang w:val="en-GB"/>
        </w:rPr>
        <w:fldChar w:fldCharType="begin"/>
      </w:r>
      <w:r w:rsidR="006B0558" w:rsidRPr="008E2A7B">
        <w:rPr>
          <w:lang w:val="en-GB"/>
        </w:rPr>
        <w:instrText xml:space="preserve"> REF _Ref496608209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23</w:t>
      </w:r>
      <w:r w:rsidR="006B0558" w:rsidRPr="008E2A7B">
        <w:rPr>
          <w:lang w:val="en-GB"/>
        </w:rPr>
        <w:fldChar w:fldCharType="end"/>
      </w:r>
      <w:r w:rsidRPr="008E2A7B">
        <w:rPr>
          <w:lang w:val="en-GB"/>
        </w:rPr>
        <w:t xml:space="preserve"> below.</w:t>
      </w:r>
    </w:p>
    <w:p w14:paraId="677C311A" w14:textId="212F5830" w:rsidR="0044710E" w:rsidRPr="008E2A7B" w:rsidRDefault="0044710E" w:rsidP="0044710E">
      <w:pPr>
        <w:pStyle w:val="Beskrivning"/>
        <w:rPr>
          <w:lang w:val="en-GB"/>
        </w:rPr>
      </w:pPr>
      <w:bookmarkStart w:id="75" w:name="_Ref496608209"/>
      <w:r w:rsidRPr="008E2A7B">
        <w:rPr>
          <w:lang w:val="en-GB"/>
        </w:rPr>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23</w:t>
      </w:r>
      <w:r w:rsidRPr="008E2A7B">
        <w:rPr>
          <w:lang w:val="en-GB"/>
        </w:rPr>
        <w:fldChar w:fldCharType="end"/>
      </w:r>
      <w:bookmarkEnd w:id="75"/>
      <w:r w:rsidRPr="008E2A7B">
        <w:rPr>
          <w:lang w:val="en-GB"/>
        </w:rPr>
        <w:t xml:space="preserve"> Tariff reports household customers 2014-2017</w:t>
      </w:r>
    </w:p>
    <w:p w14:paraId="34D790D1" w14:textId="49078A72" w:rsidR="0044710E" w:rsidRPr="003A68B3" w:rsidRDefault="0044710E" w:rsidP="003A68B3">
      <w:pPr>
        <w:pStyle w:val="Beskrivning"/>
        <w:rPr>
          <w:lang w:val="en-GB"/>
        </w:rPr>
      </w:pPr>
      <w:r w:rsidRPr="008E2A7B">
        <w:rPr>
          <w:noProof/>
          <w:lang w:val="en-GB"/>
        </w:rPr>
        <w:drawing>
          <wp:inline distT="0" distB="0" distL="0" distR="0" wp14:anchorId="7C07B7AC" wp14:editId="4F1E3E3D">
            <wp:extent cx="4391660" cy="2631440"/>
            <wp:effectExtent l="0" t="0" r="8890" b="16510"/>
            <wp:docPr id="53" name="Diagram 53">
              <a:extLst xmlns:a="http://schemas.openxmlformats.org/drawingml/2006/main">
                <a:ext uri="{FF2B5EF4-FFF2-40B4-BE49-F238E27FC236}">
                  <a16:creationId xmlns:a16="http://schemas.microsoft.com/office/drawing/2014/main" id="{0B0B8BF0-2969-486A-B20E-9B640BEBF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CDB7AB7" w14:textId="77777777" w:rsidR="0044710E" w:rsidRPr="008E2A7B" w:rsidRDefault="0044710E" w:rsidP="0044710E">
      <w:pPr>
        <w:pStyle w:val="Brdtext"/>
        <w:contextualSpacing/>
        <w:rPr>
          <w:b/>
          <w:lang w:val="en-GB"/>
        </w:rPr>
      </w:pPr>
    </w:p>
    <w:p w14:paraId="1AFFA1B0" w14:textId="77777777" w:rsidR="0044710E" w:rsidRPr="008E2A7B" w:rsidRDefault="0044710E" w:rsidP="0044710E">
      <w:pPr>
        <w:pStyle w:val="Brdtext"/>
        <w:contextualSpacing/>
        <w:rPr>
          <w:b/>
          <w:lang w:val="en-GB"/>
        </w:rPr>
      </w:pPr>
      <w:r w:rsidRPr="008E2A7B">
        <w:rPr>
          <w:b/>
          <w:lang w:val="en-GB"/>
        </w:rPr>
        <w:t>Gas market</w:t>
      </w:r>
    </w:p>
    <w:p w14:paraId="5BEAA34B" w14:textId="1594A186" w:rsidR="0044710E" w:rsidRPr="008E2A7B" w:rsidRDefault="0044710E" w:rsidP="00490719">
      <w:pPr>
        <w:pStyle w:val="Brdtext"/>
        <w:rPr>
          <w:lang w:val="en-GB"/>
        </w:rPr>
      </w:pPr>
      <w:r w:rsidRPr="008E2A7B">
        <w:rPr>
          <w:lang w:val="en-GB"/>
        </w:rPr>
        <w:t xml:space="preserve">Sweden does not produce any natural gas (except small-scale biogas). The natural gas consumed in Sweden comes mainly from the Danish gas fields in the North Sea through the connection from Dragör. Due to the Swedish network's design, the Swedish natural gas market is closely linked to the Danish. The balancing actors in the Swedish natural gas system are also active in the Danish gas market, especially Gaspoint Nordic, which since 24 November 2016 is part of the pan-European gas pump PEGAS. Therefore, competition, price development and transparency depend largely on the development </w:t>
      </w:r>
      <w:r w:rsidR="00490719" w:rsidRPr="008E2A7B">
        <w:rPr>
          <w:lang w:val="en-GB"/>
        </w:rPr>
        <w:t>in</w:t>
      </w:r>
      <w:r w:rsidRPr="008E2A7B">
        <w:rPr>
          <w:lang w:val="en-GB"/>
        </w:rPr>
        <w:t xml:space="preserve"> Denmark.</w:t>
      </w:r>
    </w:p>
    <w:p w14:paraId="53876397" w14:textId="77777777" w:rsidR="0044710E" w:rsidRPr="008E2A7B" w:rsidRDefault="0044710E" w:rsidP="00490719">
      <w:pPr>
        <w:pStyle w:val="Brdtext"/>
        <w:rPr>
          <w:lang w:val="en-GB"/>
        </w:rPr>
      </w:pPr>
      <w:r w:rsidRPr="008E2A7B">
        <w:rPr>
          <w:lang w:val="en-GB"/>
        </w:rPr>
        <w:t>All trading on Gaspoint Nordic/PEGAS takes place with physical delivery and the operators must have an agreement with the Danish transmission network operator Energinet.dk. At Gaspoint Nordic/PEGAS, an operator can trade gas for delivery during the day, the day before, before the weekend and next month. Energinet.dk uses Gaspoint Nordics/PEGAS intraday trading to manage the balance of the Danish natural gas network.</w:t>
      </w:r>
    </w:p>
    <w:p w14:paraId="0C046E8D" w14:textId="4948573C" w:rsidR="0044710E" w:rsidRPr="008E2A7B" w:rsidRDefault="0044710E" w:rsidP="00490719">
      <w:pPr>
        <w:pStyle w:val="Brdtext"/>
        <w:rPr>
          <w:lang w:val="en-GB"/>
        </w:rPr>
      </w:pPr>
      <w:r w:rsidRPr="008E2A7B">
        <w:rPr>
          <w:lang w:val="en-GB"/>
        </w:rPr>
        <w:t xml:space="preserve">The price of Gaspoint Nordic/PEGAS is based on supply and demand and is also the basis for the so-called balance base price used by Energinet.dk to settle imbalances between players. The price for the last three months is presented in </w:t>
      </w:r>
      <w:r w:rsidR="006B0558" w:rsidRPr="008E2A7B">
        <w:rPr>
          <w:lang w:val="en-GB"/>
        </w:rPr>
        <w:fldChar w:fldCharType="begin"/>
      </w:r>
      <w:r w:rsidR="006B0558" w:rsidRPr="008E2A7B">
        <w:rPr>
          <w:lang w:val="en-GB"/>
        </w:rPr>
        <w:instrText xml:space="preserve"> REF _Ref496620025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24</w:t>
      </w:r>
      <w:r w:rsidR="006B0558" w:rsidRPr="008E2A7B">
        <w:rPr>
          <w:lang w:val="en-GB"/>
        </w:rPr>
        <w:fldChar w:fldCharType="end"/>
      </w:r>
      <w:r w:rsidRPr="008E2A7B">
        <w:rPr>
          <w:lang w:val="en-GB"/>
        </w:rPr>
        <w:t>.</w:t>
      </w:r>
    </w:p>
    <w:p w14:paraId="53036596" w14:textId="77777777" w:rsidR="005B18A3" w:rsidRDefault="005B18A3" w:rsidP="0044710E">
      <w:pPr>
        <w:pStyle w:val="Beskrivning"/>
        <w:rPr>
          <w:lang w:val="en-GB"/>
        </w:rPr>
      </w:pPr>
      <w:bookmarkStart w:id="76" w:name="_Ref496620025"/>
    </w:p>
    <w:p w14:paraId="40E17132" w14:textId="77777777" w:rsidR="005B18A3" w:rsidRDefault="005B18A3" w:rsidP="005B18A3">
      <w:pPr>
        <w:pStyle w:val="Brdtext"/>
        <w:rPr>
          <w:sz w:val="20"/>
          <w:szCs w:val="18"/>
        </w:rPr>
      </w:pPr>
      <w:r>
        <w:br w:type="page"/>
      </w:r>
    </w:p>
    <w:p w14:paraId="2111D0C5" w14:textId="445D0DA6" w:rsidR="0044710E" w:rsidRDefault="0044710E" w:rsidP="0044710E">
      <w:pPr>
        <w:pStyle w:val="Beskrivning"/>
        <w:rPr>
          <w:spacing w:val="5"/>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24</w:t>
      </w:r>
      <w:r w:rsidRPr="008E2A7B">
        <w:rPr>
          <w:lang w:val="en-GB"/>
        </w:rPr>
        <w:fldChar w:fldCharType="end"/>
      </w:r>
      <w:bookmarkEnd w:id="76"/>
      <w:r w:rsidRPr="008E2A7B">
        <w:rPr>
          <w:lang w:val="en-GB"/>
        </w:rPr>
        <w:t xml:space="preserve"> </w:t>
      </w:r>
      <w:r w:rsidRPr="003A68B3">
        <w:rPr>
          <w:spacing w:val="5"/>
          <w:szCs w:val="20"/>
          <w:lang w:val="en-GB"/>
        </w:rPr>
        <w:t>Gaspoint Nordic Spot Index (EUR/MWh)</w:t>
      </w:r>
    </w:p>
    <w:p w14:paraId="380DBD53" w14:textId="088727DF" w:rsidR="005B18A3" w:rsidRPr="005B18A3" w:rsidRDefault="005B18A3" w:rsidP="005B18A3">
      <w:pPr>
        <w:pStyle w:val="Brdtext"/>
        <w:rPr>
          <w:lang w:val="en-GB"/>
        </w:rPr>
      </w:pPr>
      <w:r>
        <w:rPr>
          <w:noProof/>
        </w:rPr>
        <w:drawing>
          <wp:inline distT="0" distB="0" distL="0" distR="0" wp14:anchorId="44115A0C" wp14:editId="05FC854E">
            <wp:extent cx="4391660" cy="2635250"/>
            <wp:effectExtent l="0" t="0" r="8890" b="12700"/>
            <wp:docPr id="62" name="Diagram 62">
              <a:extLst xmlns:a="http://schemas.openxmlformats.org/drawingml/2006/main">
                <a:ext uri="{FF2B5EF4-FFF2-40B4-BE49-F238E27FC236}">
                  <a16:creationId xmlns:a16="http://schemas.microsoft.com/office/drawing/2014/main" id="{DBCCB121-4046-4FE5-A069-3B0D1C2A7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382DC39" w14:textId="77777777" w:rsidR="0044710E" w:rsidRPr="008E2A7B" w:rsidRDefault="0044710E" w:rsidP="0044710E">
      <w:pPr>
        <w:pStyle w:val="i-lista"/>
        <w:numPr>
          <w:ilvl w:val="1"/>
          <w:numId w:val="38"/>
        </w:numPr>
        <w:rPr>
          <w:i/>
          <w:lang w:val="en-GB"/>
        </w:rPr>
      </w:pPr>
      <w:r w:rsidRPr="008E2A7B">
        <w:rPr>
          <w:i/>
          <w:lang w:val="en-GB"/>
        </w:rPr>
        <w:t>Projections of development with existing policies and measures at least until 2040 (including for the year 2030)</w:t>
      </w:r>
    </w:p>
    <w:p w14:paraId="0E475B90" w14:textId="77777777" w:rsidR="0044710E" w:rsidRPr="008E2A7B" w:rsidRDefault="0044710E" w:rsidP="0044710E">
      <w:pPr>
        <w:pStyle w:val="Brdtext"/>
        <w:rPr>
          <w:lang w:val="en-GB"/>
        </w:rPr>
      </w:pPr>
      <w:r w:rsidRPr="008E2A7B">
        <w:rPr>
          <w:lang w:val="en-GB"/>
        </w:rPr>
        <w:t>Swedish energy policy is to secure the supply of electricity and other energy on competitive terms in the short and long term. In terms of energy prices in the electricity market, the development is fully market-driven. For price developments, there are no political strategies other than to secure a well-functioning market.</w:t>
      </w:r>
    </w:p>
    <w:p w14:paraId="62906985" w14:textId="3C7C8447" w:rsidR="0044710E" w:rsidRPr="008E2A7B" w:rsidRDefault="0044710E" w:rsidP="0044710E">
      <w:pPr>
        <w:pStyle w:val="Brdtext"/>
        <w:rPr>
          <w:lang w:val="en-GB"/>
        </w:rPr>
      </w:pPr>
      <w:r w:rsidRPr="008E2A7B">
        <w:rPr>
          <w:lang w:val="en-GB"/>
        </w:rPr>
        <w:t xml:space="preserve">There are no projections for the electricity price. However, two different levels of electricity prices have been used in the scenarios (reference and low-price scenario) which are presented in </w:t>
      </w:r>
      <w:r w:rsidR="006B0558" w:rsidRPr="008E2A7B">
        <w:rPr>
          <w:lang w:val="en-GB"/>
        </w:rPr>
        <w:fldChar w:fldCharType="begin"/>
      </w:r>
      <w:r w:rsidR="006B0558" w:rsidRPr="008E2A7B">
        <w:rPr>
          <w:lang w:val="en-GB"/>
        </w:rPr>
        <w:instrText xml:space="preserve"> REF _Ref496618739 \h </w:instrText>
      </w:r>
      <w:r w:rsidR="006B0558" w:rsidRPr="008E2A7B">
        <w:rPr>
          <w:lang w:val="en-GB"/>
        </w:rPr>
      </w:r>
      <w:r w:rsidR="006B0558" w:rsidRPr="008E2A7B">
        <w:rPr>
          <w:lang w:val="en-GB"/>
        </w:rPr>
        <w:fldChar w:fldCharType="separate"/>
      </w:r>
      <w:r w:rsidR="006B0558" w:rsidRPr="008E2A7B">
        <w:rPr>
          <w:lang w:val="en-GB"/>
        </w:rPr>
        <w:t xml:space="preserve">Figure </w:t>
      </w:r>
      <w:r w:rsidR="006B0558" w:rsidRPr="008E2A7B">
        <w:rPr>
          <w:noProof/>
          <w:lang w:val="en-GB"/>
        </w:rPr>
        <w:t>25</w:t>
      </w:r>
      <w:r w:rsidR="006B0558" w:rsidRPr="008E2A7B">
        <w:rPr>
          <w:lang w:val="en-GB"/>
        </w:rPr>
        <w:fldChar w:fldCharType="end"/>
      </w:r>
      <w:r w:rsidRPr="008E2A7B">
        <w:rPr>
          <w:lang w:val="en-GB"/>
        </w:rPr>
        <w:t xml:space="preserve"> below. </w:t>
      </w:r>
    </w:p>
    <w:p w14:paraId="3D6EF376" w14:textId="77777777" w:rsidR="003A68B3" w:rsidRDefault="003A68B3">
      <w:pPr>
        <w:spacing w:after="160" w:line="0" w:lineRule="auto"/>
        <w:rPr>
          <w:b/>
          <w:iCs/>
          <w:sz w:val="20"/>
          <w:szCs w:val="18"/>
          <w:lang w:val="en-GB"/>
        </w:rPr>
      </w:pPr>
      <w:bookmarkStart w:id="77" w:name="_Ref496618739"/>
      <w:r>
        <w:rPr>
          <w:lang w:val="en-GB"/>
        </w:rPr>
        <w:br w:type="page"/>
      </w:r>
    </w:p>
    <w:p w14:paraId="592CF4B9" w14:textId="70EEA99E" w:rsidR="0044710E" w:rsidRPr="008E2A7B" w:rsidRDefault="0044710E" w:rsidP="0044710E">
      <w:pPr>
        <w:pStyle w:val="Beskrivning"/>
        <w:rPr>
          <w:szCs w:val="20"/>
          <w:lang w:val="en-GB"/>
        </w:rPr>
      </w:pPr>
      <w:r w:rsidRPr="008E2A7B">
        <w:rPr>
          <w:lang w:val="en-GB"/>
        </w:rPr>
        <w:lastRenderedPageBreak/>
        <w:t xml:space="preserve">Figure </w:t>
      </w:r>
      <w:r w:rsidRPr="008E2A7B">
        <w:rPr>
          <w:lang w:val="en-GB"/>
        </w:rPr>
        <w:fldChar w:fldCharType="begin"/>
      </w:r>
      <w:r w:rsidRPr="008E2A7B">
        <w:rPr>
          <w:lang w:val="en-GB"/>
        </w:rPr>
        <w:instrText xml:space="preserve"> SEQ Figure \* ARABIC </w:instrText>
      </w:r>
      <w:r w:rsidRPr="008E2A7B">
        <w:rPr>
          <w:lang w:val="en-GB"/>
        </w:rPr>
        <w:fldChar w:fldCharType="separate"/>
      </w:r>
      <w:r w:rsidR="00524177">
        <w:rPr>
          <w:noProof/>
          <w:lang w:val="en-GB"/>
        </w:rPr>
        <w:t>25</w:t>
      </w:r>
      <w:r w:rsidRPr="008E2A7B">
        <w:rPr>
          <w:lang w:val="en-GB"/>
        </w:rPr>
        <w:fldChar w:fldCharType="end"/>
      </w:r>
      <w:bookmarkEnd w:id="77"/>
      <w:r w:rsidRPr="008E2A7B">
        <w:rPr>
          <w:szCs w:val="20"/>
          <w:lang w:val="en-GB"/>
        </w:rPr>
        <w:t xml:space="preserve"> System price of electricity in bidding zone 3, 2000-2016, and in performed scenarios until 2050, SEK/MWh (nominal prices)</w:t>
      </w:r>
    </w:p>
    <w:p w14:paraId="2CB53C25" w14:textId="77777777" w:rsidR="0044710E" w:rsidRPr="008E2A7B" w:rsidRDefault="0044710E" w:rsidP="0044710E">
      <w:pPr>
        <w:pStyle w:val="Brdtext"/>
        <w:rPr>
          <w:lang w:val="en-GB"/>
        </w:rPr>
      </w:pPr>
      <w:r w:rsidRPr="008E2A7B">
        <w:rPr>
          <w:noProof/>
          <w:lang w:val="en-GB"/>
        </w:rPr>
        <w:drawing>
          <wp:inline distT="0" distB="0" distL="0" distR="0" wp14:anchorId="3FB6049A" wp14:editId="1E6E4B24">
            <wp:extent cx="4597400" cy="3219450"/>
            <wp:effectExtent l="0" t="0" r="0" b="0"/>
            <wp:docPr id="49" name="Diagram 49">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FD1103D" w14:textId="77777777" w:rsidR="0044710E" w:rsidRPr="008E2A7B" w:rsidRDefault="0044710E" w:rsidP="0044710E">
      <w:pPr>
        <w:pStyle w:val="Brdtext"/>
        <w:rPr>
          <w:lang w:val="en-GB"/>
        </w:rPr>
      </w:pPr>
    </w:p>
    <w:p w14:paraId="5268C1DC" w14:textId="77998065" w:rsidR="0044710E" w:rsidRPr="008E2A7B" w:rsidRDefault="00847808" w:rsidP="0044710E">
      <w:pPr>
        <w:pStyle w:val="Brdtext"/>
        <w:rPr>
          <w:lang w:val="en-GB"/>
        </w:rPr>
      </w:pPr>
      <w:r w:rsidRPr="008E2A7B">
        <w:rPr>
          <w:lang w:val="en-GB"/>
        </w:rPr>
        <w:t>P</w:t>
      </w:r>
      <w:r w:rsidR="0044710E" w:rsidRPr="008E2A7B">
        <w:rPr>
          <w:lang w:val="en-GB"/>
        </w:rPr>
        <w:t>rojections for the gas price</w:t>
      </w:r>
      <w:r w:rsidRPr="008E2A7B">
        <w:rPr>
          <w:lang w:val="en-GB"/>
        </w:rPr>
        <w:t xml:space="preserve">, as given by the Commission, are </w:t>
      </w:r>
      <w:r w:rsidR="0044710E" w:rsidRPr="008E2A7B">
        <w:rPr>
          <w:lang w:val="en-GB"/>
        </w:rPr>
        <w:t>presented in 4.1</w:t>
      </w:r>
      <w:r w:rsidR="0044710E" w:rsidRPr="008E2A7B">
        <w:rPr>
          <w:i/>
          <w:lang w:val="en-GB"/>
        </w:rPr>
        <w:t>iii</w:t>
      </w:r>
      <w:r w:rsidR="0044710E" w:rsidRPr="008E2A7B">
        <w:rPr>
          <w:lang w:val="en-GB"/>
        </w:rPr>
        <w:t xml:space="preserve">. </w:t>
      </w:r>
    </w:p>
    <w:p w14:paraId="17E1FCA0" w14:textId="77777777" w:rsidR="0044710E" w:rsidRPr="008E2A7B" w:rsidRDefault="0044710E" w:rsidP="0044710E">
      <w:pPr>
        <w:pStyle w:val="Brdtext"/>
        <w:rPr>
          <w:lang w:val="en-GB"/>
        </w:rPr>
      </w:pPr>
    </w:p>
    <w:p w14:paraId="53A54896" w14:textId="77777777" w:rsidR="0044710E" w:rsidRPr="008E2A7B" w:rsidRDefault="0044710E" w:rsidP="0044710E">
      <w:pPr>
        <w:pStyle w:val="Rubrik2"/>
        <w:rPr>
          <w:lang w:val="en-GB"/>
        </w:rPr>
      </w:pPr>
      <w:bookmarkStart w:id="78" w:name="_Toc499285559"/>
      <w:r w:rsidRPr="008E2A7B">
        <w:rPr>
          <w:lang w:val="en-GB"/>
        </w:rPr>
        <w:t>Dimension Research, innovation and competitiveness</w:t>
      </w:r>
      <w:bookmarkEnd w:id="78"/>
    </w:p>
    <w:p w14:paraId="06DE80C1" w14:textId="77777777" w:rsidR="0044710E" w:rsidRPr="008E2A7B" w:rsidRDefault="0044710E" w:rsidP="0044710E">
      <w:pPr>
        <w:pStyle w:val="i-lista"/>
        <w:numPr>
          <w:ilvl w:val="1"/>
          <w:numId w:val="39"/>
        </w:numPr>
        <w:rPr>
          <w:i/>
          <w:lang w:val="en-GB"/>
        </w:rPr>
      </w:pPr>
      <w:r w:rsidRPr="008E2A7B">
        <w:rPr>
          <w:i/>
          <w:lang w:val="en-GB"/>
        </w:rPr>
        <w:t xml:space="preserve">Current situation of the low-carbon-technologies sector and its position on the global market </w:t>
      </w:r>
    </w:p>
    <w:p w14:paraId="20FE32EC" w14:textId="77777777" w:rsidR="0044710E" w:rsidRPr="008E2A7B" w:rsidRDefault="0044710E" w:rsidP="0044710E">
      <w:pPr>
        <w:pStyle w:val="Brdtext"/>
        <w:rPr>
          <w:lang w:val="en-GB"/>
        </w:rPr>
      </w:pPr>
      <w:r w:rsidRPr="008E2A7B">
        <w:rPr>
          <w:rFonts w:ascii="TimesNewRomanPSMT" w:hAnsi="TimesNewRomanPSMT" w:cs="TimesNewRomanPSMT"/>
          <w:szCs w:val="24"/>
          <w:lang w:val="en-GB"/>
        </w:rPr>
        <w:t xml:space="preserve">Sweden is prominent in several areas of research and innovation and the area of low carbon technologies and internationally in the forefront in the areas exemplified below. </w:t>
      </w:r>
    </w:p>
    <w:p w14:paraId="52F45429" w14:textId="77777777" w:rsidR="0044710E" w:rsidRPr="008E2A7B" w:rsidRDefault="0044710E" w:rsidP="0044710E">
      <w:pPr>
        <w:pStyle w:val="Brdtext"/>
        <w:contextualSpacing/>
        <w:rPr>
          <w:b/>
          <w:lang w:val="en-GB"/>
        </w:rPr>
      </w:pPr>
      <w:r w:rsidRPr="008E2A7B">
        <w:rPr>
          <w:b/>
          <w:lang w:val="en-GB"/>
        </w:rPr>
        <w:t xml:space="preserve">Research and innovation </w:t>
      </w:r>
    </w:p>
    <w:p w14:paraId="024D8D3A" w14:textId="77777777" w:rsidR="0044710E" w:rsidRPr="008E2A7B" w:rsidRDefault="0044710E" w:rsidP="0044710E">
      <w:pPr>
        <w:pStyle w:val="Brdtext"/>
        <w:contextualSpacing/>
        <w:rPr>
          <w:b/>
          <w:lang w:val="en-GB"/>
        </w:rPr>
      </w:pPr>
    </w:p>
    <w:p w14:paraId="742FA5DC" w14:textId="77777777" w:rsidR="0044710E" w:rsidRPr="008E2A7B" w:rsidRDefault="0044710E" w:rsidP="0044710E">
      <w:pPr>
        <w:pStyle w:val="Brdtext"/>
        <w:numPr>
          <w:ilvl w:val="0"/>
          <w:numId w:val="44"/>
        </w:numPr>
        <w:spacing w:after="160" w:line="280" w:lineRule="atLeast"/>
        <w:contextualSpacing/>
        <w:rPr>
          <w:lang w:val="en-GB"/>
        </w:rPr>
      </w:pPr>
      <w:r w:rsidRPr="008E2A7B">
        <w:rPr>
          <w:lang w:val="en-GB"/>
        </w:rPr>
        <w:t>Carbon dioxide efficient biofuels and energy transition</w:t>
      </w:r>
    </w:p>
    <w:p w14:paraId="62FAE72D" w14:textId="77777777" w:rsidR="0044710E" w:rsidRPr="008E2A7B" w:rsidRDefault="0044710E" w:rsidP="0044710E">
      <w:pPr>
        <w:pStyle w:val="Brdtext"/>
        <w:rPr>
          <w:lang w:val="en-GB"/>
        </w:rPr>
      </w:pPr>
      <w:r w:rsidRPr="008E2A7B">
        <w:rPr>
          <w:lang w:val="en-GB"/>
        </w:rPr>
        <w:t xml:space="preserve">Sweden is internationally leading in biofuels and waste based combined heat and power production. Research has played an important part in the development of efficient and environmentally friendly biofuel and waste based heat and power plants. </w:t>
      </w:r>
    </w:p>
    <w:p w14:paraId="4E839CA9" w14:textId="77777777" w:rsidR="0044710E" w:rsidRPr="008E2A7B" w:rsidRDefault="0044710E" w:rsidP="004F61CE">
      <w:pPr>
        <w:pStyle w:val="Brdtext"/>
        <w:numPr>
          <w:ilvl w:val="0"/>
          <w:numId w:val="43"/>
        </w:numPr>
        <w:spacing w:after="160" w:line="280" w:lineRule="atLeast"/>
        <w:contextualSpacing/>
        <w:rPr>
          <w:lang w:val="en-GB"/>
        </w:rPr>
      </w:pPr>
      <w:r w:rsidRPr="008E2A7B">
        <w:rPr>
          <w:lang w:val="en-GB"/>
        </w:rPr>
        <w:t>Forestry and bioenergy</w:t>
      </w:r>
    </w:p>
    <w:p w14:paraId="2A1DEE24" w14:textId="69A60106" w:rsidR="0044710E" w:rsidRPr="008E2A7B" w:rsidRDefault="0044710E" w:rsidP="004F61CE">
      <w:pPr>
        <w:pStyle w:val="Brdtext"/>
        <w:contextualSpacing/>
        <w:rPr>
          <w:lang w:val="en-GB"/>
        </w:rPr>
      </w:pPr>
      <w:r w:rsidRPr="008E2A7B">
        <w:rPr>
          <w:lang w:val="en-GB"/>
        </w:rPr>
        <w:t xml:space="preserve">Forest carbon sequestration and the efficient use of bioenergy resources is a strong research area in Sweden. The project </w:t>
      </w:r>
      <w:r w:rsidRPr="008E2A7B">
        <w:rPr>
          <w:i/>
          <w:lang w:val="en-GB"/>
        </w:rPr>
        <w:t xml:space="preserve">Cost effective and </w:t>
      </w:r>
      <w:r w:rsidRPr="008E2A7B">
        <w:rPr>
          <w:i/>
          <w:lang w:val="en-GB"/>
        </w:rPr>
        <w:lastRenderedPageBreak/>
        <w:t>sustainable primary harvest of forest fuel</w:t>
      </w:r>
      <w:r w:rsidRPr="008E2A7B">
        <w:rPr>
          <w:lang w:val="en-GB"/>
        </w:rPr>
        <w:t xml:space="preserve"> aims at improving the cost efficiency in 1) harvesting of small trees 2) forwarding of forest biomass, and 3) biomass storage at landing.</w:t>
      </w:r>
    </w:p>
    <w:p w14:paraId="2082415C" w14:textId="77777777" w:rsidR="004F61CE" w:rsidRPr="008E2A7B" w:rsidRDefault="004F61CE" w:rsidP="004F61CE">
      <w:pPr>
        <w:pStyle w:val="Brdtext"/>
        <w:contextualSpacing/>
        <w:rPr>
          <w:lang w:val="en-GB"/>
        </w:rPr>
      </w:pPr>
    </w:p>
    <w:p w14:paraId="5945A063" w14:textId="77777777" w:rsidR="0044710E" w:rsidRPr="008E2A7B" w:rsidRDefault="0044710E" w:rsidP="004F61CE">
      <w:pPr>
        <w:pStyle w:val="Brdtext"/>
        <w:numPr>
          <w:ilvl w:val="0"/>
          <w:numId w:val="43"/>
        </w:numPr>
        <w:spacing w:after="160" w:line="280" w:lineRule="atLeast"/>
        <w:contextualSpacing/>
        <w:rPr>
          <w:lang w:val="en-GB"/>
        </w:rPr>
      </w:pPr>
      <w:r w:rsidRPr="008E2A7B">
        <w:rPr>
          <w:lang w:val="en-GB"/>
        </w:rPr>
        <w:t>Resource optimization, energy efficiency and carbon neutrality in industry</w:t>
      </w:r>
    </w:p>
    <w:p w14:paraId="5F26D07A" w14:textId="50A26DDA" w:rsidR="0044710E" w:rsidRPr="008E2A7B" w:rsidRDefault="0044710E" w:rsidP="004F61CE">
      <w:pPr>
        <w:pStyle w:val="Brdtext"/>
        <w:contextualSpacing/>
        <w:rPr>
          <w:lang w:val="en-GB"/>
        </w:rPr>
      </w:pPr>
      <w:r w:rsidRPr="008E2A7B">
        <w:rPr>
          <w:lang w:val="en-GB"/>
        </w:rPr>
        <w:t xml:space="preserve">Sweden is at the forefront of research making parts of energy intensive industry more energy and resource efficient and ultimately free of carbon dioxide emissions. Through HYBRIT (HYdrogen BReakthrough Ironmaking Technology) research that could deliver a breakthrough is ongoing for a fossil-free production of steel from iron ore in Sweden. </w:t>
      </w:r>
    </w:p>
    <w:p w14:paraId="025D17BF" w14:textId="77777777" w:rsidR="004F61CE" w:rsidRPr="008E2A7B" w:rsidRDefault="004F61CE" w:rsidP="004F61CE">
      <w:pPr>
        <w:pStyle w:val="Brdtext"/>
        <w:contextualSpacing/>
        <w:rPr>
          <w:lang w:val="en-GB"/>
        </w:rPr>
      </w:pPr>
    </w:p>
    <w:p w14:paraId="6F18C257" w14:textId="77777777" w:rsidR="0044710E" w:rsidRPr="008E2A7B" w:rsidRDefault="0044710E" w:rsidP="0044710E">
      <w:pPr>
        <w:pStyle w:val="Brdtext"/>
        <w:contextualSpacing/>
        <w:rPr>
          <w:color w:val="212121"/>
          <w:lang w:val="en-GB"/>
        </w:rPr>
      </w:pPr>
      <w:r w:rsidRPr="008E2A7B">
        <w:rPr>
          <w:color w:val="212121"/>
          <w:lang w:val="en-GB"/>
        </w:rPr>
        <w:t xml:space="preserve">A feasibility study for the project was granted SEK 7.7 million and in February 2017 a resolution was passed to finance a 4-year long research project under The Swedish Energy research and innovation programme (Govt. Bill 2016/17:66). The research project will investigate processes such as fossil fuel-free pellet manufacturing, hydrogen-based direct reduction, and the use of sponge iron in electric arc furnaces, along with providing an electrical power supply source for hydrogen manufacturing and storage. The research project has been allocated SEK 99 million, where SEK 54 million of this amount is financing from the Government and SEK 45 million is financed from private sector. </w:t>
      </w:r>
    </w:p>
    <w:p w14:paraId="23E484A2" w14:textId="77777777" w:rsidR="0044710E" w:rsidRPr="008E2A7B" w:rsidRDefault="0044710E" w:rsidP="0044710E">
      <w:pPr>
        <w:pStyle w:val="Brdtext"/>
        <w:contextualSpacing/>
        <w:rPr>
          <w:color w:val="212121"/>
          <w:lang w:val="en-GB"/>
        </w:rPr>
      </w:pPr>
    </w:p>
    <w:p w14:paraId="10C10C9A" w14:textId="77777777" w:rsidR="0044710E" w:rsidRPr="008E2A7B" w:rsidRDefault="0044710E" w:rsidP="004F61CE">
      <w:pPr>
        <w:pStyle w:val="Brdtext"/>
        <w:numPr>
          <w:ilvl w:val="0"/>
          <w:numId w:val="43"/>
        </w:numPr>
        <w:spacing w:after="160" w:line="280" w:lineRule="atLeast"/>
        <w:contextualSpacing/>
        <w:rPr>
          <w:lang w:val="en-GB"/>
        </w:rPr>
      </w:pPr>
      <w:r w:rsidRPr="008E2A7B">
        <w:rPr>
          <w:lang w:val="en-GB"/>
        </w:rPr>
        <w:t>Transition to a renewable electricity system and the use of smart grids</w:t>
      </w:r>
    </w:p>
    <w:p w14:paraId="590D29F0" w14:textId="2400F637" w:rsidR="0044710E" w:rsidRPr="008E2A7B" w:rsidRDefault="0044710E" w:rsidP="004F61CE">
      <w:pPr>
        <w:pStyle w:val="Brdtext"/>
        <w:contextualSpacing/>
        <w:rPr>
          <w:lang w:val="en-GB"/>
        </w:rPr>
      </w:pPr>
      <w:r w:rsidRPr="008E2A7B">
        <w:rPr>
          <w:lang w:val="en-GB"/>
        </w:rPr>
        <w:t xml:space="preserve">Research areas of wind solar and energy are a priority in the Swedish energy research and there are several ongoing projects. Among them is the </w:t>
      </w:r>
      <w:r w:rsidRPr="008E2A7B">
        <w:rPr>
          <w:i/>
          <w:lang w:val="en-GB"/>
        </w:rPr>
        <w:t>High-efficiency multijunction solar cells on silicon</w:t>
      </w:r>
      <w:r w:rsidRPr="008E2A7B">
        <w:rPr>
          <w:lang w:val="en-GB"/>
        </w:rPr>
        <w:t>.</w:t>
      </w:r>
    </w:p>
    <w:p w14:paraId="53F25094" w14:textId="77777777" w:rsidR="004F61CE" w:rsidRPr="008E2A7B" w:rsidRDefault="004F61CE" w:rsidP="004F61CE">
      <w:pPr>
        <w:pStyle w:val="Brdtext"/>
        <w:contextualSpacing/>
        <w:rPr>
          <w:lang w:val="en-GB"/>
        </w:rPr>
      </w:pPr>
    </w:p>
    <w:p w14:paraId="690ECCA7" w14:textId="72ABAC5A" w:rsidR="0044710E" w:rsidRPr="008E2A7B" w:rsidRDefault="0044710E" w:rsidP="0044710E">
      <w:pPr>
        <w:pStyle w:val="Brdtext"/>
        <w:rPr>
          <w:lang w:val="en-GB"/>
        </w:rPr>
      </w:pPr>
      <w:r w:rsidRPr="008E2A7B">
        <w:rPr>
          <w:lang w:val="en-GB"/>
        </w:rPr>
        <w:t>The Forum for Swedish Smart grid is a national forum appointed by the Swedish Ministry of the Environment and Energy, described in 3.4.3</w:t>
      </w:r>
      <w:r w:rsidRPr="008E2A7B">
        <w:rPr>
          <w:i/>
          <w:lang w:val="en-GB"/>
        </w:rPr>
        <w:t>ii</w:t>
      </w:r>
      <w:r w:rsidRPr="008E2A7B">
        <w:rPr>
          <w:lang w:val="en-GB"/>
        </w:rPr>
        <w:t xml:space="preserve">. There are also a number of national centres and research and innovation programmes for smart grids, for example the national research programme SamspEL, Swedish Centre for Smart Grids and Energy Storage (SweGRIDS) and KTH ACCESS Linnaeus Centre.  </w:t>
      </w:r>
    </w:p>
    <w:p w14:paraId="75F7445A" w14:textId="77777777" w:rsidR="007676AD" w:rsidRPr="008E2A7B" w:rsidRDefault="007676AD" w:rsidP="007676AD">
      <w:pPr>
        <w:pStyle w:val="Brdtext"/>
        <w:numPr>
          <w:ilvl w:val="0"/>
          <w:numId w:val="43"/>
        </w:numPr>
        <w:rPr>
          <w:color w:val="000000"/>
          <w:lang w:val="en-GB"/>
        </w:rPr>
      </w:pPr>
      <w:r w:rsidRPr="008E2A7B">
        <w:rPr>
          <w:color w:val="000000"/>
          <w:lang w:val="en-GB"/>
        </w:rPr>
        <w:t>Research and demonstration in the transport sector</w:t>
      </w:r>
    </w:p>
    <w:p w14:paraId="2A061A1F" w14:textId="77777777" w:rsidR="007676AD" w:rsidRPr="008E2A7B" w:rsidRDefault="007676AD" w:rsidP="007676AD">
      <w:pPr>
        <w:pStyle w:val="Brdtext"/>
        <w:rPr>
          <w:lang w:val="en-GB"/>
        </w:rPr>
      </w:pPr>
      <w:r w:rsidRPr="008E2A7B">
        <w:rPr>
          <w:lang w:val="en-GB"/>
        </w:rPr>
        <w:t>Swedish agencies are financing several large research projects covering the entire chain from cultivation of raw materials for bio-based motor fuels to the use of new fuels. These include:</w:t>
      </w:r>
    </w:p>
    <w:p w14:paraId="4724EC28" w14:textId="687C9AF6"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FFI – Strategic vehicle research and innovation</w:t>
      </w:r>
    </w:p>
    <w:p w14:paraId="6E848CA6" w14:textId="44B36A7F"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F3 – Collaboration program for renewable fuels and systems</w:t>
      </w:r>
    </w:p>
    <w:p w14:paraId="6E14BF80" w14:textId="2AF8C428"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lastRenderedPageBreak/>
        <w:t>SFC – Research on biomass gasification</w:t>
      </w:r>
    </w:p>
    <w:p w14:paraId="2D0393CD" w14:textId="1831FC8B"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Battery funding programme</w:t>
      </w:r>
    </w:p>
    <w:p w14:paraId="7D49F483" w14:textId="5993DA94"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Energy efficiency in the transport sector programme</w:t>
      </w:r>
    </w:p>
    <w:p w14:paraId="19364C04" w14:textId="048946FE"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Demonstration programme for electric vehicles</w:t>
      </w:r>
    </w:p>
    <w:p w14:paraId="530EE3D5" w14:textId="19EF390D" w:rsidR="007676AD" w:rsidRPr="008E2A7B" w:rsidRDefault="007676AD" w:rsidP="007676AD">
      <w:pPr>
        <w:pStyle w:val="Brdtext"/>
        <w:numPr>
          <w:ilvl w:val="0"/>
          <w:numId w:val="14"/>
        </w:numPr>
        <w:rPr>
          <w:rFonts w:eastAsiaTheme="majorEastAsia" w:cstheme="majorBidi"/>
          <w:szCs w:val="28"/>
          <w:lang w:val="en-GB"/>
        </w:rPr>
      </w:pPr>
      <w:r w:rsidRPr="008E2A7B">
        <w:rPr>
          <w:rFonts w:eastAsiaTheme="majorEastAsia" w:cstheme="majorBidi"/>
          <w:szCs w:val="28"/>
          <w:lang w:val="en-GB"/>
        </w:rPr>
        <w:t>Innovations for a sustainable society</w:t>
      </w:r>
    </w:p>
    <w:p w14:paraId="3EFFEAF6" w14:textId="0696866E" w:rsidR="007676AD" w:rsidRPr="008E2A7B" w:rsidRDefault="007676AD" w:rsidP="0044710E">
      <w:pPr>
        <w:pStyle w:val="Brdtext"/>
        <w:rPr>
          <w:lang w:val="en-GB"/>
        </w:rPr>
      </w:pPr>
      <w:r w:rsidRPr="008E2A7B">
        <w:rPr>
          <w:lang w:val="en-GB"/>
        </w:rPr>
        <w:t>Sweden is also involved in the EU Renfuel project, which aims to develop strategies for introducing cost-effective alternative vehicle fuels. The project is also investigating potential effects on stationary installations using biofuels.</w:t>
      </w:r>
    </w:p>
    <w:p w14:paraId="14C801EA" w14:textId="77777777" w:rsidR="00C80A49" w:rsidRPr="008E2A7B" w:rsidRDefault="00C80A49" w:rsidP="00C80A49">
      <w:pPr>
        <w:pStyle w:val="Brdtext"/>
        <w:numPr>
          <w:ilvl w:val="0"/>
          <w:numId w:val="43"/>
        </w:numPr>
        <w:rPr>
          <w:lang w:val="en-GB"/>
        </w:rPr>
      </w:pPr>
      <w:r w:rsidRPr="008E2A7B">
        <w:rPr>
          <w:lang w:val="en-GB"/>
        </w:rPr>
        <w:t xml:space="preserve">Energy-related research </w:t>
      </w:r>
    </w:p>
    <w:p w14:paraId="70BF8F14" w14:textId="3878FE7E" w:rsidR="00C80A49" w:rsidRPr="008E2A7B" w:rsidRDefault="00C80A49" w:rsidP="00C80A49">
      <w:pPr>
        <w:pStyle w:val="Brdtext"/>
        <w:rPr>
          <w:lang w:val="en-GB"/>
        </w:rPr>
      </w:pPr>
      <w:r w:rsidRPr="008E2A7B">
        <w:rPr>
          <w:lang w:val="en-GB"/>
        </w:rPr>
        <w:t>As a sectoral authority, the Swedish Energy Agency has a main and coordinating responsibility for energy-related building research. In addition to the Swedish Energy Agency, Formas and Vinnova also finance projects in the area. In addition, the Swedish Consumer Agency, the Swedish National Board of Housing, Building and Planning and the Swedish Environmental Protection Agency have energy-related commitments in the area of construction.</w:t>
      </w:r>
    </w:p>
    <w:p w14:paraId="173AA988" w14:textId="0110C417" w:rsidR="00C80A49" w:rsidRPr="003A68B3" w:rsidRDefault="00C80A49" w:rsidP="004F61CE">
      <w:pPr>
        <w:pStyle w:val="Brdtext"/>
        <w:rPr>
          <w:lang w:val="en-GB"/>
        </w:rPr>
      </w:pPr>
      <w:r w:rsidRPr="008E2A7B">
        <w:rPr>
          <w:lang w:val="en-GB"/>
        </w:rPr>
        <w:t xml:space="preserve">The energy-related research activities are characterized by a system vision, with the vision of achieving resource and energy-efficient housing. This is mainly done through collaboration. The Swedish Energy Agency is focusing on energy efficiency through a number of programs, including </w:t>
      </w:r>
      <w:r w:rsidRPr="008E2A7B">
        <w:rPr>
          <w:i/>
          <w:lang w:val="en-GB"/>
        </w:rPr>
        <w:t xml:space="preserve">Research and Innovation for Energy Efficient Construction and Housing, Energy Efficiency in Cultural Historical Buildings, Save and Preserve, </w:t>
      </w:r>
      <w:r w:rsidRPr="008E2A7B">
        <w:rPr>
          <w:lang w:val="en-GB"/>
        </w:rPr>
        <w:t>and</w:t>
      </w:r>
      <w:r w:rsidRPr="008E2A7B">
        <w:rPr>
          <w:i/>
          <w:lang w:val="en-GB"/>
        </w:rPr>
        <w:t xml:space="preserve"> the Energy Efficiency Program in the Lighting Area</w:t>
      </w:r>
      <w:r w:rsidR="00383659" w:rsidRPr="008E2A7B">
        <w:rPr>
          <w:lang w:val="en-GB"/>
        </w:rPr>
        <w:t>.</w:t>
      </w:r>
    </w:p>
    <w:p w14:paraId="77CE1528" w14:textId="276B888D" w:rsidR="0044710E" w:rsidRPr="008E2A7B" w:rsidRDefault="0044710E" w:rsidP="004F61CE">
      <w:pPr>
        <w:pStyle w:val="Brdtext"/>
        <w:contextualSpacing/>
        <w:rPr>
          <w:b/>
          <w:lang w:val="en-GB"/>
        </w:rPr>
      </w:pPr>
      <w:r w:rsidRPr="008E2A7B">
        <w:rPr>
          <w:b/>
          <w:lang w:val="en-GB"/>
        </w:rPr>
        <w:t>From research to market</w:t>
      </w:r>
    </w:p>
    <w:p w14:paraId="380E8E5A" w14:textId="5FD03368" w:rsidR="0044710E" w:rsidRPr="008E2A7B" w:rsidRDefault="0044710E" w:rsidP="004F61CE">
      <w:pPr>
        <w:pStyle w:val="Brdtext"/>
        <w:contextualSpacing/>
        <w:rPr>
          <w:lang w:val="en-GB"/>
        </w:rPr>
      </w:pPr>
      <w:r w:rsidRPr="008E2A7B">
        <w:rPr>
          <w:lang w:val="en-GB"/>
        </w:rPr>
        <w:t xml:space="preserve">Sweden has supported several successful companies taking their research and innovation to the market. In solar energy, for example Exeger (Heffa Solar - a new cost efficient Grätzel solar cell). In ocean energy, for example CORPOWER OCEAN (high efficiency Wave Energy Converter (WEC)), Minesto, Waves4Power and Ocean Harvesting Technologies. </w:t>
      </w:r>
    </w:p>
    <w:p w14:paraId="2177DF0D" w14:textId="77777777" w:rsidR="0044710E" w:rsidRPr="008E2A7B" w:rsidRDefault="0044710E" w:rsidP="0044710E">
      <w:pPr>
        <w:pStyle w:val="Brdtext"/>
        <w:contextualSpacing/>
        <w:rPr>
          <w:lang w:val="en-GB"/>
        </w:rPr>
      </w:pPr>
    </w:p>
    <w:p w14:paraId="0EB4ACB9" w14:textId="77777777" w:rsidR="0044710E" w:rsidRPr="008E2A7B" w:rsidRDefault="0044710E" w:rsidP="0044710E">
      <w:pPr>
        <w:pStyle w:val="Brdtext"/>
        <w:contextualSpacing/>
        <w:rPr>
          <w:b/>
          <w:lang w:val="en-GB"/>
        </w:rPr>
      </w:pPr>
      <w:r w:rsidRPr="008E2A7B">
        <w:rPr>
          <w:b/>
          <w:lang w:val="en-GB"/>
        </w:rPr>
        <w:t>Pilot and demonstration collaborations between public and private actors</w:t>
      </w:r>
    </w:p>
    <w:p w14:paraId="4452F51F" w14:textId="77777777" w:rsidR="0044710E" w:rsidRPr="008E2A7B" w:rsidRDefault="0044710E" w:rsidP="0044710E">
      <w:pPr>
        <w:pStyle w:val="Brdtext"/>
        <w:contextualSpacing/>
        <w:rPr>
          <w:lang w:val="en-GB"/>
        </w:rPr>
      </w:pPr>
      <w:r w:rsidRPr="008E2A7B">
        <w:rPr>
          <w:lang w:val="en-GB"/>
        </w:rPr>
        <w:t xml:space="preserve">Sweden has also supported successful projects in pilot and demonstrations, with public and private cooperation, in the areas of: </w:t>
      </w:r>
    </w:p>
    <w:p w14:paraId="3D927DC7" w14:textId="77777777" w:rsidR="0044710E" w:rsidRPr="008E2A7B" w:rsidRDefault="0044710E" w:rsidP="0044710E">
      <w:pPr>
        <w:pStyle w:val="Brdtext"/>
        <w:contextualSpacing/>
        <w:rPr>
          <w:b/>
          <w:lang w:val="en-GB"/>
        </w:rPr>
      </w:pPr>
    </w:p>
    <w:p w14:paraId="37F01B21" w14:textId="77777777" w:rsidR="0044710E" w:rsidRPr="008E2A7B" w:rsidRDefault="0044710E" w:rsidP="0044710E">
      <w:pPr>
        <w:pStyle w:val="Brdtext"/>
        <w:rPr>
          <w:lang w:val="en-GB"/>
        </w:rPr>
      </w:pPr>
      <w:r w:rsidRPr="008E2A7B">
        <w:rPr>
          <w:u w:val="single"/>
          <w:lang w:val="en-GB"/>
        </w:rPr>
        <w:t>Zero Emission Transportation</w:t>
      </w:r>
      <w:r w:rsidRPr="008E2A7B">
        <w:rPr>
          <w:lang w:val="en-GB"/>
        </w:rPr>
        <w:t xml:space="preserve">: VOLVO, SCANIA electric-/hybrid electric buses and construction equipment, as well as electric roads. </w:t>
      </w:r>
    </w:p>
    <w:p w14:paraId="114D80AE" w14:textId="77777777" w:rsidR="0044710E" w:rsidRPr="008E2A7B" w:rsidRDefault="0044710E" w:rsidP="0044710E">
      <w:pPr>
        <w:pStyle w:val="Brdtext"/>
        <w:rPr>
          <w:lang w:val="en-GB"/>
        </w:rPr>
      </w:pPr>
      <w:r w:rsidRPr="008E2A7B">
        <w:rPr>
          <w:u w:val="single"/>
          <w:lang w:val="en-GB"/>
        </w:rPr>
        <w:lastRenderedPageBreak/>
        <w:t>Smart Grids</w:t>
      </w:r>
      <w:r w:rsidRPr="008E2A7B">
        <w:rPr>
          <w:lang w:val="en-GB"/>
        </w:rPr>
        <w:t>: several demonstrations in Stockholm Royal Seaport</w:t>
      </w:r>
      <w:r w:rsidRPr="008E2A7B">
        <w:rPr>
          <w:rStyle w:val="Fotnotsreferens"/>
          <w:lang w:val="en-GB"/>
        </w:rPr>
        <w:footnoteReference w:id="49"/>
      </w:r>
      <w:r w:rsidRPr="008E2A7B">
        <w:rPr>
          <w:lang w:val="en-GB"/>
        </w:rPr>
        <w:t>, Hyllie Smart City</w:t>
      </w:r>
      <w:r w:rsidRPr="008E2A7B">
        <w:rPr>
          <w:rStyle w:val="Fotnotsreferens"/>
          <w:lang w:val="en-GB"/>
        </w:rPr>
        <w:footnoteReference w:id="50"/>
      </w:r>
      <w:r w:rsidRPr="008E2A7B">
        <w:rPr>
          <w:lang w:val="en-GB"/>
        </w:rPr>
        <w:t xml:space="preserve"> and Smart Grid Gotland.</w:t>
      </w:r>
      <w:r w:rsidRPr="008E2A7B">
        <w:rPr>
          <w:rStyle w:val="Fotnotsreferens"/>
          <w:lang w:val="en-GB"/>
        </w:rPr>
        <w:footnoteReference w:id="51"/>
      </w:r>
      <w:r w:rsidRPr="008E2A7B">
        <w:rPr>
          <w:lang w:val="en-GB"/>
        </w:rPr>
        <w:t xml:space="preserve"> </w:t>
      </w:r>
    </w:p>
    <w:p w14:paraId="654E55D2" w14:textId="77777777" w:rsidR="0044710E" w:rsidRPr="008E2A7B" w:rsidRDefault="0044710E" w:rsidP="0044710E">
      <w:pPr>
        <w:pStyle w:val="Brdtext"/>
        <w:rPr>
          <w:lang w:val="en-GB"/>
        </w:rPr>
      </w:pPr>
      <w:r w:rsidRPr="008E2A7B">
        <w:rPr>
          <w:u w:val="single"/>
          <w:lang w:val="en-GB"/>
        </w:rPr>
        <w:t>Biofuels</w:t>
      </w:r>
      <w:r w:rsidRPr="008E2A7B">
        <w:rPr>
          <w:lang w:val="en-GB"/>
        </w:rPr>
        <w:t xml:space="preserve">: RenFuel, -a chain-link from black-liquor to green petrol and diesel. By catalytic transformation of lignin to Lignol, oil refineries can convert diesel and petrol to a green substitute for petroleum based gas oil. </w:t>
      </w:r>
    </w:p>
    <w:p w14:paraId="37EC3404" w14:textId="7125AB81" w:rsidR="00AA0A7E" w:rsidRPr="008E2A7B" w:rsidRDefault="0044710E" w:rsidP="0044710E">
      <w:pPr>
        <w:pStyle w:val="Brdtext"/>
        <w:rPr>
          <w:lang w:val="en-GB"/>
        </w:rPr>
      </w:pPr>
      <w:r w:rsidRPr="008E2A7B">
        <w:rPr>
          <w:lang w:val="en-GB"/>
        </w:rPr>
        <w:t>In addition, Sweden is by the European Innovation Scoreboard 2017 named innovation leader, followed by Denmark, Finland, the Netherlands and Germany.</w:t>
      </w:r>
      <w:r w:rsidRPr="008E2A7B">
        <w:rPr>
          <w:rStyle w:val="Fotnotsreferens"/>
          <w:lang w:val="en-GB"/>
        </w:rPr>
        <w:footnoteReference w:id="52"/>
      </w:r>
      <w:r w:rsidRPr="008E2A7B">
        <w:rPr>
          <w:lang w:val="en-GB"/>
        </w:rPr>
        <w:t xml:space="preserve">  </w:t>
      </w:r>
    </w:p>
    <w:p w14:paraId="5B598AF9" w14:textId="77777777" w:rsidR="0044710E" w:rsidRPr="008E2A7B" w:rsidRDefault="0044710E" w:rsidP="0044710E">
      <w:pPr>
        <w:pStyle w:val="i-lista"/>
        <w:numPr>
          <w:ilvl w:val="1"/>
          <w:numId w:val="39"/>
        </w:numPr>
        <w:rPr>
          <w:i/>
          <w:lang w:val="en-GB"/>
        </w:rPr>
      </w:pPr>
      <w:r w:rsidRPr="008E2A7B">
        <w:rPr>
          <w:i/>
          <w:lang w:val="en-GB"/>
        </w:rPr>
        <w:t>Current level of public and private research and innovation spending on low-carbon-technologies, current number of patents, and current number of researchers</w:t>
      </w:r>
    </w:p>
    <w:p w14:paraId="15356600" w14:textId="646BCD30" w:rsidR="0044710E" w:rsidRPr="008E2A7B" w:rsidRDefault="0044710E" w:rsidP="0044710E">
      <w:pPr>
        <w:pStyle w:val="Brdtext"/>
        <w:rPr>
          <w:lang w:val="en-GB"/>
        </w:rPr>
      </w:pPr>
      <w:r w:rsidRPr="008E2A7B">
        <w:rPr>
          <w:b/>
          <w:lang w:val="en-GB"/>
        </w:rPr>
        <w:t>Public and private expenses</w:t>
      </w:r>
      <w:r w:rsidRPr="008E2A7B">
        <w:rPr>
          <w:b/>
          <w:lang w:val="en-GB"/>
        </w:rPr>
        <w:br/>
      </w:r>
      <w:r w:rsidRPr="008E2A7B">
        <w:rPr>
          <w:lang w:val="en-GB"/>
        </w:rPr>
        <w:t>Granted funds in the national energy research and innovation program in the energy sector 2013-2015 amounted to SEK 6,365 billion. Business financed 43% of these funds, i.e. SEK 2.737 billion.</w:t>
      </w:r>
      <w:r w:rsidR="00847808" w:rsidRPr="008E2A7B">
        <w:rPr>
          <w:lang w:val="en-GB"/>
        </w:rPr>
        <w:t xml:space="preserve"> </w:t>
      </w:r>
      <w:r w:rsidRPr="008E2A7B">
        <w:rPr>
          <w:lang w:val="en-GB"/>
        </w:rPr>
        <w:t>Other private expenses are difficult to assess.</w:t>
      </w:r>
    </w:p>
    <w:p w14:paraId="3C96C4EC" w14:textId="77777777" w:rsidR="0044710E" w:rsidRPr="008E2A7B" w:rsidRDefault="0044710E" w:rsidP="0044710E">
      <w:pPr>
        <w:pStyle w:val="Brdtext"/>
        <w:rPr>
          <w:lang w:val="en-GB"/>
        </w:rPr>
      </w:pPr>
      <w:r w:rsidRPr="008E2A7B">
        <w:rPr>
          <w:b/>
          <w:lang w:val="en-GB"/>
        </w:rPr>
        <w:t>Number of patents</w:t>
      </w:r>
      <w:r w:rsidRPr="008E2A7B">
        <w:rPr>
          <w:b/>
          <w:lang w:val="en-GB"/>
        </w:rPr>
        <w:br/>
      </w:r>
      <w:r w:rsidRPr="008E2A7B">
        <w:rPr>
          <w:lang w:val="en-GB"/>
        </w:rPr>
        <w:t>During the period 2010-2012, there were 629 domestic and 732 international energy-related Swedish patent applications.</w:t>
      </w:r>
    </w:p>
    <w:p w14:paraId="7F0D710A" w14:textId="77777777" w:rsidR="0044710E" w:rsidRPr="008E2A7B" w:rsidRDefault="0044710E" w:rsidP="0044710E">
      <w:pPr>
        <w:pStyle w:val="Brdtext"/>
        <w:rPr>
          <w:lang w:val="en-GB"/>
        </w:rPr>
      </w:pPr>
      <w:r w:rsidRPr="008E2A7B">
        <w:rPr>
          <w:b/>
          <w:lang w:val="en-GB"/>
        </w:rPr>
        <w:t>Number of researchers</w:t>
      </w:r>
      <w:r w:rsidRPr="008E2A7B">
        <w:rPr>
          <w:b/>
          <w:lang w:val="en-GB"/>
        </w:rPr>
        <w:br/>
      </w:r>
      <w:r w:rsidRPr="008E2A7B">
        <w:rPr>
          <w:lang w:val="en-GB"/>
        </w:rPr>
        <w:t>During the period 2013–2015, approximately 1,100 graduate students and senior researchers were employed within projects that to at least 20% were financed by the National Energy Research Program.</w:t>
      </w:r>
    </w:p>
    <w:p w14:paraId="41B68EA2" w14:textId="77777777" w:rsidR="0044710E" w:rsidRPr="008E2A7B" w:rsidRDefault="0044710E" w:rsidP="0044710E">
      <w:pPr>
        <w:pStyle w:val="i-lista"/>
        <w:numPr>
          <w:ilvl w:val="1"/>
          <w:numId w:val="39"/>
        </w:numPr>
        <w:rPr>
          <w:i/>
          <w:lang w:val="en-GB"/>
        </w:rPr>
      </w:pPr>
      <w:r w:rsidRPr="008E2A7B">
        <w:rPr>
          <w:i/>
          <w:lang w:val="en-GB"/>
        </w:rPr>
        <w:t>Current level of energy costs including in the international context</w:t>
      </w:r>
    </w:p>
    <w:p w14:paraId="138ABC63" w14:textId="77777777" w:rsidR="0044710E" w:rsidRPr="008E2A7B" w:rsidRDefault="0044710E" w:rsidP="0044710E">
      <w:pPr>
        <w:pStyle w:val="Brdtext"/>
        <w:rPr>
          <w:i/>
          <w:lang w:val="en-GB"/>
        </w:rPr>
      </w:pPr>
      <w:r w:rsidRPr="008E2A7B">
        <w:rPr>
          <w:lang w:val="en-GB"/>
        </w:rPr>
        <w:t xml:space="preserve">Energy costs in Sweden compared with other countries are shown in the Commission's </w:t>
      </w:r>
      <w:r w:rsidRPr="008E2A7B">
        <w:rPr>
          <w:i/>
          <w:lang w:val="en-GB"/>
        </w:rPr>
        <w:t>Energy Prices and Costs in Europe report</w:t>
      </w:r>
      <w:r w:rsidRPr="008E2A7B">
        <w:rPr>
          <w:lang w:val="en-GB"/>
        </w:rPr>
        <w:t>. Sweden has the lowest electricity price in the EU (including taxes and charges) for the industrial sector, while gas prices for major industries are the second highest. However, the industry's gas use is marginal (3%) compared with electricity consumption (34%), so the relatively high gas prices for the industry do not outweigh the low electricity prices. Beyond electricity, biofuels are the largest energy carrier for the industrial sector, but these are not included in the above-mentioned report. Energy costs for households, which are not primarily of interest from a competitiveness perspective, are described under 4.5.3. In terms of petrol prices, Sweden is roughly at the EU average.</w:t>
      </w:r>
    </w:p>
    <w:p w14:paraId="4C69EC25" w14:textId="77777777" w:rsidR="0044710E" w:rsidRPr="008E2A7B" w:rsidRDefault="0044710E" w:rsidP="0044710E">
      <w:pPr>
        <w:pStyle w:val="i-lista"/>
        <w:numPr>
          <w:ilvl w:val="1"/>
          <w:numId w:val="39"/>
        </w:numPr>
        <w:rPr>
          <w:i/>
          <w:lang w:val="en-GB"/>
        </w:rPr>
      </w:pPr>
      <w:r w:rsidRPr="008E2A7B">
        <w:rPr>
          <w:i/>
          <w:lang w:val="en-GB"/>
        </w:rPr>
        <w:lastRenderedPageBreak/>
        <w:t>Projections of developments in i. to iii. with existing policies and measures at least until 2040 (including for the year 2030)</w:t>
      </w:r>
    </w:p>
    <w:p w14:paraId="16951A8A" w14:textId="77777777" w:rsidR="0044710E" w:rsidRPr="008E2A7B" w:rsidRDefault="0044710E" w:rsidP="0044710E">
      <w:pPr>
        <w:pStyle w:val="Brdtext"/>
        <w:rPr>
          <w:lang w:val="en-GB"/>
        </w:rPr>
      </w:pPr>
      <w:r w:rsidRPr="008E2A7B">
        <w:rPr>
          <w:lang w:val="en-GB"/>
        </w:rPr>
        <w:t>As for energy costs, see 4.5.3.</w:t>
      </w:r>
      <w:r w:rsidRPr="008E2A7B">
        <w:rPr>
          <w:i/>
          <w:lang w:val="en-GB"/>
        </w:rPr>
        <w:t>ii</w:t>
      </w:r>
      <w:r w:rsidRPr="008E2A7B">
        <w:rPr>
          <w:lang w:val="en-GB"/>
        </w:rPr>
        <w:t>. As for the other questions, it is difficult to know in advance which lines of research will be fruitful. Considering this difficulty, Sweden has not found it meaningful to make projections for the development of research and innovation.</w:t>
      </w:r>
    </w:p>
    <w:p w14:paraId="7127E477" w14:textId="77777777" w:rsidR="0044710E" w:rsidRPr="008E2A7B" w:rsidRDefault="0044710E" w:rsidP="0044710E">
      <w:pPr>
        <w:pStyle w:val="Rubrik1"/>
        <w:rPr>
          <w:lang w:val="en-GB"/>
        </w:rPr>
      </w:pPr>
      <w:bookmarkStart w:id="79" w:name="_Toc499285560"/>
      <w:r w:rsidRPr="008E2A7B">
        <w:rPr>
          <w:lang w:val="en-GB"/>
        </w:rPr>
        <w:lastRenderedPageBreak/>
        <w:t>Impact assessment of planned policies and measures</w:t>
      </w:r>
      <w:bookmarkEnd w:id="79"/>
      <w:r w:rsidRPr="008E2A7B">
        <w:rPr>
          <w:lang w:val="en-GB"/>
        </w:rPr>
        <w:t xml:space="preserve"> </w:t>
      </w:r>
    </w:p>
    <w:p w14:paraId="22749C3F" w14:textId="03616506" w:rsidR="0044710E" w:rsidRPr="00205AA1" w:rsidRDefault="00AF2E9A" w:rsidP="0044710E">
      <w:pPr>
        <w:pStyle w:val="Brdtext"/>
        <w:rPr>
          <w:color w:val="FF0000"/>
          <w:lang w:val="sv-SE"/>
        </w:rPr>
      </w:pPr>
      <w:r>
        <w:rPr>
          <w:color w:val="FF0000"/>
          <w:lang w:val="sv-SE"/>
        </w:rPr>
        <w:t xml:space="preserve">[Det här avsnittet lämnas </w:t>
      </w:r>
      <w:r w:rsidR="0044710E" w:rsidRPr="00205AA1">
        <w:rPr>
          <w:color w:val="FF0000"/>
          <w:lang w:val="sv-SE"/>
        </w:rPr>
        <w:t>obesvarat nu till utkastet, efter överenskommelse med RK]</w:t>
      </w:r>
    </w:p>
    <w:p w14:paraId="6E9AEFD4" w14:textId="77777777" w:rsidR="0044710E" w:rsidRPr="008E2A7B" w:rsidRDefault="0044710E" w:rsidP="0044710E">
      <w:pPr>
        <w:pStyle w:val="Rubrik2"/>
        <w:rPr>
          <w:lang w:val="en-GB"/>
        </w:rPr>
      </w:pPr>
      <w:bookmarkStart w:id="80" w:name="_Toc499285561"/>
      <w:r w:rsidRPr="008E2A7B">
        <w:rPr>
          <w:lang w:val="en-GB"/>
        </w:rPr>
        <w:t>Impacts of planned policies and measures described in section 3 on energy system and greenhouse gas emissions and removals including comparison to projections with existing policies and measures (as described in section 4)</w:t>
      </w:r>
      <w:bookmarkEnd w:id="80"/>
    </w:p>
    <w:p w14:paraId="48EF9B24" w14:textId="77777777" w:rsidR="0044710E" w:rsidRPr="008E2A7B" w:rsidRDefault="0044710E" w:rsidP="0044710E">
      <w:pPr>
        <w:pStyle w:val="i-lista"/>
        <w:numPr>
          <w:ilvl w:val="1"/>
          <w:numId w:val="40"/>
        </w:numPr>
        <w:rPr>
          <w:i/>
          <w:lang w:val="en-GB"/>
        </w:rPr>
      </w:pPr>
      <w:r w:rsidRPr="008E2A7B">
        <w:rPr>
          <w:i/>
          <w:lang w:val="en-GB"/>
        </w:rPr>
        <w:t>Projections of the development of the energy system and greenhouse gas emissions and removals as well as of emissions of air pollutants in accordance with Directive [as proposed by COM/2013/0920] under the planned policies and measures at least until ten years after the period covered by the plan (including for the last year of the period covered by the plan), including relevant EU policies and measures</w:t>
      </w:r>
    </w:p>
    <w:p w14:paraId="2B1F8920" w14:textId="77777777" w:rsidR="0044710E" w:rsidRPr="008E2A7B" w:rsidRDefault="0044710E" w:rsidP="0044710E">
      <w:pPr>
        <w:pStyle w:val="i-lista"/>
        <w:numPr>
          <w:ilvl w:val="1"/>
          <w:numId w:val="40"/>
        </w:numPr>
        <w:rPr>
          <w:i/>
          <w:lang w:val="en-GB"/>
        </w:rPr>
      </w:pPr>
      <w:r w:rsidRPr="008E2A7B">
        <w:rPr>
          <w:i/>
          <w:lang w:val="en-GB"/>
        </w:rPr>
        <w:t>Assessment of policy interactions (between existing and planned policies and measures within a policy dimension and between existing and planned policies and measures of different dimensions) at least until the last year of the period covered by the plan</w:t>
      </w:r>
    </w:p>
    <w:p w14:paraId="73DC4A51" w14:textId="77777777" w:rsidR="0044710E" w:rsidRPr="008E2A7B" w:rsidRDefault="0044710E" w:rsidP="0044710E">
      <w:pPr>
        <w:pStyle w:val="Rubrik2"/>
        <w:rPr>
          <w:lang w:val="en-GB"/>
        </w:rPr>
      </w:pPr>
      <w:bookmarkStart w:id="81" w:name="_Toc499285562"/>
      <w:r w:rsidRPr="008E2A7B">
        <w:rPr>
          <w:lang w:val="en-GB"/>
        </w:rPr>
        <w:t>Macroeconomic, environmental, skills and social impacts (in terms of costs and benefits as well as cost-effectiveness) of the planned policies and measures described in section 3 at least until the last year of the period covered by the plan, including comparison to projections with existing policies and measures</w:t>
      </w:r>
      <w:bookmarkEnd w:id="81"/>
      <w:r w:rsidRPr="008E2A7B">
        <w:rPr>
          <w:lang w:val="en-GB"/>
        </w:rPr>
        <w:t xml:space="preserve"> </w:t>
      </w:r>
    </w:p>
    <w:p w14:paraId="651C0062" w14:textId="77777777" w:rsidR="0044710E" w:rsidRPr="008E2A7B" w:rsidRDefault="0044710E" w:rsidP="0044710E">
      <w:pPr>
        <w:pStyle w:val="Rubrik2"/>
        <w:rPr>
          <w:lang w:val="en-GB"/>
        </w:rPr>
      </w:pPr>
      <w:bookmarkStart w:id="82" w:name="_Toc499285563"/>
      <w:r w:rsidRPr="008E2A7B">
        <w:rPr>
          <w:lang w:val="en-GB"/>
        </w:rPr>
        <w:t>Impacts of planned policies and measures described in section 3 on other Member States and regional cooperation at least until the last year of the period covered by the plan, including comparison to projections with existing policies and measures</w:t>
      </w:r>
      <w:bookmarkEnd w:id="82"/>
    </w:p>
    <w:p w14:paraId="7E478C49" w14:textId="77777777" w:rsidR="0044710E" w:rsidRPr="008E2A7B" w:rsidRDefault="0044710E" w:rsidP="0044710E">
      <w:pPr>
        <w:pStyle w:val="i-lista"/>
        <w:numPr>
          <w:ilvl w:val="1"/>
          <w:numId w:val="41"/>
        </w:numPr>
        <w:rPr>
          <w:i/>
          <w:lang w:val="en-GB"/>
        </w:rPr>
      </w:pPr>
      <w:r w:rsidRPr="008E2A7B">
        <w:rPr>
          <w:i/>
          <w:lang w:val="en-GB"/>
        </w:rPr>
        <w:t>Impacts on the energy system in neighbouring and other Member States in the region to the extent possible</w:t>
      </w:r>
    </w:p>
    <w:p w14:paraId="19DDC0D0" w14:textId="77777777" w:rsidR="0044710E" w:rsidRPr="008E2A7B" w:rsidRDefault="0044710E" w:rsidP="0044710E">
      <w:pPr>
        <w:pStyle w:val="i-lista"/>
        <w:numPr>
          <w:ilvl w:val="1"/>
          <w:numId w:val="41"/>
        </w:numPr>
        <w:rPr>
          <w:i/>
          <w:lang w:val="en-GB"/>
        </w:rPr>
      </w:pPr>
      <w:r w:rsidRPr="008E2A7B">
        <w:rPr>
          <w:i/>
          <w:lang w:val="en-GB"/>
        </w:rPr>
        <w:t>Impacts on energy prices, utilities and energy market integration</w:t>
      </w:r>
    </w:p>
    <w:p w14:paraId="6B3A9B70" w14:textId="77777777" w:rsidR="0044710E" w:rsidRPr="008E2A7B" w:rsidRDefault="0044710E" w:rsidP="0044710E">
      <w:pPr>
        <w:pStyle w:val="i-lista"/>
        <w:numPr>
          <w:ilvl w:val="1"/>
          <w:numId w:val="41"/>
        </w:numPr>
        <w:rPr>
          <w:i/>
          <w:lang w:val="en-GB"/>
        </w:rPr>
      </w:pPr>
      <w:r w:rsidRPr="008E2A7B">
        <w:rPr>
          <w:i/>
          <w:lang w:val="en-GB"/>
        </w:rPr>
        <w:t>Impacts on regional cooperation</w:t>
      </w:r>
    </w:p>
    <w:p w14:paraId="426A1A83" w14:textId="77777777" w:rsidR="0044710E" w:rsidRPr="008E2A7B" w:rsidRDefault="0044710E" w:rsidP="0044710E">
      <w:pPr>
        <w:rPr>
          <w:lang w:val="en-GB"/>
        </w:rPr>
      </w:pPr>
    </w:p>
    <w:p w14:paraId="1EDE018B" w14:textId="573AE744" w:rsidR="00FC6DAE" w:rsidRPr="008E2A7B" w:rsidRDefault="00FC6DAE" w:rsidP="0044710E">
      <w:pPr>
        <w:rPr>
          <w:lang w:val="en-GB"/>
        </w:rPr>
      </w:pPr>
    </w:p>
    <w:sectPr w:rsidR="00FC6DAE" w:rsidRPr="008E2A7B" w:rsidSect="00E95794">
      <w:footerReference w:type="default" r:id="rId36"/>
      <w:type w:val="oddPage"/>
      <w:pgSz w:w="11906" w:h="16838" w:code="9"/>
      <w:pgMar w:top="1701" w:right="2495" w:bottom="1418" w:left="2495"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A8535" w14:textId="77777777" w:rsidR="00365569" w:rsidRDefault="00365569">
      <w:r>
        <w:separator/>
      </w:r>
    </w:p>
  </w:endnote>
  <w:endnote w:type="continuationSeparator" w:id="0">
    <w:p w14:paraId="49603A24" w14:textId="77777777" w:rsidR="00365569" w:rsidRDefault="00365569">
      <w:r>
        <w:continuationSeparator/>
      </w:r>
    </w:p>
  </w:endnote>
  <w:endnote w:type="continuationNotice" w:id="1">
    <w:p w14:paraId="13FC7231" w14:textId="77777777" w:rsidR="00365569" w:rsidRDefault="00365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_sansregular">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 w:name="SabonLTStd-Roman">
    <w:altName w:val="Yu Gothic"/>
    <w:panose1 w:val="00000000000000000000"/>
    <w:charset w:val="80"/>
    <w:family w:val="roman"/>
    <w:notTrueType/>
    <w:pitch w:val="default"/>
    <w:sig w:usb0="00000003" w:usb1="08070000" w:usb2="00000010" w:usb3="00000000" w:csb0="0002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C7290" w14:textId="773B8368" w:rsidR="00AF2E9A" w:rsidRPr="0099549D" w:rsidRDefault="00AF2E9A" w:rsidP="007A75C4">
    <w:pPr>
      <w:pStyle w:val="Sidfot"/>
      <w:pBdr>
        <w:top w:val="single" w:sz="12" w:space="8" w:color="389066"/>
      </w:pBdr>
      <w:jc w:val="center"/>
    </w:pPr>
    <w:r>
      <w:rPr>
        <w:rStyle w:val="Sidnummer"/>
      </w:rPr>
      <w:fldChar w:fldCharType="begin"/>
    </w:r>
    <w:r>
      <w:rPr>
        <w:rStyle w:val="Sidnummer"/>
      </w:rPr>
      <w:instrText xml:space="preserve"> PAGE </w:instrText>
    </w:r>
    <w:r>
      <w:rPr>
        <w:rStyle w:val="Sidnummer"/>
      </w:rPr>
      <w:fldChar w:fldCharType="separate"/>
    </w:r>
    <w:r w:rsidR="00A63255">
      <w:rPr>
        <w:rStyle w:val="Sidnummer"/>
        <w:noProof/>
      </w:rPr>
      <w:t>10</w:t>
    </w:r>
    <w:r>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25502" w14:textId="77777777" w:rsidR="00365569" w:rsidRDefault="00365569">
      <w:r>
        <w:separator/>
      </w:r>
    </w:p>
  </w:footnote>
  <w:footnote w:type="continuationSeparator" w:id="0">
    <w:p w14:paraId="7C6E60EA" w14:textId="77777777" w:rsidR="00365569" w:rsidRDefault="00365569">
      <w:r>
        <w:continuationSeparator/>
      </w:r>
    </w:p>
  </w:footnote>
  <w:footnote w:type="continuationNotice" w:id="1">
    <w:p w14:paraId="6D3E7A80" w14:textId="77777777" w:rsidR="00365569" w:rsidRDefault="00365569"/>
  </w:footnote>
  <w:footnote w:id="2">
    <w:p w14:paraId="7BA683D3" w14:textId="69037502" w:rsidR="00AF2E9A" w:rsidRPr="004B20AC" w:rsidRDefault="00AF2E9A" w:rsidP="006D7484">
      <w:pPr>
        <w:pStyle w:val="Fotnotstext"/>
        <w:rPr>
          <w:lang w:val="en-US"/>
        </w:rPr>
      </w:pPr>
      <w:r>
        <w:rPr>
          <w:rStyle w:val="Fotnotsreferens"/>
        </w:rPr>
        <w:footnoteRef/>
      </w:r>
      <w:r w:rsidRPr="004B20AC">
        <w:rPr>
          <w:lang w:val="en-US"/>
        </w:rPr>
        <w:t xml:space="preserve"> The emissions only </w:t>
      </w:r>
      <w:r>
        <w:rPr>
          <w:lang w:val="en-US"/>
        </w:rPr>
        <w:t>include</w:t>
      </w:r>
      <w:r w:rsidRPr="004B20AC">
        <w:rPr>
          <w:lang w:val="en-US"/>
        </w:rPr>
        <w:t xml:space="preserve"> CO2.</w:t>
      </w:r>
    </w:p>
  </w:footnote>
  <w:footnote w:id="3">
    <w:p w14:paraId="160F2DF8" w14:textId="77777777" w:rsidR="00AF2E9A" w:rsidRPr="00416AE0" w:rsidRDefault="00AF2E9A" w:rsidP="0044710E">
      <w:pPr>
        <w:pStyle w:val="Fotnotstext"/>
        <w:rPr>
          <w:lang w:val="en-GB"/>
        </w:rPr>
      </w:pPr>
      <w:r w:rsidRPr="006260F5">
        <w:rPr>
          <w:rStyle w:val="Fotnotsreferens"/>
          <w:lang w:val="en-GB"/>
        </w:rPr>
        <w:footnoteRef/>
      </w:r>
      <w:r w:rsidRPr="00416AE0">
        <w:rPr>
          <w:lang w:val="en-GB"/>
        </w:rPr>
        <w:t xml:space="preserve"> These scenarios are explained in more detail in chapter 4.</w:t>
      </w:r>
    </w:p>
  </w:footnote>
  <w:footnote w:id="4">
    <w:p w14:paraId="5F634807" w14:textId="7B805C01" w:rsidR="00AF2E9A" w:rsidRPr="00AC7C92" w:rsidRDefault="00AF2E9A" w:rsidP="0044710E">
      <w:pPr>
        <w:pStyle w:val="Fotnotstext"/>
        <w:rPr>
          <w:lang w:val="en-GB"/>
        </w:rPr>
      </w:pPr>
      <w:r w:rsidRPr="006260F5">
        <w:rPr>
          <w:rStyle w:val="Fotnotsreferens"/>
          <w:lang w:val="en-GB"/>
        </w:rPr>
        <w:footnoteRef/>
      </w:r>
      <w:r w:rsidRPr="00276C19">
        <w:rPr>
          <w:lang w:val="en-GB"/>
        </w:rPr>
        <w:t xml:space="preserve"> Case </w:t>
      </w:r>
      <w:r>
        <w:rPr>
          <w:lang w:val="en-GB"/>
        </w:rPr>
        <w:t>“</w:t>
      </w:r>
      <w:r w:rsidRPr="00276C19">
        <w:rPr>
          <w:lang w:val="en-GB"/>
        </w:rPr>
        <w:t xml:space="preserve">Reference EU” </w:t>
      </w:r>
      <w:r>
        <w:rPr>
          <w:lang w:val="en-GB"/>
        </w:rPr>
        <w:t xml:space="preserve">using prices on fossil fuels and emission allowances recommended by the Commission. </w:t>
      </w:r>
      <w:r w:rsidRPr="00AC7C92">
        <w:rPr>
          <w:lang w:val="en-GB"/>
        </w:rPr>
        <w:t>The scenario is explained in more detail in chapter 4.</w:t>
      </w:r>
    </w:p>
  </w:footnote>
  <w:footnote w:id="5">
    <w:p w14:paraId="7ECF1293" w14:textId="77777777" w:rsidR="00AF2E9A" w:rsidRPr="0081569A" w:rsidRDefault="00AF2E9A" w:rsidP="0044710E">
      <w:pPr>
        <w:pStyle w:val="Fotnotstext"/>
        <w:rPr>
          <w:lang w:val="en-GB"/>
        </w:rPr>
      </w:pPr>
      <w:r w:rsidRPr="006260F5">
        <w:rPr>
          <w:rStyle w:val="Fotnotsreferens"/>
          <w:lang w:val="en-GB"/>
        </w:rPr>
        <w:footnoteRef/>
      </w:r>
      <w:r w:rsidRPr="0081569A">
        <w:rPr>
          <w:lang w:val="en-GB"/>
        </w:rPr>
        <w:t xml:space="preserve"> Including the renewable part of waste</w:t>
      </w:r>
      <w:r>
        <w:rPr>
          <w:lang w:val="en-GB"/>
        </w:rPr>
        <w:t>.</w:t>
      </w:r>
    </w:p>
  </w:footnote>
  <w:footnote w:id="6">
    <w:p w14:paraId="69089007" w14:textId="77777777" w:rsidR="00AF2E9A" w:rsidRPr="003547DE" w:rsidRDefault="00AF2E9A" w:rsidP="0044710E">
      <w:pPr>
        <w:pStyle w:val="Fotnotstext"/>
      </w:pPr>
      <w:r w:rsidRPr="006260F5">
        <w:rPr>
          <w:rStyle w:val="Fotnotsreferens"/>
          <w:lang w:val="en-GB"/>
        </w:rPr>
        <w:footnoteRef/>
      </w:r>
      <w:r w:rsidRPr="003547DE">
        <w:t xml:space="preserve"> Börjesson P. (2016). Potential för ökad tillförsel och avsättning av inhemsk biomassa i en växande svensk bioekonomi, Rapport nr. 97, Lunds universitet.</w:t>
      </w:r>
    </w:p>
  </w:footnote>
  <w:footnote w:id="7">
    <w:p w14:paraId="088A5BDA" w14:textId="77777777" w:rsidR="00AF2E9A" w:rsidRPr="00DF1E01" w:rsidRDefault="00AF2E9A" w:rsidP="0044710E">
      <w:pPr>
        <w:pStyle w:val="Fotnotstext"/>
        <w:rPr>
          <w:lang w:val="en-GB"/>
        </w:rPr>
      </w:pPr>
      <w:r>
        <w:rPr>
          <w:rStyle w:val="Fotnotsreferens"/>
        </w:rPr>
        <w:footnoteRef/>
      </w:r>
      <w:r w:rsidRPr="00DF1E01">
        <w:rPr>
          <w:lang w:val="en-GB"/>
        </w:rPr>
        <w:t xml:space="preserve"> Final consumption</w:t>
      </w:r>
      <w:r>
        <w:rPr>
          <w:lang w:val="en-GB"/>
        </w:rPr>
        <w:t xml:space="preserve"> </w:t>
      </w:r>
      <w:r w:rsidRPr="00DF1E01">
        <w:rPr>
          <w:lang w:val="en-GB"/>
        </w:rPr>
        <w:t>/</w:t>
      </w:r>
      <w:r>
        <w:rPr>
          <w:lang w:val="en-GB"/>
        </w:rPr>
        <w:t xml:space="preserve"> </w:t>
      </w:r>
      <w:r w:rsidRPr="00DF1E01">
        <w:rPr>
          <w:lang w:val="en-GB"/>
        </w:rPr>
        <w:t xml:space="preserve">(primary consumption – </w:t>
      </w:r>
      <w:r>
        <w:rPr>
          <w:lang w:val="en-GB"/>
        </w:rPr>
        <w:t>nuclear energy losses) = 0,85</w:t>
      </w:r>
    </w:p>
  </w:footnote>
  <w:footnote w:id="8">
    <w:p w14:paraId="77C0D66F" w14:textId="4471B095" w:rsidR="00AF2E9A" w:rsidRPr="00635D0A" w:rsidRDefault="00AF2E9A" w:rsidP="00476B6A">
      <w:pPr>
        <w:pStyle w:val="Fotnotstext"/>
        <w:rPr>
          <w:lang w:val="en-US"/>
        </w:rPr>
      </w:pPr>
      <w:r>
        <w:rPr>
          <w:rStyle w:val="Fotnotsreferens"/>
        </w:rPr>
        <w:footnoteRef/>
      </w:r>
      <w:r w:rsidRPr="00635D0A">
        <w:rPr>
          <w:lang w:val="en-US"/>
        </w:rPr>
        <w:t xml:space="preserve"> </w:t>
      </w:r>
      <w:r w:rsidRPr="00476B6A">
        <w:rPr>
          <w:lang w:val="en-US"/>
        </w:rPr>
        <w:t>REGULATION (EU) 2017/1938 OF THE EUROPEA</w:t>
      </w:r>
      <w:r>
        <w:rPr>
          <w:lang w:val="en-US"/>
        </w:rPr>
        <w:t xml:space="preserve">N PARLIAMENT AND OF THE COUNCIL of 25 October 2017 </w:t>
      </w:r>
      <w:r w:rsidRPr="00476B6A">
        <w:rPr>
          <w:lang w:val="en-US"/>
        </w:rPr>
        <w:t>concerning measures to safeguard the security of gas supply and repealing Regulation (EU) No 994/2010</w:t>
      </w:r>
    </w:p>
  </w:footnote>
  <w:footnote w:id="9">
    <w:p w14:paraId="763FC4C7" w14:textId="3C6DFA1C" w:rsidR="00AF2E9A" w:rsidRPr="00D5111F" w:rsidRDefault="00AF2E9A" w:rsidP="00F4775A">
      <w:pPr>
        <w:rPr>
          <w:sz w:val="16"/>
          <w:szCs w:val="16"/>
          <w:lang w:val="en-US"/>
        </w:rPr>
      </w:pPr>
      <w:r w:rsidRPr="00D5111F">
        <w:rPr>
          <w:rStyle w:val="Fotnotsreferens"/>
          <w:sz w:val="16"/>
          <w:szCs w:val="16"/>
        </w:rPr>
        <w:footnoteRef/>
      </w:r>
      <w:r w:rsidRPr="00D5111F">
        <w:rPr>
          <w:sz w:val="16"/>
          <w:szCs w:val="16"/>
          <w:lang w:val="en-US"/>
        </w:rPr>
        <w:t xml:space="preserve"> n-1 is referred to as any single component failure in the supply network will not affect the electricity supply.</w:t>
      </w:r>
    </w:p>
  </w:footnote>
  <w:footnote w:id="10">
    <w:p w14:paraId="758CA6E4" w14:textId="77777777" w:rsidR="00AF2E9A" w:rsidRPr="00FD5760" w:rsidRDefault="00AF2E9A" w:rsidP="00DE2442">
      <w:pPr>
        <w:pStyle w:val="Fotnotstext"/>
        <w:rPr>
          <w:rFonts w:cs="Arial"/>
          <w:szCs w:val="16"/>
          <w:lang w:val="en-US"/>
        </w:rPr>
      </w:pPr>
      <w:r w:rsidRPr="003A2D5B">
        <w:rPr>
          <w:rStyle w:val="Fotnotsreferens"/>
          <w:rFonts w:cs="Arial"/>
          <w:szCs w:val="16"/>
        </w:rPr>
        <w:footnoteRef/>
      </w:r>
      <w:r w:rsidRPr="00451DA7">
        <w:rPr>
          <w:rFonts w:cs="Arial"/>
          <w:szCs w:val="16"/>
          <w:lang w:val="en-US"/>
        </w:rPr>
        <w:t xml:space="preserve"> Tax on energy </w:t>
      </w:r>
      <w:r w:rsidRPr="003A2D5B">
        <w:rPr>
          <w:rFonts w:cs="Arial"/>
          <w:szCs w:val="16"/>
          <w:lang w:val="en-US"/>
        </w:rPr>
        <w:t xml:space="preserve">is a collective term for </w:t>
      </w:r>
      <w:r w:rsidRPr="00451DA7">
        <w:rPr>
          <w:rFonts w:cs="Arial"/>
          <w:szCs w:val="16"/>
          <w:lang w:val="en-US"/>
        </w:rPr>
        <w:t xml:space="preserve">excise taxes for fuel and electrical power and is governed by the </w:t>
      </w:r>
      <w:r>
        <w:rPr>
          <w:rFonts w:cs="Arial"/>
          <w:szCs w:val="16"/>
          <w:lang w:val="en-US"/>
        </w:rPr>
        <w:t>A</w:t>
      </w:r>
      <w:r w:rsidRPr="00451DA7">
        <w:rPr>
          <w:rFonts w:cs="Arial"/>
          <w:szCs w:val="16"/>
          <w:lang w:val="en-US"/>
        </w:rPr>
        <w:t xml:space="preserve">ct </w:t>
      </w:r>
      <w:r w:rsidRPr="00F27EFB">
        <w:rPr>
          <w:rFonts w:cs="Arial"/>
          <w:szCs w:val="16"/>
          <w:lang w:val="en-US"/>
        </w:rPr>
        <w:t>of Excise Duties</w:t>
      </w:r>
      <w:r w:rsidRPr="00451DA7">
        <w:rPr>
          <w:rFonts w:cs="Arial"/>
          <w:szCs w:val="16"/>
          <w:lang w:val="en-US"/>
        </w:rPr>
        <w:t xml:space="preserve"> on </w:t>
      </w:r>
      <w:r>
        <w:rPr>
          <w:rFonts w:cs="Arial"/>
          <w:szCs w:val="16"/>
          <w:lang w:val="en-US"/>
        </w:rPr>
        <w:t>E</w:t>
      </w:r>
      <w:r w:rsidRPr="00451DA7">
        <w:rPr>
          <w:rFonts w:cs="Arial"/>
          <w:szCs w:val="16"/>
          <w:lang w:val="en-US"/>
        </w:rPr>
        <w:t xml:space="preserve">nergy (1994:1776). </w:t>
      </w:r>
    </w:p>
  </w:footnote>
  <w:footnote w:id="11">
    <w:p w14:paraId="2FEB7BF4" w14:textId="77777777" w:rsidR="00AF2E9A" w:rsidRPr="00FD5760" w:rsidRDefault="00AF2E9A" w:rsidP="00DE2442">
      <w:pPr>
        <w:pStyle w:val="Fotnotstext"/>
        <w:rPr>
          <w:rFonts w:cs="Arial"/>
          <w:szCs w:val="16"/>
          <w:lang w:val="en-US"/>
        </w:rPr>
      </w:pPr>
      <w:r w:rsidRPr="003A2D5B">
        <w:rPr>
          <w:rStyle w:val="Fotnotsreferens"/>
          <w:rFonts w:cs="Arial"/>
          <w:szCs w:val="16"/>
        </w:rPr>
        <w:footnoteRef/>
      </w:r>
      <w:r w:rsidRPr="003A2D5B">
        <w:rPr>
          <w:rFonts w:cs="Arial"/>
          <w:szCs w:val="16"/>
          <w:lang w:val="en-US"/>
        </w:rPr>
        <w:t xml:space="preserve"> The energy efficiency target and the renewable target for 2020 </w:t>
      </w:r>
      <w:r>
        <w:rPr>
          <w:rFonts w:cs="Arial"/>
          <w:szCs w:val="16"/>
          <w:lang w:val="en-US"/>
        </w:rPr>
        <w:t>are</w:t>
      </w:r>
      <w:r w:rsidRPr="003A2D5B">
        <w:rPr>
          <w:rFonts w:cs="Arial"/>
          <w:szCs w:val="16"/>
          <w:lang w:val="en-US"/>
        </w:rPr>
        <w:t xml:space="preserve"> part of Govt. </w:t>
      </w:r>
      <w:r w:rsidRPr="00FD5760">
        <w:rPr>
          <w:rFonts w:cs="Arial"/>
          <w:szCs w:val="16"/>
          <w:lang w:val="en-US"/>
        </w:rPr>
        <w:t>Bills 2008/09:162 and 163</w:t>
      </w:r>
      <w:r>
        <w:rPr>
          <w:rFonts w:cs="Arial"/>
          <w:szCs w:val="16"/>
          <w:lang w:val="en-US"/>
        </w:rPr>
        <w:t>.</w:t>
      </w:r>
    </w:p>
  </w:footnote>
  <w:footnote w:id="12">
    <w:p w14:paraId="01AD9865" w14:textId="4EBBF464" w:rsidR="00AF2E9A" w:rsidRPr="00444A89" w:rsidRDefault="00AF2E9A">
      <w:pPr>
        <w:pStyle w:val="Fotnotstext"/>
      </w:pPr>
      <w:r>
        <w:rPr>
          <w:rStyle w:val="Fotnotsreferens"/>
        </w:rPr>
        <w:footnoteRef/>
      </w:r>
      <w:r w:rsidRPr="00F76B66">
        <w:rPr>
          <w:lang w:val="en-GB"/>
        </w:rPr>
        <w:t xml:space="preserve"> National Institute of Economic Research (2013). </w:t>
      </w:r>
      <w:r w:rsidRPr="00444A89">
        <w:t>Miljö, ekonomi och politik. Konjunkturinstitutet.</w:t>
      </w:r>
    </w:p>
  </w:footnote>
  <w:footnote w:id="13">
    <w:p w14:paraId="77FF14AE" w14:textId="7120CA4F" w:rsidR="00AF2E9A" w:rsidRPr="001203B5" w:rsidRDefault="00AF2E9A" w:rsidP="00DE2442">
      <w:pPr>
        <w:pStyle w:val="Fotnotstext"/>
        <w:rPr>
          <w:rFonts w:ascii="Times New Roman" w:hAnsi="Times New Roman"/>
          <w:lang w:val="en-GB"/>
        </w:rPr>
      </w:pPr>
      <w:r>
        <w:rPr>
          <w:rStyle w:val="Fotnotsreferens"/>
        </w:rPr>
        <w:footnoteRef/>
      </w:r>
      <w:r w:rsidRPr="001A15BC">
        <w:rPr>
          <w:rFonts w:ascii="Times New Roman" w:hAnsi="Times New Roman"/>
          <w:lang w:val="en-GB"/>
        </w:rPr>
        <w:t xml:space="preserve"> </w:t>
      </w:r>
      <w:r w:rsidRPr="000116BB">
        <w:rPr>
          <w:lang w:val="en-GB"/>
        </w:rPr>
        <w:t>This is achieved through a flat-rate increase</w:t>
      </w:r>
      <w:r>
        <w:rPr>
          <w:lang w:val="en-GB"/>
        </w:rPr>
        <w:t xml:space="preserve"> of 2%</w:t>
      </w:r>
      <w:r w:rsidRPr="000116BB">
        <w:rPr>
          <w:lang w:val="en-GB"/>
        </w:rPr>
        <w:t xml:space="preserve"> per year. The combined change in the carbon and energy tax rates is, however, added exclusively to the energy tax rate (i.e. the carbon tax rate is only directly affected by the indexation to CPI).</w:t>
      </w:r>
      <w:r>
        <w:rPr>
          <w:lang w:val="en-GB"/>
        </w:rPr>
        <w:t xml:space="preserve"> </w:t>
      </w:r>
    </w:p>
  </w:footnote>
  <w:footnote w:id="14">
    <w:p w14:paraId="0FC95DA3" w14:textId="77777777" w:rsidR="00AF2E9A" w:rsidRPr="0058367D" w:rsidRDefault="00AF2E9A" w:rsidP="00DE2442">
      <w:pPr>
        <w:pStyle w:val="Fotnotstext"/>
        <w:rPr>
          <w:lang w:val="en-US"/>
        </w:rPr>
      </w:pPr>
      <w:r>
        <w:rPr>
          <w:rStyle w:val="Fotnotsreferens"/>
        </w:rPr>
        <w:footnoteRef/>
      </w:r>
      <w:r w:rsidRPr="0058367D">
        <w:rPr>
          <w:lang w:val="en-US"/>
        </w:rPr>
        <w:t xml:space="preserve"> </w:t>
      </w:r>
      <w:r>
        <w:rPr>
          <w:lang w:val="en-GB"/>
        </w:rPr>
        <w:t xml:space="preserve">In this way, the basic logic behind the carbon tax </w:t>
      </w:r>
      <w:r>
        <w:rPr>
          <w:lang w:val="en-GB"/>
        </w:rPr>
        <w:softHyphen/>
      </w:r>
      <w:r>
        <w:rPr>
          <w:lang w:val="en-GB"/>
        </w:rPr>
        <w:softHyphen/>
        <w:t xml:space="preserve">− to only target </w:t>
      </w:r>
      <w:r w:rsidRPr="001D2A87">
        <w:rPr>
          <w:i/>
          <w:lang w:val="en-GB"/>
        </w:rPr>
        <w:t>fossil</w:t>
      </w:r>
      <w:r>
        <w:rPr>
          <w:lang w:val="en-GB"/>
        </w:rPr>
        <w:t xml:space="preserve"> carbon emissions − is preserved.</w:t>
      </w:r>
    </w:p>
  </w:footnote>
  <w:footnote w:id="15">
    <w:p w14:paraId="3B19E499" w14:textId="77777777" w:rsidR="00AF2E9A" w:rsidRPr="0058367D" w:rsidRDefault="00AF2E9A" w:rsidP="00DE2442">
      <w:pPr>
        <w:pStyle w:val="Fotnotstext"/>
        <w:rPr>
          <w:lang w:val="en-US"/>
        </w:rPr>
      </w:pPr>
      <w:r>
        <w:rPr>
          <w:rStyle w:val="Fotnotsreferens"/>
        </w:rPr>
        <w:footnoteRef/>
      </w:r>
      <w:r w:rsidRPr="0058367D">
        <w:rPr>
          <w:lang w:val="en-US"/>
        </w:rPr>
        <w:t xml:space="preserve"> </w:t>
      </w:r>
      <w:r>
        <w:rPr>
          <w:lang w:val="en-GB"/>
        </w:rPr>
        <w:t>Investments in sectors included in the EU ETS may still be eligible for grants if these result in an increased utilisation of waste heat.</w:t>
      </w:r>
    </w:p>
  </w:footnote>
  <w:footnote w:id="16">
    <w:p w14:paraId="3765790E" w14:textId="47695780" w:rsidR="00AF2E9A" w:rsidRPr="00F76B66" w:rsidRDefault="00AF2E9A">
      <w:pPr>
        <w:pStyle w:val="Fotnotstext"/>
      </w:pPr>
      <w:r>
        <w:rPr>
          <w:rStyle w:val="Fotnotsreferens"/>
        </w:rPr>
        <w:footnoteRef/>
      </w:r>
      <w:r w:rsidRPr="00F76B66">
        <w:t xml:space="preserve"> Fossilfritt Sverige (2017) http://fossilfritt-sverige.se/in-english/</w:t>
      </w:r>
    </w:p>
  </w:footnote>
  <w:footnote w:id="17">
    <w:p w14:paraId="572F80E5" w14:textId="77777777" w:rsidR="00AF2E9A" w:rsidRPr="006260F5" w:rsidRDefault="00AF2E9A" w:rsidP="00DE2442">
      <w:pPr>
        <w:pStyle w:val="Fotnotstext"/>
        <w:rPr>
          <w:lang w:val="en-GB"/>
        </w:rPr>
      </w:pPr>
      <w:r w:rsidRPr="006260F5">
        <w:rPr>
          <w:rStyle w:val="Fotnotsreferens"/>
          <w:lang w:val="en-GB"/>
        </w:rPr>
        <w:footnoteRef/>
      </w:r>
      <w:r w:rsidRPr="006260F5">
        <w:rPr>
          <w:lang w:val="en-GB"/>
        </w:rPr>
        <w:t xml:space="preserve"> Businesses using less than 300 MWh.</w:t>
      </w:r>
    </w:p>
  </w:footnote>
  <w:footnote w:id="18">
    <w:p w14:paraId="5470C734" w14:textId="77777777" w:rsidR="00AF2E9A" w:rsidRPr="006260F5" w:rsidRDefault="00AF2E9A" w:rsidP="00DE2442">
      <w:pPr>
        <w:pStyle w:val="Fotnotstext"/>
        <w:rPr>
          <w:rFonts w:cs="Arial"/>
          <w:szCs w:val="16"/>
          <w:lang w:val="en-GB"/>
        </w:rPr>
      </w:pPr>
      <w:r w:rsidRPr="006260F5">
        <w:rPr>
          <w:rStyle w:val="Fotnotsreferens"/>
          <w:rFonts w:cs="Arial"/>
          <w:szCs w:val="16"/>
          <w:lang w:val="en-GB"/>
        </w:rPr>
        <w:footnoteRef/>
      </w:r>
      <w:r w:rsidRPr="006260F5">
        <w:rPr>
          <w:rFonts w:cs="Arial"/>
          <w:szCs w:val="16"/>
          <w:lang w:val="en-GB"/>
        </w:rPr>
        <w:t xml:space="preserve"> Extended producer responsibility has been developed for packaging, waste paper, end of life vehicles, tyres, electrical and electronic equipment, batteries, pharmaceuticals and radioactive products.</w:t>
      </w:r>
    </w:p>
  </w:footnote>
  <w:footnote w:id="19">
    <w:p w14:paraId="5B302624" w14:textId="28B6F268" w:rsidR="00AF2E9A" w:rsidRDefault="00AF2E9A">
      <w:pPr>
        <w:pStyle w:val="Fotnotstext"/>
      </w:pPr>
      <w:r>
        <w:rPr>
          <w:rStyle w:val="Fotnotsreferens"/>
        </w:rPr>
        <w:footnoteRef/>
      </w:r>
      <w:r w:rsidRPr="00046BB7">
        <w:rPr>
          <w:lang w:val="en-GB"/>
        </w:rPr>
        <w:t xml:space="preserve"> Swedish Environmental Protection Agency (2012). </w:t>
      </w:r>
      <w:r w:rsidRPr="00046BB7">
        <w:rPr>
          <w:i/>
          <w:lang w:val="en-GB"/>
        </w:rPr>
        <w:t>From waste management to resource efficiency</w:t>
      </w:r>
      <w:r w:rsidRPr="00046BB7">
        <w:rPr>
          <w:lang w:val="en-GB"/>
        </w:rPr>
        <w:t xml:space="preserve">. </w:t>
      </w:r>
      <w:r w:rsidRPr="00046BB7">
        <w:t>Report 6560.</w:t>
      </w:r>
    </w:p>
  </w:footnote>
  <w:footnote w:id="20">
    <w:p w14:paraId="13AA7A9F" w14:textId="4C27E376" w:rsidR="00AF2E9A" w:rsidRPr="00046BB7" w:rsidRDefault="00AF2E9A">
      <w:pPr>
        <w:pStyle w:val="Fotnotstext"/>
      </w:pPr>
      <w:r>
        <w:rPr>
          <w:rStyle w:val="Fotnotsreferens"/>
        </w:rPr>
        <w:footnoteRef/>
      </w:r>
      <w:r>
        <w:t xml:space="preserve"> </w:t>
      </w:r>
      <w:r w:rsidRPr="00046BB7">
        <w:t xml:space="preserve">Swedish Environmental Protection Agency (2015). </w:t>
      </w:r>
      <w:r w:rsidRPr="00046BB7">
        <w:rPr>
          <w:i/>
        </w:rPr>
        <w:t xml:space="preserve">Tillsammans vinner vi på ett giftfritt och resurseffektivt samhälle Sveriges program för att förebygga avfall 2014–2017. </w:t>
      </w:r>
      <w:r>
        <w:t>Report 6654</w:t>
      </w:r>
      <w:r w:rsidRPr="00046BB7">
        <w:t>.</w:t>
      </w:r>
    </w:p>
  </w:footnote>
  <w:footnote w:id="21">
    <w:p w14:paraId="0596F2F5" w14:textId="77777777" w:rsidR="00AF2E9A" w:rsidRPr="00003E03" w:rsidRDefault="00AF2E9A" w:rsidP="0044710E">
      <w:pPr>
        <w:pStyle w:val="Fotnotstext"/>
      </w:pPr>
      <w:r w:rsidRPr="006260F5">
        <w:rPr>
          <w:rStyle w:val="Fotnotsreferens"/>
          <w:lang w:val="en-GB"/>
        </w:rPr>
        <w:footnoteRef/>
      </w:r>
      <w:r w:rsidRPr="00003E03">
        <w:t xml:space="preserve"> </w:t>
      </w:r>
      <w:r>
        <w:t>Förordning (2016:899) om bidrag till lagring av egenproducerad elenergi</w:t>
      </w:r>
    </w:p>
  </w:footnote>
  <w:footnote w:id="22">
    <w:p w14:paraId="0AF3450C" w14:textId="77777777" w:rsidR="00AF2E9A" w:rsidRPr="00F27F26" w:rsidRDefault="00AF2E9A" w:rsidP="0044710E">
      <w:pPr>
        <w:pStyle w:val="Fotnotstext"/>
        <w:rPr>
          <w:lang w:val="en-GB"/>
        </w:rPr>
      </w:pPr>
      <w:r w:rsidRPr="006260F5">
        <w:rPr>
          <w:rStyle w:val="Fotnotsreferens"/>
          <w:lang w:val="en-GB"/>
        </w:rPr>
        <w:footnoteRef/>
      </w:r>
      <w:r w:rsidRPr="00F27F26">
        <w:rPr>
          <w:lang w:val="en-GB"/>
        </w:rPr>
        <w:t xml:space="preserve"> Refers to the case </w:t>
      </w:r>
      <w:r w:rsidRPr="00F27F26">
        <w:rPr>
          <w:i/>
          <w:lang w:val="en-GB"/>
        </w:rPr>
        <w:t>EU</w:t>
      </w:r>
      <w:r>
        <w:rPr>
          <w:i/>
          <w:lang w:val="en-GB"/>
        </w:rPr>
        <w:t xml:space="preserve"> reference</w:t>
      </w:r>
      <w:r>
        <w:rPr>
          <w:lang w:val="en-GB"/>
        </w:rPr>
        <w:t xml:space="preserve">. In the case </w:t>
      </w:r>
      <w:r>
        <w:rPr>
          <w:i/>
          <w:lang w:val="en-GB"/>
        </w:rPr>
        <w:t>Low electricity price + 18 TWh</w:t>
      </w:r>
      <w:r>
        <w:rPr>
          <w:lang w:val="en-GB"/>
        </w:rPr>
        <w:t>, the excess production is estimated to 36 TWh.</w:t>
      </w:r>
    </w:p>
  </w:footnote>
  <w:footnote w:id="23">
    <w:p w14:paraId="794F4F9D" w14:textId="756BE5A0" w:rsidR="00AF2E9A" w:rsidRPr="00903023" w:rsidRDefault="00AF2E9A">
      <w:pPr>
        <w:pStyle w:val="Fotnotstext"/>
        <w:rPr>
          <w:lang w:val="en-GB"/>
        </w:rPr>
      </w:pPr>
      <w:r>
        <w:rPr>
          <w:rStyle w:val="Fotnotsreferens"/>
        </w:rPr>
        <w:footnoteRef/>
      </w:r>
      <w:r w:rsidRPr="00903023">
        <w:rPr>
          <w:lang w:val="en-GB"/>
        </w:rPr>
        <w:t xml:space="preserve"> http://www.energimyndigheten.se/fornybart/riksintressen-for-energiandamal/riksintressen-for-vindbruk/</w:t>
      </w:r>
    </w:p>
  </w:footnote>
  <w:footnote w:id="24">
    <w:p w14:paraId="31AC9EFF" w14:textId="77777777" w:rsidR="00AF2E9A" w:rsidRPr="006260F5" w:rsidRDefault="00AF2E9A" w:rsidP="0044710E">
      <w:pPr>
        <w:pStyle w:val="Fotnotstext"/>
        <w:rPr>
          <w:lang w:val="en-GB"/>
        </w:rPr>
      </w:pPr>
      <w:r w:rsidRPr="006260F5">
        <w:rPr>
          <w:rStyle w:val="Fotnotsreferens"/>
          <w:lang w:val="en-GB"/>
        </w:rPr>
        <w:footnoteRef/>
      </w:r>
      <w:r w:rsidRPr="006260F5">
        <w:rPr>
          <w:lang w:val="en-GB"/>
        </w:rPr>
        <w:t xml:space="preserve"> Copenhagen Economics (2016), Multiple benefits of energy renovations of the Swedish building stock.</w:t>
      </w:r>
    </w:p>
  </w:footnote>
  <w:footnote w:id="25">
    <w:p w14:paraId="465C7AF9" w14:textId="77777777" w:rsidR="00AF2E9A" w:rsidRPr="006260F5" w:rsidRDefault="00AF2E9A" w:rsidP="0044710E">
      <w:pPr>
        <w:pStyle w:val="Fotnotstext"/>
        <w:rPr>
          <w:rFonts w:cs="Arial"/>
          <w:szCs w:val="16"/>
          <w:lang w:val="en-GB"/>
        </w:rPr>
      </w:pPr>
      <w:r w:rsidRPr="006260F5">
        <w:rPr>
          <w:rStyle w:val="Fotnotsreferens"/>
          <w:rFonts w:cs="Arial"/>
          <w:szCs w:val="16"/>
          <w:lang w:val="en-GB"/>
        </w:rPr>
        <w:footnoteRef/>
      </w:r>
      <w:r w:rsidRPr="006260F5">
        <w:rPr>
          <w:rFonts w:cs="Arial"/>
          <w:szCs w:val="16"/>
          <w:lang w:val="en-GB"/>
        </w:rPr>
        <w:t xml:space="preserve"> The law is part of fulfilling the EU Energy Efficiency Directive, EED (Directive 2012/27/EU)</w:t>
      </w:r>
    </w:p>
  </w:footnote>
  <w:footnote w:id="26">
    <w:p w14:paraId="64E6703B" w14:textId="77777777" w:rsidR="00AF2E9A" w:rsidRPr="006260F5" w:rsidRDefault="00AF2E9A" w:rsidP="0044710E">
      <w:pPr>
        <w:pStyle w:val="Fotnotstext"/>
        <w:rPr>
          <w:lang w:val="en-GB"/>
        </w:rPr>
      </w:pPr>
      <w:r w:rsidRPr="006260F5">
        <w:rPr>
          <w:rStyle w:val="Fotnotsreferens"/>
          <w:rFonts w:cs="Arial"/>
          <w:szCs w:val="16"/>
          <w:lang w:val="en-GB"/>
        </w:rPr>
        <w:footnoteRef/>
      </w:r>
      <w:r w:rsidRPr="006260F5">
        <w:rPr>
          <w:rFonts w:cs="Arial"/>
          <w:szCs w:val="16"/>
          <w:lang w:val="en-GB"/>
        </w:rPr>
        <w:t xml:space="preserve"> Businesses using more than 300 MWh of energy annually, farms with at least 100 livestock units and economical organizations are eligible for the support.</w:t>
      </w:r>
      <w:r w:rsidRPr="006260F5">
        <w:rPr>
          <w:sz w:val="21"/>
          <w:szCs w:val="21"/>
          <w:lang w:val="en-GB"/>
        </w:rPr>
        <w:t xml:space="preserve"> </w:t>
      </w:r>
    </w:p>
  </w:footnote>
  <w:footnote w:id="27">
    <w:p w14:paraId="776C761A" w14:textId="77777777" w:rsidR="00AF2E9A" w:rsidRPr="006260F5" w:rsidRDefault="00AF2E9A" w:rsidP="0044710E">
      <w:pPr>
        <w:pStyle w:val="Fotnotstext"/>
        <w:rPr>
          <w:lang w:val="en-GB"/>
        </w:rPr>
      </w:pPr>
      <w:r w:rsidRPr="006260F5">
        <w:rPr>
          <w:rStyle w:val="Fotnotsreferens"/>
          <w:lang w:val="en-GB"/>
        </w:rPr>
        <w:footnoteRef/>
      </w:r>
      <w:r w:rsidRPr="006260F5">
        <w:rPr>
          <w:lang w:val="en-GB"/>
        </w:rPr>
        <w:t xml:space="preserve"> Regulation (2011: 931) on planning for prioriti</w:t>
      </w:r>
      <w:r>
        <w:rPr>
          <w:lang w:val="en-GB"/>
        </w:rPr>
        <w:t>s</w:t>
      </w:r>
      <w:r w:rsidRPr="006260F5">
        <w:rPr>
          <w:lang w:val="en-GB"/>
        </w:rPr>
        <w:t>ing socially important electricity users. The planning is being carried out to provide the basis for the power companies' plans for manual</w:t>
      </w:r>
      <w:r>
        <w:rPr>
          <w:lang w:val="en-GB"/>
        </w:rPr>
        <w:t xml:space="preserve"> load shedding</w:t>
      </w:r>
      <w:r w:rsidRPr="006260F5">
        <w:rPr>
          <w:lang w:val="en-GB"/>
        </w:rPr>
        <w:t>.</w:t>
      </w:r>
    </w:p>
  </w:footnote>
  <w:footnote w:id="28">
    <w:p w14:paraId="60DAEA56" w14:textId="230C5038" w:rsidR="00AF2E9A" w:rsidRPr="00081A2C" w:rsidRDefault="00AF2E9A" w:rsidP="00081A2C">
      <w:pPr>
        <w:pStyle w:val="Default"/>
        <w:rPr>
          <w:rFonts w:asciiTheme="minorHAnsi" w:hAnsiTheme="minorHAnsi" w:cstheme="minorHAnsi"/>
          <w:color w:val="1F497D"/>
          <w:sz w:val="16"/>
          <w:szCs w:val="16"/>
          <w:lang w:val="en-GB"/>
        </w:rPr>
      </w:pPr>
      <w:r w:rsidRPr="00081A2C">
        <w:rPr>
          <w:rStyle w:val="Fotnotsreferens"/>
          <w:sz w:val="16"/>
          <w:szCs w:val="16"/>
        </w:rPr>
        <w:footnoteRef/>
      </w:r>
      <w:r w:rsidRPr="00081A2C">
        <w:rPr>
          <w:sz w:val="16"/>
          <w:szCs w:val="16"/>
          <w:lang w:val="en-GB"/>
        </w:rPr>
        <w:t xml:space="preserve"> </w:t>
      </w:r>
      <w:r w:rsidRPr="00081A2C">
        <w:rPr>
          <w:rFonts w:asciiTheme="minorHAnsi" w:hAnsiTheme="minorHAnsi" w:cstheme="minorHAnsi"/>
          <w:color w:val="1F497D"/>
          <w:sz w:val="16"/>
          <w:szCs w:val="16"/>
          <w:lang w:val="en-GB"/>
        </w:rPr>
        <w:t xml:space="preserve">”Roll-out of intraday market coupling” in Commission Regulation (EU) 2015/122 and ”Cross-border balancing markets” in Commission Regulation ”establishing a guideline on electricity balancing” (not in force yet) </w:t>
      </w:r>
    </w:p>
  </w:footnote>
  <w:footnote w:id="29">
    <w:p w14:paraId="414C9AD3" w14:textId="2E9DC6EB" w:rsidR="00AF2E9A" w:rsidRPr="00081A2C" w:rsidRDefault="00AF2E9A">
      <w:pPr>
        <w:pStyle w:val="Fotnotstext"/>
        <w:rPr>
          <w:szCs w:val="16"/>
        </w:rPr>
      </w:pPr>
      <w:r w:rsidRPr="00081A2C">
        <w:rPr>
          <w:rStyle w:val="Fotnotsreferens"/>
          <w:szCs w:val="16"/>
        </w:rPr>
        <w:footnoteRef/>
      </w:r>
      <w:r w:rsidRPr="00081A2C">
        <w:rPr>
          <w:szCs w:val="16"/>
        </w:rPr>
        <w:t xml:space="preserve"> </w:t>
      </w:r>
      <w:r>
        <w:rPr>
          <w:szCs w:val="16"/>
        </w:rPr>
        <w:t>http://</w:t>
      </w:r>
      <w:hyperlink r:id="rId1" w:history="1">
        <w:r w:rsidRPr="00081A2C">
          <w:rPr>
            <w:rStyle w:val="Hyperlnk"/>
            <w:szCs w:val="16"/>
          </w:rPr>
          <w:t>swedishsmartgrid.se</w:t>
        </w:r>
      </w:hyperlink>
      <w:r>
        <w:rPr>
          <w:szCs w:val="16"/>
        </w:rPr>
        <w:t>/</w:t>
      </w:r>
    </w:p>
    <w:p w14:paraId="2A903325" w14:textId="77777777" w:rsidR="00AF2E9A" w:rsidRDefault="00AF2E9A">
      <w:pPr>
        <w:pStyle w:val="Fotnotstext"/>
      </w:pPr>
    </w:p>
  </w:footnote>
  <w:footnote w:id="30">
    <w:p w14:paraId="495CC36D" w14:textId="77777777" w:rsidR="00AF2E9A" w:rsidRPr="00437F2C" w:rsidRDefault="00AF2E9A" w:rsidP="0044710E">
      <w:pPr>
        <w:pStyle w:val="Fotnotstext"/>
      </w:pPr>
      <w:r w:rsidRPr="006260F5">
        <w:rPr>
          <w:rStyle w:val="Fotnotsreferens"/>
          <w:lang w:val="en-GB"/>
        </w:rPr>
        <w:footnoteRef/>
      </w:r>
      <w:r w:rsidRPr="00437F2C">
        <w:t xml:space="preserve"> </w:t>
      </w:r>
      <w:hyperlink r:id="rId2" w:history="1">
        <w:r w:rsidRPr="00437F2C">
          <w:rPr>
            <w:rStyle w:val="Hyperlnk"/>
          </w:rPr>
          <w:t>Formas</w:t>
        </w:r>
      </w:hyperlink>
      <w:r w:rsidRPr="00437F2C">
        <w:t xml:space="preserve"> </w:t>
      </w:r>
    </w:p>
  </w:footnote>
  <w:footnote w:id="31">
    <w:p w14:paraId="06C212CE" w14:textId="77777777" w:rsidR="00AF2E9A" w:rsidRPr="00437F2C" w:rsidRDefault="00AF2E9A" w:rsidP="0044710E">
      <w:pPr>
        <w:pStyle w:val="Fotnotstext"/>
      </w:pPr>
      <w:r w:rsidRPr="006260F5">
        <w:rPr>
          <w:rStyle w:val="Fotnotsreferens"/>
          <w:lang w:val="en-GB"/>
        </w:rPr>
        <w:footnoteRef/>
      </w:r>
      <w:r w:rsidRPr="00437F2C">
        <w:t xml:space="preserve"> (</w:t>
      </w:r>
      <w:hyperlink r:id="rId3" w:history="1">
        <w:r w:rsidRPr="00437F2C">
          <w:rPr>
            <w:rStyle w:val="Hyperlnk"/>
          </w:rPr>
          <w:t>http://www.nordicenergy.org/</w:t>
        </w:r>
      </w:hyperlink>
      <w:r w:rsidRPr="00437F2C">
        <w:t>)</w:t>
      </w:r>
    </w:p>
  </w:footnote>
  <w:footnote w:id="32">
    <w:p w14:paraId="5E581305" w14:textId="77777777" w:rsidR="00AF2E9A" w:rsidRPr="00437F2C" w:rsidRDefault="00AF2E9A" w:rsidP="0044710E">
      <w:pPr>
        <w:pStyle w:val="Fotnotstext"/>
      </w:pPr>
      <w:r w:rsidRPr="006260F5">
        <w:rPr>
          <w:rStyle w:val="Fotnotsreferens"/>
          <w:lang w:val="en-GB"/>
        </w:rPr>
        <w:footnoteRef/>
      </w:r>
      <w:r w:rsidRPr="00437F2C">
        <w:t xml:space="preserve"> </w:t>
      </w:r>
      <w:hyperlink r:id="rId4" w:history="1">
        <w:r w:rsidRPr="00437F2C">
          <w:rPr>
            <w:rStyle w:val="Hyperlnk"/>
          </w:rPr>
          <w:t>http://mission-innovation.net/participating-countries/sweden/</w:t>
        </w:r>
      </w:hyperlink>
      <w:r w:rsidRPr="00437F2C">
        <w:t xml:space="preserve"> </w:t>
      </w:r>
    </w:p>
    <w:p w14:paraId="73DE8AC5" w14:textId="77777777" w:rsidR="00AF2E9A" w:rsidRPr="00437F2C" w:rsidRDefault="00AF2E9A" w:rsidP="0044710E">
      <w:pPr>
        <w:pStyle w:val="Fotnotstext"/>
      </w:pPr>
    </w:p>
  </w:footnote>
  <w:footnote w:id="33">
    <w:p w14:paraId="75CFFCB6" w14:textId="77777777" w:rsidR="00AF2E9A" w:rsidRDefault="00AF2E9A" w:rsidP="00242775">
      <w:pPr>
        <w:pStyle w:val="Fotnotstext"/>
      </w:pPr>
      <w:r>
        <w:rPr>
          <w:rStyle w:val="Fotnotsreferens"/>
        </w:rPr>
        <w:footnoteRef/>
      </w:r>
      <w:r>
        <w:t xml:space="preserve"> Energimyndigheten, Scenarier över Sveriges energisystem 2016, ER 2017:6.</w:t>
      </w:r>
    </w:p>
  </w:footnote>
  <w:footnote w:id="34">
    <w:p w14:paraId="3B7E8D3F" w14:textId="77777777" w:rsidR="00AF2E9A" w:rsidRPr="00593C4D" w:rsidRDefault="00AF2E9A" w:rsidP="0044710E">
      <w:pPr>
        <w:pStyle w:val="Fotnotstext"/>
      </w:pPr>
      <w:r>
        <w:rPr>
          <w:rStyle w:val="Fotnotsreferens"/>
        </w:rPr>
        <w:footnoteRef/>
      </w:r>
      <w:r w:rsidRPr="00593C4D">
        <w:t xml:space="preserve"> </w:t>
      </w:r>
      <w:r>
        <w:t>Energimyndigheten, Produktionskostnader för vindkraft i Sverige, ER 2016:17.</w:t>
      </w:r>
    </w:p>
  </w:footnote>
  <w:footnote w:id="35">
    <w:p w14:paraId="00FD7019" w14:textId="0A37BB5F" w:rsidR="00AF2E9A" w:rsidRPr="006260F5" w:rsidRDefault="00AF2E9A" w:rsidP="0044710E">
      <w:pPr>
        <w:pStyle w:val="Fotnotstext"/>
        <w:rPr>
          <w:lang w:val="en-GB"/>
        </w:rPr>
      </w:pPr>
      <w:r w:rsidRPr="006260F5">
        <w:rPr>
          <w:rStyle w:val="Fotnotsreferens"/>
          <w:lang w:val="en-GB"/>
        </w:rPr>
        <w:footnoteRef/>
      </w:r>
      <w:r w:rsidRPr="006260F5">
        <w:rPr>
          <w:lang w:val="en-GB"/>
        </w:rPr>
        <w:t xml:space="preserve"> Read more about ROT in chapter </w:t>
      </w:r>
      <w:r w:rsidRPr="00970043">
        <w:rPr>
          <w:lang w:val="en-GB"/>
        </w:rPr>
        <w:t>3.2ii.</w:t>
      </w:r>
    </w:p>
  </w:footnote>
  <w:footnote w:id="36">
    <w:p w14:paraId="2EA4FE17" w14:textId="055AF18F" w:rsidR="00AF2E9A" w:rsidRPr="00886FAF" w:rsidRDefault="00AF2E9A" w:rsidP="00E4375B">
      <w:pPr>
        <w:rPr>
          <w:sz w:val="16"/>
          <w:szCs w:val="16"/>
          <w:lang w:val="en-GB"/>
        </w:rPr>
      </w:pPr>
      <w:r w:rsidRPr="00886FAF">
        <w:rPr>
          <w:rStyle w:val="Fotnotsreferens"/>
          <w:sz w:val="16"/>
          <w:szCs w:val="16"/>
        </w:rPr>
        <w:footnoteRef/>
      </w:r>
      <w:r w:rsidRPr="00886FAF">
        <w:rPr>
          <w:sz w:val="16"/>
          <w:szCs w:val="16"/>
          <w:lang w:val="en-US"/>
        </w:rPr>
        <w:t xml:space="preserve"> </w:t>
      </w:r>
      <w:r w:rsidRPr="00886FAF">
        <w:rPr>
          <w:sz w:val="16"/>
          <w:szCs w:val="16"/>
          <w:lang w:val="en-GB"/>
        </w:rPr>
        <w:t>Ministry of the Environment. 2017. Report for Sweden on assessment of projected progress, March 2017. In accordance with articles 13 and 14 under Regulation (EU) No 525/2013 of the European parliament and of the Council Decision on a mechanism for monitoring and reporting greenhouse gas emissions and for reporting other information at national and Union level relevant to climate change and repealing Decision No 280/2004/EC</w:t>
      </w:r>
    </w:p>
  </w:footnote>
  <w:footnote w:id="37">
    <w:p w14:paraId="15C22A21" w14:textId="77777777" w:rsidR="00AF2E9A" w:rsidRPr="00886FAF" w:rsidRDefault="00AF2E9A" w:rsidP="0044710E">
      <w:pPr>
        <w:pStyle w:val="Fotnotstext"/>
        <w:rPr>
          <w:szCs w:val="16"/>
          <w:lang w:val="en-GB"/>
        </w:rPr>
      </w:pPr>
      <w:r w:rsidRPr="00886FAF">
        <w:rPr>
          <w:rStyle w:val="Fotnotsreferens"/>
          <w:szCs w:val="16"/>
          <w:lang w:val="en-GB"/>
        </w:rPr>
        <w:footnoteRef/>
      </w:r>
      <w:r w:rsidRPr="00886FAF">
        <w:rPr>
          <w:szCs w:val="16"/>
          <w:lang w:val="en-GB"/>
        </w:rPr>
        <w:t xml:space="preserve"> Measures until 30 of June 2016</w:t>
      </w:r>
    </w:p>
  </w:footnote>
  <w:footnote w:id="38">
    <w:p w14:paraId="54D6EC8F" w14:textId="77777777" w:rsidR="00AF2E9A" w:rsidRPr="00E00E04" w:rsidRDefault="00AF2E9A" w:rsidP="00E00E04">
      <w:pPr>
        <w:pStyle w:val="Klla"/>
        <w:spacing w:after="0"/>
        <w:rPr>
          <w:noProof w:val="0"/>
          <w:szCs w:val="20"/>
          <w:lang w:val="en-GB"/>
        </w:rPr>
      </w:pPr>
      <w:r w:rsidRPr="006260F5">
        <w:rPr>
          <w:rStyle w:val="Fotnotsreferens"/>
          <w:lang w:val="en-GB"/>
        </w:rPr>
        <w:footnoteRef/>
      </w:r>
      <w:r w:rsidRPr="006260F5">
        <w:t xml:space="preserve"> </w:t>
      </w:r>
      <w:r w:rsidRPr="00E00E04">
        <w:rPr>
          <w:noProof w:val="0"/>
          <w:szCs w:val="20"/>
          <w:lang w:val="en-GB"/>
        </w:rPr>
        <w:t>Since the electricity certificate system is common with Norway and more than half of the electricity production within the system is produced in Sweden, a statistical transfer of renewable energy is to be made to Norway. In 2015, 4 TWh of the 217 TWh were transferred.</w:t>
      </w:r>
    </w:p>
  </w:footnote>
  <w:footnote w:id="39">
    <w:p w14:paraId="543E149C" w14:textId="52AA39AF" w:rsidR="00AF2E9A" w:rsidRPr="009B49BD" w:rsidRDefault="00AF2E9A" w:rsidP="0044710E">
      <w:pPr>
        <w:pStyle w:val="Fotnotstext"/>
        <w:rPr>
          <w:szCs w:val="16"/>
          <w:lang w:val="en-GB"/>
        </w:rPr>
      </w:pPr>
      <w:r w:rsidRPr="009B49BD">
        <w:rPr>
          <w:rStyle w:val="Fotnotsreferens"/>
          <w:szCs w:val="16"/>
          <w:lang w:val="en-GB"/>
        </w:rPr>
        <w:footnoteRef/>
      </w:r>
      <w:r w:rsidRPr="009B49BD">
        <w:rPr>
          <w:szCs w:val="16"/>
          <w:lang w:val="en-GB"/>
        </w:rPr>
        <w:t xml:space="preserve"> The heating and cooling sector includes industry, residential, service and district heating, excluding electricity used in these sectors.</w:t>
      </w:r>
    </w:p>
  </w:footnote>
  <w:footnote w:id="40">
    <w:p w14:paraId="6CA980FB" w14:textId="772B1961" w:rsidR="00AF2E9A" w:rsidRPr="006260F5" w:rsidRDefault="00AF2E9A" w:rsidP="0044710E">
      <w:pPr>
        <w:pStyle w:val="Fotnotstext"/>
        <w:rPr>
          <w:lang w:val="en-GB"/>
        </w:rPr>
      </w:pPr>
      <w:r w:rsidRPr="009B49BD">
        <w:rPr>
          <w:rStyle w:val="Fotnotsreferens"/>
          <w:szCs w:val="16"/>
          <w:lang w:val="en-GB"/>
        </w:rPr>
        <w:footnoteRef/>
      </w:r>
      <w:r w:rsidRPr="009B49BD">
        <w:rPr>
          <w:szCs w:val="16"/>
          <w:lang w:val="en-GB"/>
        </w:rPr>
        <w:t xml:space="preserve"> Including a small amount of solar heat.</w:t>
      </w:r>
    </w:p>
  </w:footnote>
  <w:footnote w:id="41">
    <w:p w14:paraId="3DC614FF" w14:textId="0D9E04DA" w:rsidR="00AF2E9A" w:rsidRPr="003044BB" w:rsidRDefault="00AF2E9A" w:rsidP="0044710E">
      <w:pPr>
        <w:pStyle w:val="Fotnotstext"/>
        <w:rPr>
          <w:szCs w:val="16"/>
          <w:lang w:val="en-GB"/>
        </w:rPr>
      </w:pPr>
      <w:r w:rsidRPr="003044BB">
        <w:rPr>
          <w:rStyle w:val="Fotnotsreferens"/>
          <w:szCs w:val="16"/>
          <w:lang w:val="en-GB"/>
        </w:rPr>
        <w:footnoteRef/>
      </w:r>
      <w:r w:rsidRPr="003044BB">
        <w:rPr>
          <w:szCs w:val="16"/>
          <w:lang w:val="en-GB"/>
        </w:rPr>
        <w:t xml:space="preserve"> With a temperature adjusted value and wind power according to the Renewable Energy Directive and renewable electricity in relation to electricity use.</w:t>
      </w:r>
    </w:p>
  </w:footnote>
  <w:footnote w:id="42">
    <w:p w14:paraId="73203F31" w14:textId="77777777" w:rsidR="00AF2E9A" w:rsidRPr="003044BB" w:rsidRDefault="00AF2E9A" w:rsidP="0044710E">
      <w:pPr>
        <w:pStyle w:val="Fotnotstext"/>
        <w:rPr>
          <w:szCs w:val="16"/>
          <w:lang w:val="en-GB"/>
        </w:rPr>
      </w:pPr>
      <w:r w:rsidRPr="003044BB">
        <w:rPr>
          <w:rStyle w:val="Fotnotsreferens"/>
          <w:szCs w:val="16"/>
          <w:lang w:val="en-GB"/>
        </w:rPr>
        <w:footnoteRef/>
      </w:r>
      <w:r w:rsidRPr="003044BB">
        <w:rPr>
          <w:szCs w:val="16"/>
          <w:lang w:val="en-GB"/>
        </w:rPr>
        <w:t xml:space="preserve"> Temperature adjusted value. Actual production was 75 TWh.</w:t>
      </w:r>
    </w:p>
  </w:footnote>
  <w:footnote w:id="43">
    <w:p w14:paraId="372542B9" w14:textId="77777777" w:rsidR="00AF2E9A" w:rsidRPr="003044BB" w:rsidRDefault="00AF2E9A" w:rsidP="0044710E">
      <w:pPr>
        <w:pStyle w:val="Fotnotstext"/>
        <w:rPr>
          <w:szCs w:val="16"/>
          <w:lang w:val="en-GB"/>
        </w:rPr>
      </w:pPr>
      <w:r w:rsidRPr="003044BB">
        <w:rPr>
          <w:rStyle w:val="Fotnotsreferens"/>
          <w:szCs w:val="16"/>
          <w:lang w:val="en-GB"/>
        </w:rPr>
        <w:footnoteRef/>
      </w:r>
      <w:r w:rsidRPr="003044BB">
        <w:rPr>
          <w:szCs w:val="16"/>
          <w:lang w:val="en-GB"/>
        </w:rPr>
        <w:t xml:space="preserve"> Temperature adjusted value. Actual production was 16 TWh. </w:t>
      </w:r>
    </w:p>
  </w:footnote>
  <w:footnote w:id="44">
    <w:p w14:paraId="2B7D79DE" w14:textId="77777777" w:rsidR="00AF2E9A" w:rsidRPr="006260F5" w:rsidRDefault="00AF2E9A" w:rsidP="0044710E">
      <w:pPr>
        <w:pStyle w:val="Fotnotstext"/>
        <w:rPr>
          <w:lang w:val="en-GB"/>
        </w:rPr>
      </w:pPr>
      <w:r w:rsidRPr="003044BB">
        <w:rPr>
          <w:rStyle w:val="Fotnotsreferens"/>
          <w:szCs w:val="16"/>
          <w:lang w:val="en-GB"/>
        </w:rPr>
        <w:footnoteRef/>
      </w:r>
      <w:r w:rsidRPr="003044BB">
        <w:rPr>
          <w:szCs w:val="16"/>
          <w:lang w:val="en-GB"/>
        </w:rPr>
        <w:t xml:space="preserve"> Including the renewable part of waste.</w:t>
      </w:r>
    </w:p>
  </w:footnote>
  <w:footnote w:id="45">
    <w:p w14:paraId="07B8F824" w14:textId="2874F609" w:rsidR="00AF2E9A" w:rsidRPr="00D805C5" w:rsidRDefault="00AF2E9A" w:rsidP="0044710E">
      <w:pPr>
        <w:pStyle w:val="Fotnotstext"/>
        <w:rPr>
          <w:szCs w:val="16"/>
          <w:lang w:val="en-GB"/>
        </w:rPr>
      </w:pPr>
      <w:r w:rsidRPr="00D805C5">
        <w:rPr>
          <w:rStyle w:val="Fotnotsreferens"/>
          <w:szCs w:val="16"/>
          <w:lang w:val="en-GB"/>
        </w:rPr>
        <w:footnoteRef/>
      </w:r>
      <w:r w:rsidRPr="00D805C5">
        <w:rPr>
          <w:szCs w:val="16"/>
          <w:lang w:val="en-GB"/>
        </w:rPr>
        <w:t xml:space="preserve"> Energimyndigheten, ER 2017:6, </w:t>
      </w:r>
      <w:hyperlink r:id="rId5" w:history="1">
        <w:r w:rsidRPr="00D805C5">
          <w:rPr>
            <w:rStyle w:val="Hyperlnk"/>
            <w:szCs w:val="16"/>
            <w:lang w:val="en-GB"/>
          </w:rPr>
          <w:t>https://energimyndigheten.a-w2m.se/Home.mvc?ResourceId=5636</w:t>
        </w:r>
      </w:hyperlink>
    </w:p>
  </w:footnote>
  <w:footnote w:id="46">
    <w:p w14:paraId="5E144349" w14:textId="77777777" w:rsidR="00AF2E9A" w:rsidRPr="003A68B3" w:rsidRDefault="00AF2E9A" w:rsidP="0044710E">
      <w:pPr>
        <w:pStyle w:val="Fotnotstext"/>
        <w:rPr>
          <w:szCs w:val="16"/>
          <w:lang w:val="en-US"/>
        </w:rPr>
      </w:pPr>
      <w:r w:rsidRPr="003A68B3">
        <w:rPr>
          <w:rStyle w:val="Fotnotsreferens"/>
          <w:szCs w:val="16"/>
        </w:rPr>
        <w:footnoteRef/>
      </w:r>
      <w:r w:rsidRPr="003A68B3">
        <w:rPr>
          <w:szCs w:val="16"/>
          <w:lang w:val="en-US"/>
        </w:rPr>
        <w:t xml:space="preserve"> Fennoskan 1 is planned to shut down when the new HVDC 800 MW between Sweden and Finland is built. </w:t>
      </w:r>
    </w:p>
  </w:footnote>
  <w:footnote w:id="47">
    <w:p w14:paraId="4A6628ED" w14:textId="16C7720B" w:rsidR="00AF2E9A" w:rsidRPr="003A68B3" w:rsidRDefault="00AF2E9A" w:rsidP="0044710E">
      <w:pPr>
        <w:pStyle w:val="Fotnotstext"/>
        <w:rPr>
          <w:szCs w:val="16"/>
        </w:rPr>
      </w:pPr>
      <w:r w:rsidRPr="003A68B3">
        <w:rPr>
          <w:rStyle w:val="Fotnotsreferens"/>
          <w:color w:val="FF0000"/>
          <w:szCs w:val="16"/>
        </w:rPr>
        <w:footnoteRef/>
      </w:r>
      <w:r w:rsidRPr="003A68B3">
        <w:rPr>
          <w:color w:val="FF0000"/>
          <w:szCs w:val="16"/>
        </w:rPr>
        <w:t xml:space="preserve"> Länk till Systemutvecklingsplan</w:t>
      </w:r>
      <w:r>
        <w:rPr>
          <w:color w:val="FF0000"/>
          <w:szCs w:val="16"/>
        </w:rPr>
        <w:t>en, kommer i slutet av 2017.</w:t>
      </w:r>
    </w:p>
  </w:footnote>
  <w:footnote w:id="48">
    <w:p w14:paraId="4CB8037A" w14:textId="2C0985DC" w:rsidR="00AF2E9A" w:rsidRPr="003A68B3" w:rsidRDefault="00AF2E9A">
      <w:pPr>
        <w:pStyle w:val="Fotnotstext"/>
        <w:rPr>
          <w:szCs w:val="16"/>
        </w:rPr>
      </w:pPr>
      <w:r w:rsidRPr="003A68B3">
        <w:rPr>
          <w:rStyle w:val="Fotnotsreferens"/>
          <w:szCs w:val="16"/>
        </w:rPr>
        <w:footnoteRef/>
      </w:r>
      <w:r w:rsidRPr="003A68B3">
        <w:rPr>
          <w:szCs w:val="16"/>
        </w:rPr>
        <w:t xml:space="preserve"> </w:t>
      </w:r>
      <w:hyperlink r:id="rId6" w:history="1">
        <w:r w:rsidRPr="003A68B3">
          <w:rPr>
            <w:rStyle w:val="Hyperlnk"/>
            <w:szCs w:val="16"/>
          </w:rPr>
          <w:t>http://tyndp.entsoe.eu/</w:t>
        </w:r>
      </w:hyperlink>
    </w:p>
  </w:footnote>
  <w:footnote w:id="49">
    <w:p w14:paraId="4C3CEB08" w14:textId="77777777" w:rsidR="00AF2E9A" w:rsidRPr="003547DE" w:rsidRDefault="00AF2E9A" w:rsidP="0044710E">
      <w:pPr>
        <w:pStyle w:val="Fotnotstext"/>
      </w:pPr>
      <w:r w:rsidRPr="006260F5">
        <w:rPr>
          <w:rStyle w:val="Fotnotsreferens"/>
          <w:lang w:val="en-GB"/>
        </w:rPr>
        <w:footnoteRef/>
      </w:r>
      <w:r w:rsidRPr="003547DE">
        <w:t xml:space="preserve"> </w:t>
      </w:r>
      <w:hyperlink r:id="rId7" w:history="1">
        <w:r w:rsidRPr="003547DE">
          <w:rPr>
            <w:rStyle w:val="Hyperlnk"/>
          </w:rPr>
          <w:t>http://stockholmroyalseaport.com/</w:t>
        </w:r>
      </w:hyperlink>
    </w:p>
  </w:footnote>
  <w:footnote w:id="50">
    <w:p w14:paraId="58117110" w14:textId="77777777" w:rsidR="00AF2E9A" w:rsidRPr="003547DE" w:rsidRDefault="00AF2E9A" w:rsidP="0044710E">
      <w:pPr>
        <w:pStyle w:val="Fotnotstext"/>
      </w:pPr>
      <w:r w:rsidRPr="006260F5">
        <w:rPr>
          <w:rStyle w:val="Fotnotsreferens"/>
          <w:lang w:val="en-GB"/>
        </w:rPr>
        <w:footnoteRef/>
      </w:r>
      <w:r w:rsidRPr="003547DE">
        <w:t xml:space="preserve"> </w:t>
      </w:r>
      <w:hyperlink r:id="rId8" w:history="1">
        <w:r w:rsidRPr="003547DE">
          <w:rPr>
            <w:rStyle w:val="Hyperlnk"/>
          </w:rPr>
          <w:t>https://www.eon.se/samhaelle---utveckling/hallbara-stader/smarta-nat-i-hyllie.html</w:t>
        </w:r>
      </w:hyperlink>
    </w:p>
  </w:footnote>
  <w:footnote w:id="51">
    <w:p w14:paraId="302B66E1" w14:textId="77777777" w:rsidR="00AF2E9A" w:rsidRPr="003547DE" w:rsidRDefault="00AF2E9A" w:rsidP="0044710E">
      <w:pPr>
        <w:pStyle w:val="Fotnotstext"/>
      </w:pPr>
      <w:r w:rsidRPr="006260F5">
        <w:rPr>
          <w:rStyle w:val="Fotnotsreferens"/>
          <w:lang w:val="en-GB"/>
        </w:rPr>
        <w:footnoteRef/>
      </w:r>
      <w:r w:rsidRPr="003547DE">
        <w:t xml:space="preserve"> </w:t>
      </w:r>
      <w:hyperlink r:id="rId9" w:history="1">
        <w:r w:rsidRPr="003547DE">
          <w:rPr>
            <w:rStyle w:val="Hyperlnk"/>
          </w:rPr>
          <w:t>http://www.smartgridgotland.se/</w:t>
        </w:r>
      </w:hyperlink>
    </w:p>
  </w:footnote>
  <w:footnote w:id="52">
    <w:p w14:paraId="0C168714" w14:textId="77777777" w:rsidR="00AF2E9A" w:rsidRPr="003547DE" w:rsidRDefault="00AF2E9A" w:rsidP="0044710E">
      <w:pPr>
        <w:pStyle w:val="Fotnotstext"/>
      </w:pPr>
      <w:r w:rsidRPr="006260F5">
        <w:rPr>
          <w:rStyle w:val="Fotnotsreferens"/>
          <w:lang w:val="en-GB"/>
        </w:rPr>
        <w:footnoteRef/>
      </w:r>
      <w:r w:rsidRPr="003547DE">
        <w:t xml:space="preserve"> </w:t>
      </w:r>
      <w:hyperlink r:id="rId10" w:history="1">
        <w:r w:rsidRPr="003547DE">
          <w:rPr>
            <w:rStyle w:val="Hyperlnk"/>
          </w:rPr>
          <w:t>http://ec.europa.eu/growth/industry/innovation/facts-figures/scoreboards_sv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5036"/>
    <w:multiLevelType w:val="hybridMultilevel"/>
    <w:tmpl w:val="D1CCFEA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 w15:restartNumberingAfterBreak="0">
    <w:nsid w:val="058F5EEB"/>
    <w:multiLevelType w:val="hybridMultilevel"/>
    <w:tmpl w:val="87540E8A"/>
    <w:lvl w:ilvl="0" w:tplc="02E20EA0">
      <w:start w:val="3"/>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6215E7F"/>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069"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0770E8"/>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CB9362A"/>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C8546A"/>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DE37277"/>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EB272FE"/>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F2C476E"/>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7A36F0B"/>
    <w:multiLevelType w:val="multilevel"/>
    <w:tmpl w:val="22300076"/>
    <w:lvl w:ilvl="0">
      <w:start w:val="1"/>
      <w:numFmt w:val="decimal"/>
      <w:lvlRestart w:val="0"/>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lowerRoman"/>
      <w:pStyle w:val="i-lista"/>
      <w:lvlText w:val="%3"/>
      <w:lvlJc w:val="left"/>
      <w:pPr>
        <w:ind w:left="1020" w:hanging="1020"/>
      </w:pPr>
      <w:rPr>
        <w:rFonts w:ascii="Times New Roman" w:hAnsi="Times New Roman"/>
        <w:b w:val="0"/>
        <w:i/>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7CF06E4"/>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96902A2"/>
    <w:multiLevelType w:val="hybridMultilevel"/>
    <w:tmpl w:val="586A37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1FAD640E"/>
    <w:multiLevelType w:val="multilevel"/>
    <w:tmpl w:val="F31070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Bilagerubrik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22D5B85"/>
    <w:multiLevelType w:val="multilevel"/>
    <w:tmpl w:val="9850BB7E"/>
    <w:lvl w:ilvl="0">
      <w:start w:val="2"/>
      <w:numFmt w:val="decimal"/>
      <w:pStyle w:val="Numrubrik1"/>
      <w:lvlText w:val="%1"/>
      <w:lvlJc w:val="left"/>
      <w:pPr>
        <w:tabs>
          <w:tab w:val="num" w:pos="1021"/>
        </w:tabs>
        <w:ind w:left="1021" w:hanging="1021"/>
      </w:pPr>
    </w:lvl>
    <w:lvl w:ilvl="1">
      <w:start w:val="2"/>
      <w:numFmt w:val="decimal"/>
      <w:pStyle w:val="NumRubrik2"/>
      <w:lvlText w:val="%1.%2"/>
      <w:lvlJc w:val="left"/>
      <w:pPr>
        <w:tabs>
          <w:tab w:val="num" w:pos="1021"/>
        </w:tabs>
        <w:ind w:left="1021" w:hanging="1021"/>
      </w:pPr>
    </w:lvl>
    <w:lvl w:ilvl="2">
      <w:start w:val="1"/>
      <w:numFmt w:val="decimal"/>
      <w:pStyle w:val="NumRubrik3"/>
      <w:lvlText w:val="%1.%2.%3"/>
      <w:lvlJc w:val="left"/>
      <w:pPr>
        <w:tabs>
          <w:tab w:val="num" w:pos="1021"/>
        </w:tabs>
        <w:ind w:left="1021" w:hanging="1021"/>
      </w:pPr>
    </w:lvl>
    <w:lvl w:ilvl="3">
      <w:start w:val="1"/>
      <w:numFmt w:val="decimal"/>
      <w:pStyle w:val="NumRubrik4"/>
      <w:lvlText w:val="%1.%2.%3.%4"/>
      <w:lvlJc w:val="left"/>
      <w:pPr>
        <w:tabs>
          <w:tab w:val="num" w:pos="1021"/>
        </w:tabs>
        <w:ind w:left="1021" w:hanging="1021"/>
      </w:pPr>
      <w:rPr>
        <w:sz w:val="22"/>
      </w:rPr>
    </w:lvl>
    <w:lvl w:ilvl="4">
      <w:start w:val="1"/>
      <w:numFmt w:val="decimal"/>
      <w:pStyle w:val="NumRubrik5"/>
      <w:lvlText w:val="%1.%2.%3.%4.%5"/>
      <w:lvlJc w:val="left"/>
      <w:pPr>
        <w:tabs>
          <w:tab w:val="num" w:pos="1531"/>
        </w:tabs>
        <w:ind w:left="1531" w:hanging="1531"/>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4B610E3"/>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54F7957"/>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5D17D43"/>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7C14491"/>
    <w:multiLevelType w:val="hybridMultilevel"/>
    <w:tmpl w:val="74460E06"/>
    <w:lvl w:ilvl="0" w:tplc="52F6051C">
      <w:numFmt w:val="bullet"/>
      <w:lvlText w:val="-"/>
      <w:lvlJc w:val="left"/>
      <w:pPr>
        <w:ind w:left="1380" w:hanging="360"/>
      </w:pPr>
      <w:rPr>
        <w:rFonts w:ascii="Times New Roman" w:eastAsiaTheme="majorEastAsia" w:hAnsi="Times New Roman" w:cs="Times New Roman" w:hint="default"/>
      </w:rPr>
    </w:lvl>
    <w:lvl w:ilvl="1" w:tplc="041D0003" w:tentative="1">
      <w:start w:val="1"/>
      <w:numFmt w:val="bullet"/>
      <w:lvlText w:val="o"/>
      <w:lvlJc w:val="left"/>
      <w:pPr>
        <w:ind w:left="2100" w:hanging="360"/>
      </w:pPr>
      <w:rPr>
        <w:rFonts w:ascii="Courier New" w:hAnsi="Courier New" w:cs="Courier New" w:hint="default"/>
      </w:rPr>
    </w:lvl>
    <w:lvl w:ilvl="2" w:tplc="041D0005" w:tentative="1">
      <w:start w:val="1"/>
      <w:numFmt w:val="bullet"/>
      <w:lvlText w:val=""/>
      <w:lvlJc w:val="left"/>
      <w:pPr>
        <w:ind w:left="2820" w:hanging="360"/>
      </w:pPr>
      <w:rPr>
        <w:rFonts w:ascii="Wingdings" w:hAnsi="Wingdings" w:hint="default"/>
      </w:rPr>
    </w:lvl>
    <w:lvl w:ilvl="3" w:tplc="041D0001" w:tentative="1">
      <w:start w:val="1"/>
      <w:numFmt w:val="bullet"/>
      <w:lvlText w:val=""/>
      <w:lvlJc w:val="left"/>
      <w:pPr>
        <w:ind w:left="3540" w:hanging="360"/>
      </w:pPr>
      <w:rPr>
        <w:rFonts w:ascii="Symbol" w:hAnsi="Symbol" w:hint="default"/>
      </w:rPr>
    </w:lvl>
    <w:lvl w:ilvl="4" w:tplc="041D0003" w:tentative="1">
      <w:start w:val="1"/>
      <w:numFmt w:val="bullet"/>
      <w:lvlText w:val="o"/>
      <w:lvlJc w:val="left"/>
      <w:pPr>
        <w:ind w:left="4260" w:hanging="360"/>
      </w:pPr>
      <w:rPr>
        <w:rFonts w:ascii="Courier New" w:hAnsi="Courier New" w:cs="Courier New" w:hint="default"/>
      </w:rPr>
    </w:lvl>
    <w:lvl w:ilvl="5" w:tplc="041D0005" w:tentative="1">
      <w:start w:val="1"/>
      <w:numFmt w:val="bullet"/>
      <w:lvlText w:val=""/>
      <w:lvlJc w:val="left"/>
      <w:pPr>
        <w:ind w:left="4980" w:hanging="360"/>
      </w:pPr>
      <w:rPr>
        <w:rFonts w:ascii="Wingdings" w:hAnsi="Wingdings" w:hint="default"/>
      </w:rPr>
    </w:lvl>
    <w:lvl w:ilvl="6" w:tplc="041D0001" w:tentative="1">
      <w:start w:val="1"/>
      <w:numFmt w:val="bullet"/>
      <w:lvlText w:val=""/>
      <w:lvlJc w:val="left"/>
      <w:pPr>
        <w:ind w:left="5700" w:hanging="360"/>
      </w:pPr>
      <w:rPr>
        <w:rFonts w:ascii="Symbol" w:hAnsi="Symbol" w:hint="default"/>
      </w:rPr>
    </w:lvl>
    <w:lvl w:ilvl="7" w:tplc="041D0003" w:tentative="1">
      <w:start w:val="1"/>
      <w:numFmt w:val="bullet"/>
      <w:lvlText w:val="o"/>
      <w:lvlJc w:val="left"/>
      <w:pPr>
        <w:ind w:left="6420" w:hanging="360"/>
      </w:pPr>
      <w:rPr>
        <w:rFonts w:ascii="Courier New" w:hAnsi="Courier New" w:cs="Courier New" w:hint="default"/>
      </w:rPr>
    </w:lvl>
    <w:lvl w:ilvl="8" w:tplc="041D0005" w:tentative="1">
      <w:start w:val="1"/>
      <w:numFmt w:val="bullet"/>
      <w:lvlText w:val=""/>
      <w:lvlJc w:val="left"/>
      <w:pPr>
        <w:ind w:left="7140" w:hanging="360"/>
      </w:pPr>
      <w:rPr>
        <w:rFonts w:ascii="Wingdings" w:hAnsi="Wingdings" w:hint="default"/>
      </w:rPr>
    </w:lvl>
  </w:abstractNum>
  <w:abstractNum w:abstractNumId="18" w15:restartNumberingAfterBreak="0">
    <w:nsid w:val="29E02434"/>
    <w:multiLevelType w:val="multilevel"/>
    <w:tmpl w:val="041D0025"/>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19" w15:restartNumberingAfterBreak="0">
    <w:nsid w:val="2A757A41"/>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21F18B3"/>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4E85BDA"/>
    <w:multiLevelType w:val="hybridMultilevel"/>
    <w:tmpl w:val="38F0B5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35925B5E"/>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7236DDF"/>
    <w:multiLevelType w:val="hybridMultilevel"/>
    <w:tmpl w:val="A3D490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3BF15618"/>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D005F2E"/>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D0E7578"/>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60215B"/>
    <w:multiLevelType w:val="hybridMultilevel"/>
    <w:tmpl w:val="63CCDDA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430D06F9"/>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A81D8A"/>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53D6F4C"/>
    <w:multiLevelType w:val="hybridMultilevel"/>
    <w:tmpl w:val="03B477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491F765A"/>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B344634"/>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D3A65EC"/>
    <w:multiLevelType w:val="hybridMultilevel"/>
    <w:tmpl w:val="C67C20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15:restartNumberingAfterBreak="0">
    <w:nsid w:val="5596225E"/>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6860B99"/>
    <w:multiLevelType w:val="hybridMultilevel"/>
    <w:tmpl w:val="3D66C42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6" w15:restartNumberingAfterBreak="0">
    <w:nsid w:val="568D2B9A"/>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6FB1B76"/>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794069C"/>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8D06300"/>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98A4CC8"/>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D4B56E0"/>
    <w:multiLevelType w:val="multilevel"/>
    <w:tmpl w:val="91504D6A"/>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42" w15:restartNumberingAfterBreak="0">
    <w:nsid w:val="5D4D194B"/>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D583048"/>
    <w:multiLevelType w:val="hybridMultilevel"/>
    <w:tmpl w:val="D2C422BC"/>
    <w:lvl w:ilvl="0" w:tplc="041D0001">
      <w:start w:val="1"/>
      <w:numFmt w:val="bullet"/>
      <w:lvlText w:val=""/>
      <w:lvlJc w:val="left"/>
      <w:pPr>
        <w:ind w:left="720" w:hanging="360"/>
      </w:pPr>
      <w:rPr>
        <w:rFonts w:ascii="Symbol" w:hAnsi="Symbo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4" w15:restartNumberingAfterBreak="0">
    <w:nsid w:val="68973192"/>
    <w:multiLevelType w:val="hybridMultilevel"/>
    <w:tmpl w:val="2E249508"/>
    <w:lvl w:ilvl="0" w:tplc="9362ACBC">
      <w:start w:val="1"/>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5" w15:restartNumberingAfterBreak="0">
    <w:nsid w:val="6D1457A9"/>
    <w:multiLevelType w:val="multilevel"/>
    <w:tmpl w:val="269ED88A"/>
    <w:styleLink w:val="NEKP"/>
    <w:lvl w:ilvl="0">
      <w:start w:val="1"/>
      <w:numFmt w:val="decimal"/>
      <w:lvlRestart w:val="0"/>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lowerRoman"/>
      <w:lvlText w:val="%3"/>
      <w:lvlJc w:val="left"/>
      <w:pPr>
        <w:ind w:left="1020" w:hanging="1020"/>
      </w:pPr>
      <w:rPr>
        <w:rFonts w:ascii="Times New Roman" w:hAnsi="Times New Roman"/>
        <w:b w:val="0"/>
        <w:i/>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6D9E25F8"/>
    <w:multiLevelType w:val="multilevel"/>
    <w:tmpl w:val="28104FCA"/>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47" w15:restartNumberingAfterBreak="0">
    <w:nsid w:val="70426FE0"/>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4274A73"/>
    <w:multiLevelType w:val="multilevel"/>
    <w:tmpl w:val="8B28154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789A0EBB"/>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7AC64556"/>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C6D422A"/>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FE94F5B"/>
    <w:multiLevelType w:val="multilevel"/>
    <w:tmpl w:val="0900C70E"/>
    <w:lvl w:ilvl="0">
      <w:start w:val="1"/>
      <w:numFmt w:val="decimal"/>
      <w:lvlRestart w:val="0"/>
      <w:lvlText w:val="%1"/>
      <w:lvlJc w:val="left"/>
      <w:pPr>
        <w:ind w:left="1020" w:hanging="1020"/>
      </w:pPr>
      <w:rPr>
        <w:rFonts w:hint="default"/>
      </w:rPr>
    </w:lvl>
    <w:lvl w:ilvl="1">
      <w:start w:val="1"/>
      <w:numFmt w:val="lowerRoman"/>
      <w:lvlText w:val="%2."/>
      <w:lvlJc w:val="left"/>
      <w:pPr>
        <w:ind w:left="1020" w:hanging="1020"/>
      </w:pPr>
      <w:rPr>
        <w:rFonts w:hint="default"/>
      </w:rPr>
    </w:lvl>
    <w:lvl w:ilvl="2">
      <w:start w:val="1"/>
      <w:numFmt w:val="lowerRoman"/>
      <w:lvlText w:val="%3."/>
      <w:lvlJc w:val="left"/>
      <w:pPr>
        <w:ind w:left="2324" w:hanging="10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6"/>
  </w:num>
  <w:num w:numId="2">
    <w:abstractNumId w:val="41"/>
  </w:num>
  <w:num w:numId="3">
    <w:abstractNumId w:val="45"/>
  </w:num>
  <w:num w:numId="4">
    <w:abstractNumId w:val="9"/>
  </w:num>
  <w:num w:numId="5">
    <w:abstractNumId w:val="39"/>
  </w:num>
  <w:num w:numId="6">
    <w:abstractNumId w:val="12"/>
  </w:num>
  <w:num w:numId="7">
    <w:abstractNumId w:val="28"/>
  </w:num>
  <w:num w:numId="8">
    <w:abstractNumId w:val="5"/>
  </w:num>
  <w:num w:numId="9">
    <w:abstractNumId w:val="36"/>
  </w:num>
  <w:num w:numId="10">
    <w:abstractNumId w:val="34"/>
  </w:num>
  <w:num w:numId="11">
    <w:abstractNumId w:val="8"/>
  </w:num>
  <w:num w:numId="12">
    <w:abstractNumId w:val="40"/>
  </w:num>
  <w:num w:numId="13">
    <w:abstractNumId w:val="19"/>
  </w:num>
  <w:num w:numId="14">
    <w:abstractNumId w:val="17"/>
  </w:num>
  <w:num w:numId="15">
    <w:abstractNumId w:val="16"/>
  </w:num>
  <w:num w:numId="16">
    <w:abstractNumId w:val="3"/>
  </w:num>
  <w:num w:numId="17">
    <w:abstractNumId w:val="38"/>
  </w:num>
  <w:num w:numId="18">
    <w:abstractNumId w:val="7"/>
  </w:num>
  <w:num w:numId="19">
    <w:abstractNumId w:val="42"/>
  </w:num>
  <w:num w:numId="20">
    <w:abstractNumId w:val="50"/>
  </w:num>
  <w:num w:numId="21">
    <w:abstractNumId w:val="14"/>
  </w:num>
  <w:num w:numId="22">
    <w:abstractNumId w:val="37"/>
  </w:num>
  <w:num w:numId="23">
    <w:abstractNumId w:val="18"/>
  </w:num>
  <w:num w:numId="24">
    <w:abstractNumId w:val="32"/>
  </w:num>
  <w:num w:numId="25">
    <w:abstractNumId w:val="31"/>
  </w:num>
  <w:num w:numId="26">
    <w:abstractNumId w:val="26"/>
  </w:num>
  <w:num w:numId="27">
    <w:abstractNumId w:val="25"/>
  </w:num>
  <w:num w:numId="28">
    <w:abstractNumId w:val="22"/>
  </w:num>
  <w:num w:numId="29">
    <w:abstractNumId w:val="48"/>
  </w:num>
  <w:num w:numId="30">
    <w:abstractNumId w:val="47"/>
  </w:num>
  <w:num w:numId="31">
    <w:abstractNumId w:val="20"/>
  </w:num>
  <w:num w:numId="32">
    <w:abstractNumId w:val="2"/>
  </w:num>
  <w:num w:numId="33">
    <w:abstractNumId w:val="49"/>
  </w:num>
  <w:num w:numId="34">
    <w:abstractNumId w:val="24"/>
  </w:num>
  <w:num w:numId="35">
    <w:abstractNumId w:val="6"/>
  </w:num>
  <w:num w:numId="36">
    <w:abstractNumId w:val="52"/>
  </w:num>
  <w:num w:numId="37">
    <w:abstractNumId w:val="15"/>
  </w:num>
  <w:num w:numId="38">
    <w:abstractNumId w:val="29"/>
  </w:num>
  <w:num w:numId="39">
    <w:abstractNumId w:val="51"/>
  </w:num>
  <w:num w:numId="40">
    <w:abstractNumId w:val="10"/>
  </w:num>
  <w:num w:numId="41">
    <w:abstractNumId w:val="4"/>
  </w:num>
  <w:num w:numId="42">
    <w:abstractNumId w:val="1"/>
  </w:num>
  <w:num w:numId="43">
    <w:abstractNumId w:val="21"/>
  </w:num>
  <w:num w:numId="44">
    <w:abstractNumId w:val="30"/>
  </w:num>
  <w:num w:numId="45">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43"/>
  </w:num>
  <w:num w:numId="48">
    <w:abstractNumId w:val="33"/>
  </w:num>
  <w:num w:numId="49">
    <w:abstractNumId w:val="35"/>
  </w:num>
  <w:num w:numId="50">
    <w:abstractNumId w:val="23"/>
  </w:num>
  <w:num w:numId="51">
    <w:abstractNumId w:val="11"/>
  </w:num>
  <w:num w:numId="52">
    <w:abstractNumId w:val="0"/>
  </w:num>
  <w:num w:numId="53">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DAE"/>
    <w:rsid w:val="000002A8"/>
    <w:rsid w:val="0000073E"/>
    <w:rsid w:val="00000A88"/>
    <w:rsid w:val="00000FFB"/>
    <w:rsid w:val="000011C6"/>
    <w:rsid w:val="00001A80"/>
    <w:rsid w:val="00002B8D"/>
    <w:rsid w:val="00003E03"/>
    <w:rsid w:val="00003FA9"/>
    <w:rsid w:val="0000516B"/>
    <w:rsid w:val="0000588B"/>
    <w:rsid w:val="00006112"/>
    <w:rsid w:val="0000705C"/>
    <w:rsid w:val="00007969"/>
    <w:rsid w:val="00010FCA"/>
    <w:rsid w:val="00011F24"/>
    <w:rsid w:val="0001363C"/>
    <w:rsid w:val="00013966"/>
    <w:rsid w:val="00014602"/>
    <w:rsid w:val="00014694"/>
    <w:rsid w:val="00016B1C"/>
    <w:rsid w:val="00020EC2"/>
    <w:rsid w:val="000216C9"/>
    <w:rsid w:val="00022F40"/>
    <w:rsid w:val="00023117"/>
    <w:rsid w:val="00023924"/>
    <w:rsid w:val="00023FDB"/>
    <w:rsid w:val="000246B5"/>
    <w:rsid w:val="000250BA"/>
    <w:rsid w:val="00026E7A"/>
    <w:rsid w:val="0002721B"/>
    <w:rsid w:val="000276D0"/>
    <w:rsid w:val="0003010D"/>
    <w:rsid w:val="00031452"/>
    <w:rsid w:val="00033591"/>
    <w:rsid w:val="00034A56"/>
    <w:rsid w:val="00037373"/>
    <w:rsid w:val="000422FF"/>
    <w:rsid w:val="00043465"/>
    <w:rsid w:val="000437A1"/>
    <w:rsid w:val="00044181"/>
    <w:rsid w:val="000445A5"/>
    <w:rsid w:val="0004507C"/>
    <w:rsid w:val="00046BB7"/>
    <w:rsid w:val="00050ED3"/>
    <w:rsid w:val="00050F23"/>
    <w:rsid w:val="00051ABD"/>
    <w:rsid w:val="00052AAA"/>
    <w:rsid w:val="00056042"/>
    <w:rsid w:val="00056CE1"/>
    <w:rsid w:val="00057DA8"/>
    <w:rsid w:val="00060831"/>
    <w:rsid w:val="00060D0E"/>
    <w:rsid w:val="00061CC9"/>
    <w:rsid w:val="00062347"/>
    <w:rsid w:val="00065B95"/>
    <w:rsid w:val="00066193"/>
    <w:rsid w:val="000665A7"/>
    <w:rsid w:val="000702B1"/>
    <w:rsid w:val="00070BC0"/>
    <w:rsid w:val="00071B11"/>
    <w:rsid w:val="00072063"/>
    <w:rsid w:val="00072C49"/>
    <w:rsid w:val="00072D27"/>
    <w:rsid w:val="00073730"/>
    <w:rsid w:val="000739AC"/>
    <w:rsid w:val="00073B12"/>
    <w:rsid w:val="00073C18"/>
    <w:rsid w:val="000752E0"/>
    <w:rsid w:val="0007563B"/>
    <w:rsid w:val="00075E8C"/>
    <w:rsid w:val="00080760"/>
    <w:rsid w:val="00081A2C"/>
    <w:rsid w:val="00082DB0"/>
    <w:rsid w:val="00083051"/>
    <w:rsid w:val="00084E87"/>
    <w:rsid w:val="000852DB"/>
    <w:rsid w:val="0008630F"/>
    <w:rsid w:val="000875C8"/>
    <w:rsid w:val="0009069F"/>
    <w:rsid w:val="0009322E"/>
    <w:rsid w:val="00093357"/>
    <w:rsid w:val="00093666"/>
    <w:rsid w:val="00095A16"/>
    <w:rsid w:val="00096DDB"/>
    <w:rsid w:val="00096EC6"/>
    <w:rsid w:val="00096F58"/>
    <w:rsid w:val="000A19A1"/>
    <w:rsid w:val="000A282C"/>
    <w:rsid w:val="000A32E7"/>
    <w:rsid w:val="000A378C"/>
    <w:rsid w:val="000A4278"/>
    <w:rsid w:val="000A499B"/>
    <w:rsid w:val="000A5CB6"/>
    <w:rsid w:val="000A61C5"/>
    <w:rsid w:val="000A7F4B"/>
    <w:rsid w:val="000B0116"/>
    <w:rsid w:val="000B0B1E"/>
    <w:rsid w:val="000B12BD"/>
    <w:rsid w:val="000B305C"/>
    <w:rsid w:val="000B322F"/>
    <w:rsid w:val="000B44EF"/>
    <w:rsid w:val="000B4E1E"/>
    <w:rsid w:val="000B71F0"/>
    <w:rsid w:val="000C04A0"/>
    <w:rsid w:val="000C60E8"/>
    <w:rsid w:val="000C6A30"/>
    <w:rsid w:val="000C716D"/>
    <w:rsid w:val="000C720A"/>
    <w:rsid w:val="000C73F9"/>
    <w:rsid w:val="000D0C38"/>
    <w:rsid w:val="000D0CDB"/>
    <w:rsid w:val="000D0F29"/>
    <w:rsid w:val="000D360D"/>
    <w:rsid w:val="000D39D7"/>
    <w:rsid w:val="000D40B9"/>
    <w:rsid w:val="000D69F9"/>
    <w:rsid w:val="000D6E60"/>
    <w:rsid w:val="000E0E1E"/>
    <w:rsid w:val="000E0FCF"/>
    <w:rsid w:val="000E1D83"/>
    <w:rsid w:val="000E1FB3"/>
    <w:rsid w:val="000E28B2"/>
    <w:rsid w:val="000E352E"/>
    <w:rsid w:val="000E71D6"/>
    <w:rsid w:val="000E7C41"/>
    <w:rsid w:val="000F0CD1"/>
    <w:rsid w:val="000F21FE"/>
    <w:rsid w:val="000F2ABB"/>
    <w:rsid w:val="000F7F17"/>
    <w:rsid w:val="00100BB9"/>
    <w:rsid w:val="00101205"/>
    <w:rsid w:val="00101CCD"/>
    <w:rsid w:val="0010433F"/>
    <w:rsid w:val="00105357"/>
    <w:rsid w:val="0010714E"/>
    <w:rsid w:val="001122BC"/>
    <w:rsid w:val="00112E51"/>
    <w:rsid w:val="001144A2"/>
    <w:rsid w:val="001154E6"/>
    <w:rsid w:val="00117804"/>
    <w:rsid w:val="00117A4F"/>
    <w:rsid w:val="00120803"/>
    <w:rsid w:val="00120E80"/>
    <w:rsid w:val="00123FE2"/>
    <w:rsid w:val="00125217"/>
    <w:rsid w:val="00126646"/>
    <w:rsid w:val="0012791D"/>
    <w:rsid w:val="001351C4"/>
    <w:rsid w:val="00135D78"/>
    <w:rsid w:val="00136607"/>
    <w:rsid w:val="001370C1"/>
    <w:rsid w:val="001411BD"/>
    <w:rsid w:val="00142339"/>
    <w:rsid w:val="0014448C"/>
    <w:rsid w:val="00144649"/>
    <w:rsid w:val="001447E3"/>
    <w:rsid w:val="001454B2"/>
    <w:rsid w:val="00145D62"/>
    <w:rsid w:val="001462AC"/>
    <w:rsid w:val="00146628"/>
    <w:rsid w:val="00147AD4"/>
    <w:rsid w:val="001504AD"/>
    <w:rsid w:val="00152981"/>
    <w:rsid w:val="00154D61"/>
    <w:rsid w:val="00155CE9"/>
    <w:rsid w:val="00155D5E"/>
    <w:rsid w:val="00160310"/>
    <w:rsid w:val="001608A8"/>
    <w:rsid w:val="001635C0"/>
    <w:rsid w:val="00164645"/>
    <w:rsid w:val="001647D7"/>
    <w:rsid w:val="0016599D"/>
    <w:rsid w:val="0016668E"/>
    <w:rsid w:val="00166AE2"/>
    <w:rsid w:val="00170212"/>
    <w:rsid w:val="001768B1"/>
    <w:rsid w:val="001774FD"/>
    <w:rsid w:val="00182CA2"/>
    <w:rsid w:val="00184541"/>
    <w:rsid w:val="00184E09"/>
    <w:rsid w:val="00185151"/>
    <w:rsid w:val="00185C8C"/>
    <w:rsid w:val="00186E6B"/>
    <w:rsid w:val="00190C74"/>
    <w:rsid w:val="00191116"/>
    <w:rsid w:val="00191752"/>
    <w:rsid w:val="00191BEC"/>
    <w:rsid w:val="0019368B"/>
    <w:rsid w:val="00193964"/>
    <w:rsid w:val="001947BC"/>
    <w:rsid w:val="001949AC"/>
    <w:rsid w:val="00194F51"/>
    <w:rsid w:val="001957B0"/>
    <w:rsid w:val="0019593A"/>
    <w:rsid w:val="001971BD"/>
    <w:rsid w:val="00197467"/>
    <w:rsid w:val="001A2E4E"/>
    <w:rsid w:val="001A3C26"/>
    <w:rsid w:val="001A4009"/>
    <w:rsid w:val="001A4308"/>
    <w:rsid w:val="001A48CC"/>
    <w:rsid w:val="001A67EF"/>
    <w:rsid w:val="001A6E0D"/>
    <w:rsid w:val="001B1FD2"/>
    <w:rsid w:val="001B287A"/>
    <w:rsid w:val="001B3A70"/>
    <w:rsid w:val="001B3C8B"/>
    <w:rsid w:val="001B4DFE"/>
    <w:rsid w:val="001C15DF"/>
    <w:rsid w:val="001C16EA"/>
    <w:rsid w:val="001C2C79"/>
    <w:rsid w:val="001C31C7"/>
    <w:rsid w:val="001C3FEA"/>
    <w:rsid w:val="001C6D34"/>
    <w:rsid w:val="001C79D4"/>
    <w:rsid w:val="001D08F4"/>
    <w:rsid w:val="001D1A5A"/>
    <w:rsid w:val="001D216D"/>
    <w:rsid w:val="001D2803"/>
    <w:rsid w:val="001D2C6B"/>
    <w:rsid w:val="001D3ACE"/>
    <w:rsid w:val="001D647F"/>
    <w:rsid w:val="001D6EE9"/>
    <w:rsid w:val="001D6FBA"/>
    <w:rsid w:val="001D7BCC"/>
    <w:rsid w:val="001D7D92"/>
    <w:rsid w:val="001D7E08"/>
    <w:rsid w:val="001E0C5F"/>
    <w:rsid w:val="001E1427"/>
    <w:rsid w:val="001E20B0"/>
    <w:rsid w:val="001E2B1B"/>
    <w:rsid w:val="001E5DA9"/>
    <w:rsid w:val="001E63BA"/>
    <w:rsid w:val="001E727A"/>
    <w:rsid w:val="001E74A2"/>
    <w:rsid w:val="001E7F58"/>
    <w:rsid w:val="001F0AAF"/>
    <w:rsid w:val="001F152C"/>
    <w:rsid w:val="001F154F"/>
    <w:rsid w:val="001F185F"/>
    <w:rsid w:val="001F32CC"/>
    <w:rsid w:val="001F3F5F"/>
    <w:rsid w:val="002000BC"/>
    <w:rsid w:val="00200F6C"/>
    <w:rsid w:val="002011AD"/>
    <w:rsid w:val="002016B9"/>
    <w:rsid w:val="00201F20"/>
    <w:rsid w:val="00202CD1"/>
    <w:rsid w:val="00203892"/>
    <w:rsid w:val="00203AFD"/>
    <w:rsid w:val="00204505"/>
    <w:rsid w:val="00204ED5"/>
    <w:rsid w:val="00205312"/>
    <w:rsid w:val="0020558B"/>
    <w:rsid w:val="0020581D"/>
    <w:rsid w:val="00205AA1"/>
    <w:rsid w:val="00205D4E"/>
    <w:rsid w:val="00206872"/>
    <w:rsid w:val="00207BD7"/>
    <w:rsid w:val="00212A3D"/>
    <w:rsid w:val="00214B19"/>
    <w:rsid w:val="002156AB"/>
    <w:rsid w:val="0021587F"/>
    <w:rsid w:val="002166A4"/>
    <w:rsid w:val="00216A92"/>
    <w:rsid w:val="00216C53"/>
    <w:rsid w:val="00217BAA"/>
    <w:rsid w:val="0022007D"/>
    <w:rsid w:val="00221723"/>
    <w:rsid w:val="00222139"/>
    <w:rsid w:val="002223BD"/>
    <w:rsid w:val="00223535"/>
    <w:rsid w:val="00224573"/>
    <w:rsid w:val="002255E1"/>
    <w:rsid w:val="00225931"/>
    <w:rsid w:val="00225BCA"/>
    <w:rsid w:val="00226BA8"/>
    <w:rsid w:val="002279F7"/>
    <w:rsid w:val="00227C95"/>
    <w:rsid w:val="002301F4"/>
    <w:rsid w:val="002316EE"/>
    <w:rsid w:val="00232E2D"/>
    <w:rsid w:val="00233F3E"/>
    <w:rsid w:val="002359D9"/>
    <w:rsid w:val="002363C4"/>
    <w:rsid w:val="00237CD1"/>
    <w:rsid w:val="00240F46"/>
    <w:rsid w:val="00241C0B"/>
    <w:rsid w:val="00241E0F"/>
    <w:rsid w:val="00242775"/>
    <w:rsid w:val="002448CC"/>
    <w:rsid w:val="00245A5C"/>
    <w:rsid w:val="002462DC"/>
    <w:rsid w:val="00246A8C"/>
    <w:rsid w:val="00247C09"/>
    <w:rsid w:val="0025005A"/>
    <w:rsid w:val="002507E2"/>
    <w:rsid w:val="002524B8"/>
    <w:rsid w:val="00254AF5"/>
    <w:rsid w:val="00256C27"/>
    <w:rsid w:val="00260037"/>
    <w:rsid w:val="00261464"/>
    <w:rsid w:val="00261A44"/>
    <w:rsid w:val="00261E4A"/>
    <w:rsid w:val="002636DE"/>
    <w:rsid w:val="00264614"/>
    <w:rsid w:val="0026555A"/>
    <w:rsid w:val="002663AD"/>
    <w:rsid w:val="002664B0"/>
    <w:rsid w:val="002666C7"/>
    <w:rsid w:val="0026696D"/>
    <w:rsid w:val="002713F6"/>
    <w:rsid w:val="00273CC0"/>
    <w:rsid w:val="00276C19"/>
    <w:rsid w:val="00276E57"/>
    <w:rsid w:val="0027726F"/>
    <w:rsid w:val="00281257"/>
    <w:rsid w:val="00281620"/>
    <w:rsid w:val="00282974"/>
    <w:rsid w:val="0028591B"/>
    <w:rsid w:val="002867C7"/>
    <w:rsid w:val="002908C2"/>
    <w:rsid w:val="00290C2E"/>
    <w:rsid w:val="00293A27"/>
    <w:rsid w:val="00293B30"/>
    <w:rsid w:val="002943DE"/>
    <w:rsid w:val="00295ED6"/>
    <w:rsid w:val="0029707B"/>
    <w:rsid w:val="00297099"/>
    <w:rsid w:val="00297585"/>
    <w:rsid w:val="002A0B96"/>
    <w:rsid w:val="002A2238"/>
    <w:rsid w:val="002A276D"/>
    <w:rsid w:val="002A3BED"/>
    <w:rsid w:val="002A59E6"/>
    <w:rsid w:val="002A5C0B"/>
    <w:rsid w:val="002A63B0"/>
    <w:rsid w:val="002A713A"/>
    <w:rsid w:val="002A76AC"/>
    <w:rsid w:val="002A78DA"/>
    <w:rsid w:val="002B01AB"/>
    <w:rsid w:val="002B1469"/>
    <w:rsid w:val="002B17FC"/>
    <w:rsid w:val="002B2EDC"/>
    <w:rsid w:val="002B3D4D"/>
    <w:rsid w:val="002B4F9B"/>
    <w:rsid w:val="002C2056"/>
    <w:rsid w:val="002C214E"/>
    <w:rsid w:val="002C3B60"/>
    <w:rsid w:val="002C4006"/>
    <w:rsid w:val="002C4FF6"/>
    <w:rsid w:val="002C5135"/>
    <w:rsid w:val="002C515B"/>
    <w:rsid w:val="002D04BF"/>
    <w:rsid w:val="002D0F91"/>
    <w:rsid w:val="002D1D57"/>
    <w:rsid w:val="002D244E"/>
    <w:rsid w:val="002D3F34"/>
    <w:rsid w:val="002D449E"/>
    <w:rsid w:val="002D5CFD"/>
    <w:rsid w:val="002E30C4"/>
    <w:rsid w:val="002E4B1C"/>
    <w:rsid w:val="002E7CB7"/>
    <w:rsid w:val="002F09F3"/>
    <w:rsid w:val="002F238F"/>
    <w:rsid w:val="002F2E08"/>
    <w:rsid w:val="002F324E"/>
    <w:rsid w:val="002F59AD"/>
    <w:rsid w:val="002F5E2C"/>
    <w:rsid w:val="002F7571"/>
    <w:rsid w:val="002F7A10"/>
    <w:rsid w:val="002F7AD5"/>
    <w:rsid w:val="00300524"/>
    <w:rsid w:val="00301285"/>
    <w:rsid w:val="00303C15"/>
    <w:rsid w:val="00304411"/>
    <w:rsid w:val="00304499"/>
    <w:rsid w:val="003044BB"/>
    <w:rsid w:val="00304E4B"/>
    <w:rsid w:val="0030700D"/>
    <w:rsid w:val="0030776F"/>
    <w:rsid w:val="003104C7"/>
    <w:rsid w:val="00312400"/>
    <w:rsid w:val="0031260F"/>
    <w:rsid w:val="00313A99"/>
    <w:rsid w:val="00316859"/>
    <w:rsid w:val="00316905"/>
    <w:rsid w:val="00320FA5"/>
    <w:rsid w:val="003226C0"/>
    <w:rsid w:val="003227A7"/>
    <w:rsid w:val="00322DED"/>
    <w:rsid w:val="00323093"/>
    <w:rsid w:val="00323938"/>
    <w:rsid w:val="0032419D"/>
    <w:rsid w:val="00327251"/>
    <w:rsid w:val="00330B74"/>
    <w:rsid w:val="00331D94"/>
    <w:rsid w:val="003328AF"/>
    <w:rsid w:val="00333182"/>
    <w:rsid w:val="0033347A"/>
    <w:rsid w:val="00335D61"/>
    <w:rsid w:val="00336371"/>
    <w:rsid w:val="00336E0E"/>
    <w:rsid w:val="00337DAC"/>
    <w:rsid w:val="003439EB"/>
    <w:rsid w:val="00344570"/>
    <w:rsid w:val="00345636"/>
    <w:rsid w:val="00346E5C"/>
    <w:rsid w:val="00347A33"/>
    <w:rsid w:val="00350A0E"/>
    <w:rsid w:val="003517C3"/>
    <w:rsid w:val="00352A03"/>
    <w:rsid w:val="00352A10"/>
    <w:rsid w:val="003547DE"/>
    <w:rsid w:val="0035489D"/>
    <w:rsid w:val="0035525A"/>
    <w:rsid w:val="003559AA"/>
    <w:rsid w:val="0036177A"/>
    <w:rsid w:val="00362ED9"/>
    <w:rsid w:val="00364E2A"/>
    <w:rsid w:val="00365293"/>
    <w:rsid w:val="00365569"/>
    <w:rsid w:val="003661FA"/>
    <w:rsid w:val="00366CEE"/>
    <w:rsid w:val="00366FE2"/>
    <w:rsid w:val="003672DE"/>
    <w:rsid w:val="0036769E"/>
    <w:rsid w:val="00373689"/>
    <w:rsid w:val="003736CB"/>
    <w:rsid w:val="0037438F"/>
    <w:rsid w:val="00376839"/>
    <w:rsid w:val="00376ADB"/>
    <w:rsid w:val="00376BF0"/>
    <w:rsid w:val="00380817"/>
    <w:rsid w:val="00380E03"/>
    <w:rsid w:val="003814CC"/>
    <w:rsid w:val="00382D80"/>
    <w:rsid w:val="00383659"/>
    <w:rsid w:val="00385516"/>
    <w:rsid w:val="00386101"/>
    <w:rsid w:val="0038727D"/>
    <w:rsid w:val="003878F0"/>
    <w:rsid w:val="0039064C"/>
    <w:rsid w:val="003908D9"/>
    <w:rsid w:val="00390F0E"/>
    <w:rsid w:val="00391D52"/>
    <w:rsid w:val="0039242A"/>
    <w:rsid w:val="003924DF"/>
    <w:rsid w:val="003927BF"/>
    <w:rsid w:val="003942F8"/>
    <w:rsid w:val="00395D7B"/>
    <w:rsid w:val="00395D92"/>
    <w:rsid w:val="003A0E64"/>
    <w:rsid w:val="003A1748"/>
    <w:rsid w:val="003A1D09"/>
    <w:rsid w:val="003A1D30"/>
    <w:rsid w:val="003A3D1E"/>
    <w:rsid w:val="003A5800"/>
    <w:rsid w:val="003A59DC"/>
    <w:rsid w:val="003A68B3"/>
    <w:rsid w:val="003A6A74"/>
    <w:rsid w:val="003A6B54"/>
    <w:rsid w:val="003A6BB2"/>
    <w:rsid w:val="003A72DA"/>
    <w:rsid w:val="003A7678"/>
    <w:rsid w:val="003B3467"/>
    <w:rsid w:val="003B55FE"/>
    <w:rsid w:val="003B5796"/>
    <w:rsid w:val="003B773C"/>
    <w:rsid w:val="003C0C48"/>
    <w:rsid w:val="003C113D"/>
    <w:rsid w:val="003C147E"/>
    <w:rsid w:val="003C1F51"/>
    <w:rsid w:val="003C2014"/>
    <w:rsid w:val="003C4B67"/>
    <w:rsid w:val="003C5B86"/>
    <w:rsid w:val="003C663B"/>
    <w:rsid w:val="003D068B"/>
    <w:rsid w:val="003D1180"/>
    <w:rsid w:val="003D11DD"/>
    <w:rsid w:val="003D15B2"/>
    <w:rsid w:val="003D172D"/>
    <w:rsid w:val="003D1C85"/>
    <w:rsid w:val="003D29E7"/>
    <w:rsid w:val="003D3A76"/>
    <w:rsid w:val="003D3F26"/>
    <w:rsid w:val="003D501B"/>
    <w:rsid w:val="003D7A68"/>
    <w:rsid w:val="003D7BD4"/>
    <w:rsid w:val="003E3CAD"/>
    <w:rsid w:val="003E510D"/>
    <w:rsid w:val="003E659B"/>
    <w:rsid w:val="003E67AE"/>
    <w:rsid w:val="003F028C"/>
    <w:rsid w:val="003F11C9"/>
    <w:rsid w:val="003F5E77"/>
    <w:rsid w:val="003F656C"/>
    <w:rsid w:val="003F66BE"/>
    <w:rsid w:val="003F700E"/>
    <w:rsid w:val="003F7333"/>
    <w:rsid w:val="003F73BA"/>
    <w:rsid w:val="003F7E78"/>
    <w:rsid w:val="00400551"/>
    <w:rsid w:val="00400DB6"/>
    <w:rsid w:val="00400E3B"/>
    <w:rsid w:val="0040200E"/>
    <w:rsid w:val="00403119"/>
    <w:rsid w:val="004039D3"/>
    <w:rsid w:val="00403B80"/>
    <w:rsid w:val="004053CE"/>
    <w:rsid w:val="0040589A"/>
    <w:rsid w:val="004065E3"/>
    <w:rsid w:val="00406785"/>
    <w:rsid w:val="004067B6"/>
    <w:rsid w:val="00406C63"/>
    <w:rsid w:val="004075B9"/>
    <w:rsid w:val="00407972"/>
    <w:rsid w:val="004116C9"/>
    <w:rsid w:val="00411FD3"/>
    <w:rsid w:val="004144C4"/>
    <w:rsid w:val="00414BAA"/>
    <w:rsid w:val="0041538E"/>
    <w:rsid w:val="00415728"/>
    <w:rsid w:val="00416038"/>
    <w:rsid w:val="00416439"/>
    <w:rsid w:val="00416AE0"/>
    <w:rsid w:val="00417F9E"/>
    <w:rsid w:val="0042024D"/>
    <w:rsid w:val="00421C8D"/>
    <w:rsid w:val="004249B7"/>
    <w:rsid w:val="0042620E"/>
    <w:rsid w:val="0042699C"/>
    <w:rsid w:val="0042741F"/>
    <w:rsid w:val="004279EE"/>
    <w:rsid w:val="0043090D"/>
    <w:rsid w:val="00431795"/>
    <w:rsid w:val="00431D6C"/>
    <w:rsid w:val="00432A3F"/>
    <w:rsid w:val="00432D45"/>
    <w:rsid w:val="00436513"/>
    <w:rsid w:val="00437134"/>
    <w:rsid w:val="0043723C"/>
    <w:rsid w:val="00437474"/>
    <w:rsid w:val="00437F2C"/>
    <w:rsid w:val="00440377"/>
    <w:rsid w:val="004411F7"/>
    <w:rsid w:val="00441B80"/>
    <w:rsid w:val="00442854"/>
    <w:rsid w:val="004434F5"/>
    <w:rsid w:val="00444A89"/>
    <w:rsid w:val="00444E8B"/>
    <w:rsid w:val="0044710E"/>
    <w:rsid w:val="004474E2"/>
    <w:rsid w:val="004513D6"/>
    <w:rsid w:val="00451476"/>
    <w:rsid w:val="004517E0"/>
    <w:rsid w:val="0045329B"/>
    <w:rsid w:val="004544E7"/>
    <w:rsid w:val="00455A39"/>
    <w:rsid w:val="004562F8"/>
    <w:rsid w:val="00456487"/>
    <w:rsid w:val="00457A34"/>
    <w:rsid w:val="00460227"/>
    <w:rsid w:val="00460438"/>
    <w:rsid w:val="00460595"/>
    <w:rsid w:val="00460EA4"/>
    <w:rsid w:val="00461246"/>
    <w:rsid w:val="0046229F"/>
    <w:rsid w:val="00462525"/>
    <w:rsid w:val="00462656"/>
    <w:rsid w:val="00466458"/>
    <w:rsid w:val="00466650"/>
    <w:rsid w:val="00467166"/>
    <w:rsid w:val="00470EB0"/>
    <w:rsid w:val="004713CA"/>
    <w:rsid w:val="00472964"/>
    <w:rsid w:val="00474544"/>
    <w:rsid w:val="00474597"/>
    <w:rsid w:val="004764A8"/>
    <w:rsid w:val="00476B6A"/>
    <w:rsid w:val="00476F8D"/>
    <w:rsid w:val="0047759A"/>
    <w:rsid w:val="00477C9C"/>
    <w:rsid w:val="00480B14"/>
    <w:rsid w:val="00480D49"/>
    <w:rsid w:val="00481821"/>
    <w:rsid w:val="00481C31"/>
    <w:rsid w:val="0048231A"/>
    <w:rsid w:val="00482564"/>
    <w:rsid w:val="00484FAC"/>
    <w:rsid w:val="004851DE"/>
    <w:rsid w:val="00490389"/>
    <w:rsid w:val="00490719"/>
    <w:rsid w:val="00490A0C"/>
    <w:rsid w:val="00492223"/>
    <w:rsid w:val="00492BF6"/>
    <w:rsid w:val="004931C3"/>
    <w:rsid w:val="004957C0"/>
    <w:rsid w:val="004A00C0"/>
    <w:rsid w:val="004A33EA"/>
    <w:rsid w:val="004A36C3"/>
    <w:rsid w:val="004A455C"/>
    <w:rsid w:val="004A61C2"/>
    <w:rsid w:val="004A7648"/>
    <w:rsid w:val="004A792B"/>
    <w:rsid w:val="004A7F47"/>
    <w:rsid w:val="004B0BE2"/>
    <w:rsid w:val="004B18F1"/>
    <w:rsid w:val="004B2380"/>
    <w:rsid w:val="004B360E"/>
    <w:rsid w:val="004B67B1"/>
    <w:rsid w:val="004C0AB7"/>
    <w:rsid w:val="004C0DDF"/>
    <w:rsid w:val="004C164D"/>
    <w:rsid w:val="004C2D72"/>
    <w:rsid w:val="004C3210"/>
    <w:rsid w:val="004C466E"/>
    <w:rsid w:val="004C659C"/>
    <w:rsid w:val="004D1D03"/>
    <w:rsid w:val="004D275D"/>
    <w:rsid w:val="004D30E0"/>
    <w:rsid w:val="004D3396"/>
    <w:rsid w:val="004D3940"/>
    <w:rsid w:val="004D51D5"/>
    <w:rsid w:val="004D5CED"/>
    <w:rsid w:val="004D6167"/>
    <w:rsid w:val="004D67EC"/>
    <w:rsid w:val="004D76DF"/>
    <w:rsid w:val="004E0FDC"/>
    <w:rsid w:val="004E3F32"/>
    <w:rsid w:val="004E3FE9"/>
    <w:rsid w:val="004E52C0"/>
    <w:rsid w:val="004E5EB1"/>
    <w:rsid w:val="004E6EE3"/>
    <w:rsid w:val="004E7728"/>
    <w:rsid w:val="004F04C0"/>
    <w:rsid w:val="004F18CC"/>
    <w:rsid w:val="004F1FD3"/>
    <w:rsid w:val="004F28E5"/>
    <w:rsid w:val="004F2D73"/>
    <w:rsid w:val="004F61CE"/>
    <w:rsid w:val="004F6CFD"/>
    <w:rsid w:val="004F7544"/>
    <w:rsid w:val="00500194"/>
    <w:rsid w:val="005013F5"/>
    <w:rsid w:val="00505E73"/>
    <w:rsid w:val="005066FC"/>
    <w:rsid w:val="00507464"/>
    <w:rsid w:val="005074CB"/>
    <w:rsid w:val="005108AE"/>
    <w:rsid w:val="00511AEC"/>
    <w:rsid w:val="00513582"/>
    <w:rsid w:val="00514823"/>
    <w:rsid w:val="00514943"/>
    <w:rsid w:val="0051658F"/>
    <w:rsid w:val="0051715B"/>
    <w:rsid w:val="00517447"/>
    <w:rsid w:val="00520B4E"/>
    <w:rsid w:val="00521C87"/>
    <w:rsid w:val="00522BEB"/>
    <w:rsid w:val="00523522"/>
    <w:rsid w:val="00523C81"/>
    <w:rsid w:val="00524177"/>
    <w:rsid w:val="0052570C"/>
    <w:rsid w:val="00525DE5"/>
    <w:rsid w:val="00525E71"/>
    <w:rsid w:val="00526ED0"/>
    <w:rsid w:val="00527C12"/>
    <w:rsid w:val="00532EF2"/>
    <w:rsid w:val="00533273"/>
    <w:rsid w:val="0053623F"/>
    <w:rsid w:val="0053642B"/>
    <w:rsid w:val="00537324"/>
    <w:rsid w:val="0054040C"/>
    <w:rsid w:val="0054086B"/>
    <w:rsid w:val="00542B5A"/>
    <w:rsid w:val="005436B8"/>
    <w:rsid w:val="005443AD"/>
    <w:rsid w:val="005452CA"/>
    <w:rsid w:val="0054574A"/>
    <w:rsid w:val="005459CA"/>
    <w:rsid w:val="00545DFF"/>
    <w:rsid w:val="00546176"/>
    <w:rsid w:val="005466C4"/>
    <w:rsid w:val="00546A7B"/>
    <w:rsid w:val="00547099"/>
    <w:rsid w:val="00547693"/>
    <w:rsid w:val="0054791D"/>
    <w:rsid w:val="00552C9D"/>
    <w:rsid w:val="005530C1"/>
    <w:rsid w:val="0056032B"/>
    <w:rsid w:val="00560DCA"/>
    <w:rsid w:val="005623F0"/>
    <w:rsid w:val="00563BAA"/>
    <w:rsid w:val="0056442E"/>
    <w:rsid w:val="00565434"/>
    <w:rsid w:val="00565871"/>
    <w:rsid w:val="00565F72"/>
    <w:rsid w:val="005660E4"/>
    <w:rsid w:val="00566290"/>
    <w:rsid w:val="005676FD"/>
    <w:rsid w:val="005710BC"/>
    <w:rsid w:val="00573FA9"/>
    <w:rsid w:val="00574452"/>
    <w:rsid w:val="00574567"/>
    <w:rsid w:val="00574687"/>
    <w:rsid w:val="005746F8"/>
    <w:rsid w:val="0057582A"/>
    <w:rsid w:val="00576503"/>
    <w:rsid w:val="005772D9"/>
    <w:rsid w:val="00577F25"/>
    <w:rsid w:val="00580FD0"/>
    <w:rsid w:val="0058123E"/>
    <w:rsid w:val="00582FCD"/>
    <w:rsid w:val="005833B4"/>
    <w:rsid w:val="005844FB"/>
    <w:rsid w:val="005848DB"/>
    <w:rsid w:val="00584C5D"/>
    <w:rsid w:val="00586886"/>
    <w:rsid w:val="005869E5"/>
    <w:rsid w:val="00587233"/>
    <w:rsid w:val="0059097C"/>
    <w:rsid w:val="00592624"/>
    <w:rsid w:val="005933F2"/>
    <w:rsid w:val="00593C4D"/>
    <w:rsid w:val="00595C12"/>
    <w:rsid w:val="005A2D5D"/>
    <w:rsid w:val="005A5D92"/>
    <w:rsid w:val="005A623C"/>
    <w:rsid w:val="005A6EEB"/>
    <w:rsid w:val="005A76FE"/>
    <w:rsid w:val="005B18A3"/>
    <w:rsid w:val="005B3D1E"/>
    <w:rsid w:val="005B427D"/>
    <w:rsid w:val="005B55B2"/>
    <w:rsid w:val="005B5AB3"/>
    <w:rsid w:val="005C0302"/>
    <w:rsid w:val="005C0991"/>
    <w:rsid w:val="005C17BF"/>
    <w:rsid w:val="005C1FDF"/>
    <w:rsid w:val="005C27BD"/>
    <w:rsid w:val="005C3A6F"/>
    <w:rsid w:val="005C482C"/>
    <w:rsid w:val="005C5202"/>
    <w:rsid w:val="005C5437"/>
    <w:rsid w:val="005C62D2"/>
    <w:rsid w:val="005C6D0B"/>
    <w:rsid w:val="005C7BE7"/>
    <w:rsid w:val="005C7EDF"/>
    <w:rsid w:val="005D027A"/>
    <w:rsid w:val="005D1541"/>
    <w:rsid w:val="005D36CF"/>
    <w:rsid w:val="005D6ED0"/>
    <w:rsid w:val="005E04D1"/>
    <w:rsid w:val="005E18B9"/>
    <w:rsid w:val="005E1E63"/>
    <w:rsid w:val="005E26C8"/>
    <w:rsid w:val="005E4659"/>
    <w:rsid w:val="005E4C91"/>
    <w:rsid w:val="005E4EC6"/>
    <w:rsid w:val="005E5068"/>
    <w:rsid w:val="005F1026"/>
    <w:rsid w:val="005F1D81"/>
    <w:rsid w:val="005F2172"/>
    <w:rsid w:val="005F41F8"/>
    <w:rsid w:val="005F4988"/>
    <w:rsid w:val="005F5546"/>
    <w:rsid w:val="005F6BF5"/>
    <w:rsid w:val="005F6C4E"/>
    <w:rsid w:val="005F76AC"/>
    <w:rsid w:val="005F79C5"/>
    <w:rsid w:val="00600124"/>
    <w:rsid w:val="006017F5"/>
    <w:rsid w:val="006022A4"/>
    <w:rsid w:val="0060289F"/>
    <w:rsid w:val="00602B59"/>
    <w:rsid w:val="00602F69"/>
    <w:rsid w:val="00604C5E"/>
    <w:rsid w:val="00605B2B"/>
    <w:rsid w:val="0060625C"/>
    <w:rsid w:val="00606DD1"/>
    <w:rsid w:val="006075FF"/>
    <w:rsid w:val="006076A9"/>
    <w:rsid w:val="00612356"/>
    <w:rsid w:val="00613816"/>
    <w:rsid w:val="006153AF"/>
    <w:rsid w:val="006153DC"/>
    <w:rsid w:val="00616995"/>
    <w:rsid w:val="00617E0A"/>
    <w:rsid w:val="00620AC6"/>
    <w:rsid w:val="00620AF9"/>
    <w:rsid w:val="0062128F"/>
    <w:rsid w:val="00621A57"/>
    <w:rsid w:val="00622894"/>
    <w:rsid w:val="006260F5"/>
    <w:rsid w:val="006262BE"/>
    <w:rsid w:val="00627161"/>
    <w:rsid w:val="0062751E"/>
    <w:rsid w:val="006306E7"/>
    <w:rsid w:val="00631265"/>
    <w:rsid w:val="00633881"/>
    <w:rsid w:val="00635D0A"/>
    <w:rsid w:val="00636140"/>
    <w:rsid w:val="0064438F"/>
    <w:rsid w:val="00646DAC"/>
    <w:rsid w:val="00651713"/>
    <w:rsid w:val="00652878"/>
    <w:rsid w:val="006532E9"/>
    <w:rsid w:val="006533FF"/>
    <w:rsid w:val="006534C4"/>
    <w:rsid w:val="006548C0"/>
    <w:rsid w:val="006549E6"/>
    <w:rsid w:val="00654A45"/>
    <w:rsid w:val="00654B79"/>
    <w:rsid w:val="00663913"/>
    <w:rsid w:val="00664467"/>
    <w:rsid w:val="00664899"/>
    <w:rsid w:val="0066692A"/>
    <w:rsid w:val="0066700D"/>
    <w:rsid w:val="00667272"/>
    <w:rsid w:val="00667A8D"/>
    <w:rsid w:val="00672A77"/>
    <w:rsid w:val="00674659"/>
    <w:rsid w:val="006757B5"/>
    <w:rsid w:val="00676D75"/>
    <w:rsid w:val="0068008A"/>
    <w:rsid w:val="0068013B"/>
    <w:rsid w:val="00681E28"/>
    <w:rsid w:val="00681EB9"/>
    <w:rsid w:val="00682879"/>
    <w:rsid w:val="00682A83"/>
    <w:rsid w:val="00683C9D"/>
    <w:rsid w:val="0068533D"/>
    <w:rsid w:val="00686451"/>
    <w:rsid w:val="006873B9"/>
    <w:rsid w:val="0069057E"/>
    <w:rsid w:val="0069268F"/>
    <w:rsid w:val="00692A50"/>
    <w:rsid w:val="00692C77"/>
    <w:rsid w:val="0069401B"/>
    <w:rsid w:val="0069469A"/>
    <w:rsid w:val="006949AC"/>
    <w:rsid w:val="00694F2F"/>
    <w:rsid w:val="0069565F"/>
    <w:rsid w:val="00695F3D"/>
    <w:rsid w:val="00696A44"/>
    <w:rsid w:val="006A2113"/>
    <w:rsid w:val="006A4C4F"/>
    <w:rsid w:val="006A5262"/>
    <w:rsid w:val="006A5D30"/>
    <w:rsid w:val="006A75CC"/>
    <w:rsid w:val="006B0558"/>
    <w:rsid w:val="006B58D5"/>
    <w:rsid w:val="006B634E"/>
    <w:rsid w:val="006B7139"/>
    <w:rsid w:val="006C0A29"/>
    <w:rsid w:val="006C0B1B"/>
    <w:rsid w:val="006C2D5B"/>
    <w:rsid w:val="006C2FFE"/>
    <w:rsid w:val="006C3FCC"/>
    <w:rsid w:val="006C49CA"/>
    <w:rsid w:val="006C6795"/>
    <w:rsid w:val="006C6D92"/>
    <w:rsid w:val="006D0607"/>
    <w:rsid w:val="006D0E4E"/>
    <w:rsid w:val="006D212F"/>
    <w:rsid w:val="006D2D8B"/>
    <w:rsid w:val="006D2DB7"/>
    <w:rsid w:val="006D2EBA"/>
    <w:rsid w:val="006D389A"/>
    <w:rsid w:val="006D40FE"/>
    <w:rsid w:val="006D436E"/>
    <w:rsid w:val="006D5C21"/>
    <w:rsid w:val="006D6593"/>
    <w:rsid w:val="006D68E7"/>
    <w:rsid w:val="006D7484"/>
    <w:rsid w:val="006E0DAE"/>
    <w:rsid w:val="006E628C"/>
    <w:rsid w:val="006E62FD"/>
    <w:rsid w:val="006E7FC5"/>
    <w:rsid w:val="006F133C"/>
    <w:rsid w:val="006F1652"/>
    <w:rsid w:val="006F33D1"/>
    <w:rsid w:val="006F38E8"/>
    <w:rsid w:val="006F4CFA"/>
    <w:rsid w:val="006F50F4"/>
    <w:rsid w:val="006F5221"/>
    <w:rsid w:val="006F6F72"/>
    <w:rsid w:val="006F7327"/>
    <w:rsid w:val="006F7618"/>
    <w:rsid w:val="006F7EC4"/>
    <w:rsid w:val="007029C7"/>
    <w:rsid w:val="00704175"/>
    <w:rsid w:val="00704690"/>
    <w:rsid w:val="007077DF"/>
    <w:rsid w:val="00710FD3"/>
    <w:rsid w:val="0071188B"/>
    <w:rsid w:val="0071228F"/>
    <w:rsid w:val="00713839"/>
    <w:rsid w:val="007146F4"/>
    <w:rsid w:val="00716071"/>
    <w:rsid w:val="007170C2"/>
    <w:rsid w:val="0071774B"/>
    <w:rsid w:val="00720B94"/>
    <w:rsid w:val="007213AF"/>
    <w:rsid w:val="007223D2"/>
    <w:rsid w:val="00722FEC"/>
    <w:rsid w:val="00723FBC"/>
    <w:rsid w:val="00725345"/>
    <w:rsid w:val="00726302"/>
    <w:rsid w:val="00731887"/>
    <w:rsid w:val="007355B8"/>
    <w:rsid w:val="007366A0"/>
    <w:rsid w:val="00737218"/>
    <w:rsid w:val="007376B1"/>
    <w:rsid w:val="00740786"/>
    <w:rsid w:val="00740D55"/>
    <w:rsid w:val="007438B3"/>
    <w:rsid w:val="00746779"/>
    <w:rsid w:val="00750A9C"/>
    <w:rsid w:val="00750EF6"/>
    <w:rsid w:val="007512C5"/>
    <w:rsid w:val="007545F3"/>
    <w:rsid w:val="007563F7"/>
    <w:rsid w:val="00756B06"/>
    <w:rsid w:val="007579C3"/>
    <w:rsid w:val="0076152D"/>
    <w:rsid w:val="00763BC0"/>
    <w:rsid w:val="007640D0"/>
    <w:rsid w:val="0076466D"/>
    <w:rsid w:val="00765740"/>
    <w:rsid w:val="00766574"/>
    <w:rsid w:val="00766C52"/>
    <w:rsid w:val="007676AD"/>
    <w:rsid w:val="007717A7"/>
    <w:rsid w:val="00771D8A"/>
    <w:rsid w:val="007722CF"/>
    <w:rsid w:val="007724CB"/>
    <w:rsid w:val="0077427B"/>
    <w:rsid w:val="00774F88"/>
    <w:rsid w:val="007774AD"/>
    <w:rsid w:val="0078046C"/>
    <w:rsid w:val="00782179"/>
    <w:rsid w:val="00783511"/>
    <w:rsid w:val="00784228"/>
    <w:rsid w:val="007842CB"/>
    <w:rsid w:val="00784E13"/>
    <w:rsid w:val="00785994"/>
    <w:rsid w:val="00786511"/>
    <w:rsid w:val="00790083"/>
    <w:rsid w:val="0079079D"/>
    <w:rsid w:val="00790BCC"/>
    <w:rsid w:val="00790F3D"/>
    <w:rsid w:val="00792006"/>
    <w:rsid w:val="0079295F"/>
    <w:rsid w:val="00792EF3"/>
    <w:rsid w:val="0079427B"/>
    <w:rsid w:val="007969EC"/>
    <w:rsid w:val="007A0158"/>
    <w:rsid w:val="007A0D57"/>
    <w:rsid w:val="007A2DAE"/>
    <w:rsid w:val="007A3536"/>
    <w:rsid w:val="007A4633"/>
    <w:rsid w:val="007A526F"/>
    <w:rsid w:val="007A6476"/>
    <w:rsid w:val="007A75C4"/>
    <w:rsid w:val="007A7C6D"/>
    <w:rsid w:val="007B0051"/>
    <w:rsid w:val="007B0890"/>
    <w:rsid w:val="007B0D1C"/>
    <w:rsid w:val="007B1BA6"/>
    <w:rsid w:val="007B5060"/>
    <w:rsid w:val="007B5435"/>
    <w:rsid w:val="007B6E49"/>
    <w:rsid w:val="007B738B"/>
    <w:rsid w:val="007C10BD"/>
    <w:rsid w:val="007C1637"/>
    <w:rsid w:val="007C22B3"/>
    <w:rsid w:val="007C24BD"/>
    <w:rsid w:val="007C56A2"/>
    <w:rsid w:val="007C5F55"/>
    <w:rsid w:val="007C644C"/>
    <w:rsid w:val="007C7147"/>
    <w:rsid w:val="007C79D2"/>
    <w:rsid w:val="007D12D7"/>
    <w:rsid w:val="007D18D9"/>
    <w:rsid w:val="007D2412"/>
    <w:rsid w:val="007D326B"/>
    <w:rsid w:val="007D5861"/>
    <w:rsid w:val="007D7647"/>
    <w:rsid w:val="007E2E2C"/>
    <w:rsid w:val="007E37DF"/>
    <w:rsid w:val="007E41A0"/>
    <w:rsid w:val="007E45FE"/>
    <w:rsid w:val="007E68F9"/>
    <w:rsid w:val="007E6EA5"/>
    <w:rsid w:val="007F2910"/>
    <w:rsid w:val="007F2F0B"/>
    <w:rsid w:val="007F31F9"/>
    <w:rsid w:val="007F5074"/>
    <w:rsid w:val="007F51E1"/>
    <w:rsid w:val="007F5CD6"/>
    <w:rsid w:val="007F763D"/>
    <w:rsid w:val="007F76E7"/>
    <w:rsid w:val="00800C73"/>
    <w:rsid w:val="00801E88"/>
    <w:rsid w:val="00804A60"/>
    <w:rsid w:val="008100EC"/>
    <w:rsid w:val="008102E6"/>
    <w:rsid w:val="008119F8"/>
    <w:rsid w:val="00812B85"/>
    <w:rsid w:val="0081346A"/>
    <w:rsid w:val="00813C74"/>
    <w:rsid w:val="0081569A"/>
    <w:rsid w:val="00815BC5"/>
    <w:rsid w:val="00815C0F"/>
    <w:rsid w:val="00817591"/>
    <w:rsid w:val="00817DE0"/>
    <w:rsid w:val="00820478"/>
    <w:rsid w:val="00820720"/>
    <w:rsid w:val="00820817"/>
    <w:rsid w:val="008235B5"/>
    <w:rsid w:val="00824353"/>
    <w:rsid w:val="00824D11"/>
    <w:rsid w:val="00825103"/>
    <w:rsid w:val="008251F7"/>
    <w:rsid w:val="0082529B"/>
    <w:rsid w:val="00831A66"/>
    <w:rsid w:val="00834EA9"/>
    <w:rsid w:val="00836480"/>
    <w:rsid w:val="008364C0"/>
    <w:rsid w:val="008406A4"/>
    <w:rsid w:val="008410C3"/>
    <w:rsid w:val="00841796"/>
    <w:rsid w:val="00843A10"/>
    <w:rsid w:val="00845499"/>
    <w:rsid w:val="0084591E"/>
    <w:rsid w:val="00846E0C"/>
    <w:rsid w:val="00847808"/>
    <w:rsid w:val="008520F7"/>
    <w:rsid w:val="00852893"/>
    <w:rsid w:val="0085447D"/>
    <w:rsid w:val="00855351"/>
    <w:rsid w:val="00856A47"/>
    <w:rsid w:val="00856F5B"/>
    <w:rsid w:val="00857C95"/>
    <w:rsid w:val="00857EE7"/>
    <w:rsid w:val="00861C8C"/>
    <w:rsid w:val="008621AE"/>
    <w:rsid w:val="00866DCC"/>
    <w:rsid w:val="00867D39"/>
    <w:rsid w:val="008700CF"/>
    <w:rsid w:val="00872615"/>
    <w:rsid w:val="008728CC"/>
    <w:rsid w:val="00874E01"/>
    <w:rsid w:val="008752FD"/>
    <w:rsid w:val="00875B4B"/>
    <w:rsid w:val="00876119"/>
    <w:rsid w:val="008773CD"/>
    <w:rsid w:val="008800F3"/>
    <w:rsid w:val="008812CD"/>
    <w:rsid w:val="008821B1"/>
    <w:rsid w:val="008832DE"/>
    <w:rsid w:val="00883F73"/>
    <w:rsid w:val="008847ED"/>
    <w:rsid w:val="00885291"/>
    <w:rsid w:val="008854A0"/>
    <w:rsid w:val="00886FAF"/>
    <w:rsid w:val="008908BE"/>
    <w:rsid w:val="0089280F"/>
    <w:rsid w:val="00892DE3"/>
    <w:rsid w:val="00895E6B"/>
    <w:rsid w:val="00896282"/>
    <w:rsid w:val="008979D2"/>
    <w:rsid w:val="00897D79"/>
    <w:rsid w:val="008A0118"/>
    <w:rsid w:val="008A1284"/>
    <w:rsid w:val="008A1EB1"/>
    <w:rsid w:val="008A1EF9"/>
    <w:rsid w:val="008A3666"/>
    <w:rsid w:val="008A3FB5"/>
    <w:rsid w:val="008B0E86"/>
    <w:rsid w:val="008B1929"/>
    <w:rsid w:val="008B1FBD"/>
    <w:rsid w:val="008B3372"/>
    <w:rsid w:val="008B43A7"/>
    <w:rsid w:val="008B45B1"/>
    <w:rsid w:val="008B47AB"/>
    <w:rsid w:val="008B47D3"/>
    <w:rsid w:val="008B49A8"/>
    <w:rsid w:val="008B6BF7"/>
    <w:rsid w:val="008B716F"/>
    <w:rsid w:val="008C1860"/>
    <w:rsid w:val="008C1B9D"/>
    <w:rsid w:val="008C5B83"/>
    <w:rsid w:val="008C6E01"/>
    <w:rsid w:val="008C7513"/>
    <w:rsid w:val="008D0CDE"/>
    <w:rsid w:val="008D103C"/>
    <w:rsid w:val="008D1ABA"/>
    <w:rsid w:val="008D5095"/>
    <w:rsid w:val="008D5E02"/>
    <w:rsid w:val="008D6E8A"/>
    <w:rsid w:val="008D7E57"/>
    <w:rsid w:val="008E03F4"/>
    <w:rsid w:val="008E0AF6"/>
    <w:rsid w:val="008E0B69"/>
    <w:rsid w:val="008E18FC"/>
    <w:rsid w:val="008E2A7B"/>
    <w:rsid w:val="008E2ADE"/>
    <w:rsid w:val="008E3020"/>
    <w:rsid w:val="008E36F0"/>
    <w:rsid w:val="008E4A36"/>
    <w:rsid w:val="008E4EC3"/>
    <w:rsid w:val="008E52C2"/>
    <w:rsid w:val="008E647D"/>
    <w:rsid w:val="008E7636"/>
    <w:rsid w:val="008E7A48"/>
    <w:rsid w:val="008E7AD9"/>
    <w:rsid w:val="008F1C76"/>
    <w:rsid w:val="008F1FA6"/>
    <w:rsid w:val="008F215D"/>
    <w:rsid w:val="008F34EA"/>
    <w:rsid w:val="008F36A5"/>
    <w:rsid w:val="008F62FB"/>
    <w:rsid w:val="008F7101"/>
    <w:rsid w:val="008F7DAB"/>
    <w:rsid w:val="00900C4F"/>
    <w:rsid w:val="00902CCC"/>
    <w:rsid w:val="00903023"/>
    <w:rsid w:val="00903442"/>
    <w:rsid w:val="009040BD"/>
    <w:rsid w:val="00910A44"/>
    <w:rsid w:val="009136A6"/>
    <w:rsid w:val="00914693"/>
    <w:rsid w:val="009209DA"/>
    <w:rsid w:val="009238CE"/>
    <w:rsid w:val="009253AE"/>
    <w:rsid w:val="00925674"/>
    <w:rsid w:val="00925BC4"/>
    <w:rsid w:val="0092604E"/>
    <w:rsid w:val="00927CA9"/>
    <w:rsid w:val="009309D1"/>
    <w:rsid w:val="00931F06"/>
    <w:rsid w:val="00933B24"/>
    <w:rsid w:val="0093660E"/>
    <w:rsid w:val="00936D1C"/>
    <w:rsid w:val="009418DF"/>
    <w:rsid w:val="009428AB"/>
    <w:rsid w:val="00942A06"/>
    <w:rsid w:val="0094543E"/>
    <w:rsid w:val="00947081"/>
    <w:rsid w:val="00947176"/>
    <w:rsid w:val="009510BE"/>
    <w:rsid w:val="009537D8"/>
    <w:rsid w:val="00954518"/>
    <w:rsid w:val="00955186"/>
    <w:rsid w:val="00955681"/>
    <w:rsid w:val="00956A49"/>
    <w:rsid w:val="009608E5"/>
    <w:rsid w:val="00960F6B"/>
    <w:rsid w:val="00960FDD"/>
    <w:rsid w:val="00963231"/>
    <w:rsid w:val="00963496"/>
    <w:rsid w:val="00963AD7"/>
    <w:rsid w:val="009655C5"/>
    <w:rsid w:val="0096598A"/>
    <w:rsid w:val="00966046"/>
    <w:rsid w:val="00970043"/>
    <w:rsid w:val="00970965"/>
    <w:rsid w:val="009733BE"/>
    <w:rsid w:val="00973775"/>
    <w:rsid w:val="00974497"/>
    <w:rsid w:val="00974B07"/>
    <w:rsid w:val="00974C8D"/>
    <w:rsid w:val="009778A2"/>
    <w:rsid w:val="00977B44"/>
    <w:rsid w:val="009817FB"/>
    <w:rsid w:val="00983565"/>
    <w:rsid w:val="00983CD8"/>
    <w:rsid w:val="00984EA8"/>
    <w:rsid w:val="009858AC"/>
    <w:rsid w:val="0098610C"/>
    <w:rsid w:val="0098678E"/>
    <w:rsid w:val="009906F2"/>
    <w:rsid w:val="00991F00"/>
    <w:rsid w:val="009925C1"/>
    <w:rsid w:val="00993A1C"/>
    <w:rsid w:val="00993E72"/>
    <w:rsid w:val="009947FA"/>
    <w:rsid w:val="0099549D"/>
    <w:rsid w:val="00995FE8"/>
    <w:rsid w:val="0099679A"/>
    <w:rsid w:val="009A0DB4"/>
    <w:rsid w:val="009A1AE9"/>
    <w:rsid w:val="009A2E1D"/>
    <w:rsid w:val="009A4B9E"/>
    <w:rsid w:val="009A4F8B"/>
    <w:rsid w:val="009A67EB"/>
    <w:rsid w:val="009A6D27"/>
    <w:rsid w:val="009A7652"/>
    <w:rsid w:val="009B14CA"/>
    <w:rsid w:val="009B190A"/>
    <w:rsid w:val="009B2877"/>
    <w:rsid w:val="009B3539"/>
    <w:rsid w:val="009B49BD"/>
    <w:rsid w:val="009B65FB"/>
    <w:rsid w:val="009B689C"/>
    <w:rsid w:val="009B73F2"/>
    <w:rsid w:val="009B7935"/>
    <w:rsid w:val="009B7D04"/>
    <w:rsid w:val="009C16A8"/>
    <w:rsid w:val="009C1ABB"/>
    <w:rsid w:val="009C21E0"/>
    <w:rsid w:val="009C2F03"/>
    <w:rsid w:val="009C3189"/>
    <w:rsid w:val="009C3429"/>
    <w:rsid w:val="009C67FD"/>
    <w:rsid w:val="009C6D77"/>
    <w:rsid w:val="009D00B2"/>
    <w:rsid w:val="009D1E62"/>
    <w:rsid w:val="009D23FC"/>
    <w:rsid w:val="009D2E73"/>
    <w:rsid w:val="009D583B"/>
    <w:rsid w:val="009D5B3B"/>
    <w:rsid w:val="009D6B50"/>
    <w:rsid w:val="009D6D64"/>
    <w:rsid w:val="009D6E2C"/>
    <w:rsid w:val="009E03A3"/>
    <w:rsid w:val="009E0781"/>
    <w:rsid w:val="009E16C1"/>
    <w:rsid w:val="009E2BD3"/>
    <w:rsid w:val="009E2EE3"/>
    <w:rsid w:val="009E378D"/>
    <w:rsid w:val="009E3D89"/>
    <w:rsid w:val="009E4F1B"/>
    <w:rsid w:val="009E6AC9"/>
    <w:rsid w:val="009E768A"/>
    <w:rsid w:val="009F1E81"/>
    <w:rsid w:val="009F222B"/>
    <w:rsid w:val="009F323B"/>
    <w:rsid w:val="009F5DE7"/>
    <w:rsid w:val="009F77EE"/>
    <w:rsid w:val="009F7A6D"/>
    <w:rsid w:val="00A013B5"/>
    <w:rsid w:val="00A01D2E"/>
    <w:rsid w:val="00A05DE3"/>
    <w:rsid w:val="00A06165"/>
    <w:rsid w:val="00A06823"/>
    <w:rsid w:val="00A11413"/>
    <w:rsid w:val="00A1145F"/>
    <w:rsid w:val="00A126DD"/>
    <w:rsid w:val="00A131B3"/>
    <w:rsid w:val="00A13479"/>
    <w:rsid w:val="00A1453F"/>
    <w:rsid w:val="00A17181"/>
    <w:rsid w:val="00A17399"/>
    <w:rsid w:val="00A22909"/>
    <w:rsid w:val="00A2321E"/>
    <w:rsid w:val="00A23445"/>
    <w:rsid w:val="00A25A02"/>
    <w:rsid w:val="00A25CD0"/>
    <w:rsid w:val="00A31A4B"/>
    <w:rsid w:val="00A3252D"/>
    <w:rsid w:val="00A329DA"/>
    <w:rsid w:val="00A37493"/>
    <w:rsid w:val="00A37948"/>
    <w:rsid w:val="00A4077A"/>
    <w:rsid w:val="00A42886"/>
    <w:rsid w:val="00A4296F"/>
    <w:rsid w:val="00A42BCC"/>
    <w:rsid w:val="00A4650B"/>
    <w:rsid w:val="00A50D46"/>
    <w:rsid w:val="00A511B7"/>
    <w:rsid w:val="00A51D57"/>
    <w:rsid w:val="00A52041"/>
    <w:rsid w:val="00A52F64"/>
    <w:rsid w:val="00A54979"/>
    <w:rsid w:val="00A557B5"/>
    <w:rsid w:val="00A55DBD"/>
    <w:rsid w:val="00A56800"/>
    <w:rsid w:val="00A57FD7"/>
    <w:rsid w:val="00A60A55"/>
    <w:rsid w:val="00A6113B"/>
    <w:rsid w:val="00A614A0"/>
    <w:rsid w:val="00A61972"/>
    <w:rsid w:val="00A61C27"/>
    <w:rsid w:val="00A63255"/>
    <w:rsid w:val="00A64FE7"/>
    <w:rsid w:val="00A6586E"/>
    <w:rsid w:val="00A6647A"/>
    <w:rsid w:val="00A678B3"/>
    <w:rsid w:val="00A7261A"/>
    <w:rsid w:val="00A742AC"/>
    <w:rsid w:val="00A74427"/>
    <w:rsid w:val="00A749F0"/>
    <w:rsid w:val="00A74A93"/>
    <w:rsid w:val="00A7562A"/>
    <w:rsid w:val="00A75685"/>
    <w:rsid w:val="00A760E7"/>
    <w:rsid w:val="00A76369"/>
    <w:rsid w:val="00A77A8B"/>
    <w:rsid w:val="00A8092C"/>
    <w:rsid w:val="00A80E2E"/>
    <w:rsid w:val="00A8226F"/>
    <w:rsid w:val="00A83588"/>
    <w:rsid w:val="00A8556C"/>
    <w:rsid w:val="00A8675E"/>
    <w:rsid w:val="00A86AE7"/>
    <w:rsid w:val="00A87DFD"/>
    <w:rsid w:val="00A93EC3"/>
    <w:rsid w:val="00A94CAC"/>
    <w:rsid w:val="00A95502"/>
    <w:rsid w:val="00A96792"/>
    <w:rsid w:val="00A96D71"/>
    <w:rsid w:val="00A97D63"/>
    <w:rsid w:val="00AA0A7E"/>
    <w:rsid w:val="00AA2760"/>
    <w:rsid w:val="00AA3524"/>
    <w:rsid w:val="00AA3B36"/>
    <w:rsid w:val="00AA5578"/>
    <w:rsid w:val="00AA62E0"/>
    <w:rsid w:val="00AA7625"/>
    <w:rsid w:val="00AB05D6"/>
    <w:rsid w:val="00AB0CA3"/>
    <w:rsid w:val="00AB1E3C"/>
    <w:rsid w:val="00AB362D"/>
    <w:rsid w:val="00AB3EA7"/>
    <w:rsid w:val="00AB4342"/>
    <w:rsid w:val="00AB5860"/>
    <w:rsid w:val="00AC1CAD"/>
    <w:rsid w:val="00AC3447"/>
    <w:rsid w:val="00AC34DF"/>
    <w:rsid w:val="00AC4728"/>
    <w:rsid w:val="00AC49A9"/>
    <w:rsid w:val="00AC6CFA"/>
    <w:rsid w:val="00AC6FE1"/>
    <w:rsid w:val="00AC7C92"/>
    <w:rsid w:val="00AD411A"/>
    <w:rsid w:val="00AD4BCE"/>
    <w:rsid w:val="00AD4BF7"/>
    <w:rsid w:val="00AD4CFF"/>
    <w:rsid w:val="00AD577B"/>
    <w:rsid w:val="00AD5F0C"/>
    <w:rsid w:val="00AD67B7"/>
    <w:rsid w:val="00AD6877"/>
    <w:rsid w:val="00AE0D14"/>
    <w:rsid w:val="00AE0EFA"/>
    <w:rsid w:val="00AE1368"/>
    <w:rsid w:val="00AE34EA"/>
    <w:rsid w:val="00AE5643"/>
    <w:rsid w:val="00AE5AD9"/>
    <w:rsid w:val="00AE638D"/>
    <w:rsid w:val="00AE6D9F"/>
    <w:rsid w:val="00AE7569"/>
    <w:rsid w:val="00AE7A92"/>
    <w:rsid w:val="00AF0016"/>
    <w:rsid w:val="00AF2E9A"/>
    <w:rsid w:val="00AF3772"/>
    <w:rsid w:val="00AF4EDD"/>
    <w:rsid w:val="00AF519B"/>
    <w:rsid w:val="00AF5288"/>
    <w:rsid w:val="00AF712A"/>
    <w:rsid w:val="00B00491"/>
    <w:rsid w:val="00B0077C"/>
    <w:rsid w:val="00B01E6D"/>
    <w:rsid w:val="00B04805"/>
    <w:rsid w:val="00B04AF6"/>
    <w:rsid w:val="00B06064"/>
    <w:rsid w:val="00B065DA"/>
    <w:rsid w:val="00B1035A"/>
    <w:rsid w:val="00B10E1B"/>
    <w:rsid w:val="00B1184A"/>
    <w:rsid w:val="00B12B7D"/>
    <w:rsid w:val="00B12DA2"/>
    <w:rsid w:val="00B141CC"/>
    <w:rsid w:val="00B17E12"/>
    <w:rsid w:val="00B20426"/>
    <w:rsid w:val="00B20545"/>
    <w:rsid w:val="00B20F0B"/>
    <w:rsid w:val="00B22BE4"/>
    <w:rsid w:val="00B23468"/>
    <w:rsid w:val="00B27535"/>
    <w:rsid w:val="00B27D46"/>
    <w:rsid w:val="00B30354"/>
    <w:rsid w:val="00B30528"/>
    <w:rsid w:val="00B3296E"/>
    <w:rsid w:val="00B33FD1"/>
    <w:rsid w:val="00B41CE3"/>
    <w:rsid w:val="00B43251"/>
    <w:rsid w:val="00B43A29"/>
    <w:rsid w:val="00B44178"/>
    <w:rsid w:val="00B45565"/>
    <w:rsid w:val="00B45648"/>
    <w:rsid w:val="00B503DD"/>
    <w:rsid w:val="00B51738"/>
    <w:rsid w:val="00B52233"/>
    <w:rsid w:val="00B549F0"/>
    <w:rsid w:val="00B56136"/>
    <w:rsid w:val="00B566A8"/>
    <w:rsid w:val="00B56A81"/>
    <w:rsid w:val="00B6008A"/>
    <w:rsid w:val="00B6199D"/>
    <w:rsid w:val="00B6229F"/>
    <w:rsid w:val="00B627BE"/>
    <w:rsid w:val="00B62F13"/>
    <w:rsid w:val="00B64620"/>
    <w:rsid w:val="00B64B09"/>
    <w:rsid w:val="00B755C8"/>
    <w:rsid w:val="00B75F14"/>
    <w:rsid w:val="00B75F2F"/>
    <w:rsid w:val="00B80404"/>
    <w:rsid w:val="00B80876"/>
    <w:rsid w:val="00B8125F"/>
    <w:rsid w:val="00B8195A"/>
    <w:rsid w:val="00B820F1"/>
    <w:rsid w:val="00B83656"/>
    <w:rsid w:val="00B8488D"/>
    <w:rsid w:val="00B853BA"/>
    <w:rsid w:val="00B90EEC"/>
    <w:rsid w:val="00B920D7"/>
    <w:rsid w:val="00B93551"/>
    <w:rsid w:val="00B93E1D"/>
    <w:rsid w:val="00B94A56"/>
    <w:rsid w:val="00B9542D"/>
    <w:rsid w:val="00B96790"/>
    <w:rsid w:val="00B97E48"/>
    <w:rsid w:val="00B97F09"/>
    <w:rsid w:val="00BA3258"/>
    <w:rsid w:val="00BA4A5A"/>
    <w:rsid w:val="00BA5093"/>
    <w:rsid w:val="00BA5F6C"/>
    <w:rsid w:val="00BB1579"/>
    <w:rsid w:val="00BB199E"/>
    <w:rsid w:val="00BB2240"/>
    <w:rsid w:val="00BB40FC"/>
    <w:rsid w:val="00BB5EC5"/>
    <w:rsid w:val="00BB5F7C"/>
    <w:rsid w:val="00BC1515"/>
    <w:rsid w:val="00BC1AD3"/>
    <w:rsid w:val="00BC3B33"/>
    <w:rsid w:val="00BC582B"/>
    <w:rsid w:val="00BC7A8C"/>
    <w:rsid w:val="00BC7C7C"/>
    <w:rsid w:val="00BD5578"/>
    <w:rsid w:val="00BD7CAE"/>
    <w:rsid w:val="00BD7D8D"/>
    <w:rsid w:val="00BE0F8C"/>
    <w:rsid w:val="00BE2DC7"/>
    <w:rsid w:val="00BE423E"/>
    <w:rsid w:val="00BE5B09"/>
    <w:rsid w:val="00BE69AB"/>
    <w:rsid w:val="00BE76F1"/>
    <w:rsid w:val="00BF08F2"/>
    <w:rsid w:val="00BF10A7"/>
    <w:rsid w:val="00BF14D6"/>
    <w:rsid w:val="00BF1C18"/>
    <w:rsid w:val="00BF2276"/>
    <w:rsid w:val="00BF2297"/>
    <w:rsid w:val="00BF2F4B"/>
    <w:rsid w:val="00BF3015"/>
    <w:rsid w:val="00BF31CF"/>
    <w:rsid w:val="00BF68C1"/>
    <w:rsid w:val="00C005C2"/>
    <w:rsid w:val="00C01E2B"/>
    <w:rsid w:val="00C02909"/>
    <w:rsid w:val="00C036CD"/>
    <w:rsid w:val="00C0493E"/>
    <w:rsid w:val="00C049E1"/>
    <w:rsid w:val="00C05B6D"/>
    <w:rsid w:val="00C074CA"/>
    <w:rsid w:val="00C07DD1"/>
    <w:rsid w:val="00C103A9"/>
    <w:rsid w:val="00C1166F"/>
    <w:rsid w:val="00C11BF5"/>
    <w:rsid w:val="00C11CAC"/>
    <w:rsid w:val="00C11FC9"/>
    <w:rsid w:val="00C13D07"/>
    <w:rsid w:val="00C14232"/>
    <w:rsid w:val="00C14CD9"/>
    <w:rsid w:val="00C20135"/>
    <w:rsid w:val="00C2133B"/>
    <w:rsid w:val="00C22375"/>
    <w:rsid w:val="00C22442"/>
    <w:rsid w:val="00C22716"/>
    <w:rsid w:val="00C24156"/>
    <w:rsid w:val="00C264CC"/>
    <w:rsid w:val="00C274D0"/>
    <w:rsid w:val="00C27740"/>
    <w:rsid w:val="00C300B9"/>
    <w:rsid w:val="00C30384"/>
    <w:rsid w:val="00C30543"/>
    <w:rsid w:val="00C31F24"/>
    <w:rsid w:val="00C373DC"/>
    <w:rsid w:val="00C373E2"/>
    <w:rsid w:val="00C37A99"/>
    <w:rsid w:val="00C37FE9"/>
    <w:rsid w:val="00C40245"/>
    <w:rsid w:val="00C41CD1"/>
    <w:rsid w:val="00C42399"/>
    <w:rsid w:val="00C429B7"/>
    <w:rsid w:val="00C43575"/>
    <w:rsid w:val="00C43D0A"/>
    <w:rsid w:val="00C43FC7"/>
    <w:rsid w:val="00C44E10"/>
    <w:rsid w:val="00C46205"/>
    <w:rsid w:val="00C470FD"/>
    <w:rsid w:val="00C4770C"/>
    <w:rsid w:val="00C477C2"/>
    <w:rsid w:val="00C47D69"/>
    <w:rsid w:val="00C55044"/>
    <w:rsid w:val="00C575B9"/>
    <w:rsid w:val="00C6078F"/>
    <w:rsid w:val="00C619DB"/>
    <w:rsid w:val="00C62638"/>
    <w:rsid w:val="00C62C41"/>
    <w:rsid w:val="00C65DA0"/>
    <w:rsid w:val="00C67BA2"/>
    <w:rsid w:val="00C7339E"/>
    <w:rsid w:val="00C734BE"/>
    <w:rsid w:val="00C73E00"/>
    <w:rsid w:val="00C75944"/>
    <w:rsid w:val="00C771CE"/>
    <w:rsid w:val="00C773B9"/>
    <w:rsid w:val="00C80A49"/>
    <w:rsid w:val="00C815E3"/>
    <w:rsid w:val="00C82D3E"/>
    <w:rsid w:val="00C870F7"/>
    <w:rsid w:val="00C90708"/>
    <w:rsid w:val="00C91159"/>
    <w:rsid w:val="00C91166"/>
    <w:rsid w:val="00C92E2B"/>
    <w:rsid w:val="00C945FC"/>
    <w:rsid w:val="00C95178"/>
    <w:rsid w:val="00C95B18"/>
    <w:rsid w:val="00C96037"/>
    <w:rsid w:val="00C961BF"/>
    <w:rsid w:val="00C9670F"/>
    <w:rsid w:val="00C96FAB"/>
    <w:rsid w:val="00CA0032"/>
    <w:rsid w:val="00CA11EE"/>
    <w:rsid w:val="00CA1880"/>
    <w:rsid w:val="00CA52CF"/>
    <w:rsid w:val="00CB043B"/>
    <w:rsid w:val="00CB12DF"/>
    <w:rsid w:val="00CB21B4"/>
    <w:rsid w:val="00CB22FC"/>
    <w:rsid w:val="00CB49A3"/>
    <w:rsid w:val="00CB5950"/>
    <w:rsid w:val="00CB5E17"/>
    <w:rsid w:val="00CB6707"/>
    <w:rsid w:val="00CC3565"/>
    <w:rsid w:val="00CC4167"/>
    <w:rsid w:val="00CC50F0"/>
    <w:rsid w:val="00CC553A"/>
    <w:rsid w:val="00CC5B04"/>
    <w:rsid w:val="00CD056A"/>
    <w:rsid w:val="00CD28F2"/>
    <w:rsid w:val="00CD2C60"/>
    <w:rsid w:val="00CD300B"/>
    <w:rsid w:val="00CD3C28"/>
    <w:rsid w:val="00CD3C4D"/>
    <w:rsid w:val="00CD7BCE"/>
    <w:rsid w:val="00CE1826"/>
    <w:rsid w:val="00CE1B97"/>
    <w:rsid w:val="00CE21BE"/>
    <w:rsid w:val="00CE39DE"/>
    <w:rsid w:val="00CE5F3F"/>
    <w:rsid w:val="00CF05C7"/>
    <w:rsid w:val="00CF060B"/>
    <w:rsid w:val="00CF1542"/>
    <w:rsid w:val="00CF1999"/>
    <w:rsid w:val="00CF1BE2"/>
    <w:rsid w:val="00CF1F42"/>
    <w:rsid w:val="00CF277C"/>
    <w:rsid w:val="00CF402A"/>
    <w:rsid w:val="00CF44DF"/>
    <w:rsid w:val="00CF5BFA"/>
    <w:rsid w:val="00D01B89"/>
    <w:rsid w:val="00D01B8B"/>
    <w:rsid w:val="00D026D6"/>
    <w:rsid w:val="00D034D7"/>
    <w:rsid w:val="00D03E72"/>
    <w:rsid w:val="00D04C94"/>
    <w:rsid w:val="00D05BB9"/>
    <w:rsid w:val="00D10C41"/>
    <w:rsid w:val="00D13CC4"/>
    <w:rsid w:val="00D13FCE"/>
    <w:rsid w:val="00D17A75"/>
    <w:rsid w:val="00D21760"/>
    <w:rsid w:val="00D2204B"/>
    <w:rsid w:val="00D247F9"/>
    <w:rsid w:val="00D252EB"/>
    <w:rsid w:val="00D31863"/>
    <w:rsid w:val="00D318DC"/>
    <w:rsid w:val="00D324CA"/>
    <w:rsid w:val="00D32501"/>
    <w:rsid w:val="00D32846"/>
    <w:rsid w:val="00D33D3E"/>
    <w:rsid w:val="00D34E90"/>
    <w:rsid w:val="00D35900"/>
    <w:rsid w:val="00D3597C"/>
    <w:rsid w:val="00D3627C"/>
    <w:rsid w:val="00D36395"/>
    <w:rsid w:val="00D365E2"/>
    <w:rsid w:val="00D37830"/>
    <w:rsid w:val="00D405C5"/>
    <w:rsid w:val="00D42633"/>
    <w:rsid w:val="00D441F0"/>
    <w:rsid w:val="00D50627"/>
    <w:rsid w:val="00D5111F"/>
    <w:rsid w:val="00D51C4F"/>
    <w:rsid w:val="00D524CC"/>
    <w:rsid w:val="00D540AA"/>
    <w:rsid w:val="00D56EF6"/>
    <w:rsid w:val="00D57378"/>
    <w:rsid w:val="00D576E5"/>
    <w:rsid w:val="00D60750"/>
    <w:rsid w:val="00D63627"/>
    <w:rsid w:val="00D637DF"/>
    <w:rsid w:val="00D63DE3"/>
    <w:rsid w:val="00D64CBA"/>
    <w:rsid w:val="00D65DA1"/>
    <w:rsid w:val="00D71F0C"/>
    <w:rsid w:val="00D73BA4"/>
    <w:rsid w:val="00D805C5"/>
    <w:rsid w:val="00D80776"/>
    <w:rsid w:val="00D81B49"/>
    <w:rsid w:val="00D8212C"/>
    <w:rsid w:val="00D835A6"/>
    <w:rsid w:val="00D90290"/>
    <w:rsid w:val="00D90587"/>
    <w:rsid w:val="00D907FA"/>
    <w:rsid w:val="00D91E91"/>
    <w:rsid w:val="00D93C3C"/>
    <w:rsid w:val="00D95864"/>
    <w:rsid w:val="00D96248"/>
    <w:rsid w:val="00D968B9"/>
    <w:rsid w:val="00D96AB7"/>
    <w:rsid w:val="00DA00BA"/>
    <w:rsid w:val="00DA0296"/>
    <w:rsid w:val="00DA230F"/>
    <w:rsid w:val="00DA2653"/>
    <w:rsid w:val="00DA2695"/>
    <w:rsid w:val="00DA31AC"/>
    <w:rsid w:val="00DA3632"/>
    <w:rsid w:val="00DA44C3"/>
    <w:rsid w:val="00DA6975"/>
    <w:rsid w:val="00DA6B4C"/>
    <w:rsid w:val="00DA6D1A"/>
    <w:rsid w:val="00DA7266"/>
    <w:rsid w:val="00DA7988"/>
    <w:rsid w:val="00DA7D95"/>
    <w:rsid w:val="00DB10FE"/>
    <w:rsid w:val="00DB1CE6"/>
    <w:rsid w:val="00DB1D83"/>
    <w:rsid w:val="00DB2448"/>
    <w:rsid w:val="00DB42B2"/>
    <w:rsid w:val="00DB722C"/>
    <w:rsid w:val="00DC0011"/>
    <w:rsid w:val="00DC0B96"/>
    <w:rsid w:val="00DC16ED"/>
    <w:rsid w:val="00DC2C50"/>
    <w:rsid w:val="00DC30E5"/>
    <w:rsid w:val="00DC318E"/>
    <w:rsid w:val="00DC51DB"/>
    <w:rsid w:val="00DC5FC6"/>
    <w:rsid w:val="00DC65D6"/>
    <w:rsid w:val="00DC6FA5"/>
    <w:rsid w:val="00DD167A"/>
    <w:rsid w:val="00DD1736"/>
    <w:rsid w:val="00DD20A8"/>
    <w:rsid w:val="00DD4D0D"/>
    <w:rsid w:val="00DD5CC5"/>
    <w:rsid w:val="00DD647E"/>
    <w:rsid w:val="00DE0179"/>
    <w:rsid w:val="00DE2442"/>
    <w:rsid w:val="00DE31A7"/>
    <w:rsid w:val="00DE338A"/>
    <w:rsid w:val="00DE392F"/>
    <w:rsid w:val="00DE5E35"/>
    <w:rsid w:val="00DF1E01"/>
    <w:rsid w:val="00DF279A"/>
    <w:rsid w:val="00DF4816"/>
    <w:rsid w:val="00DF532A"/>
    <w:rsid w:val="00DF5358"/>
    <w:rsid w:val="00DF5808"/>
    <w:rsid w:val="00DF68F7"/>
    <w:rsid w:val="00DF6C1F"/>
    <w:rsid w:val="00DF74D3"/>
    <w:rsid w:val="00E00E04"/>
    <w:rsid w:val="00E041D4"/>
    <w:rsid w:val="00E04BC8"/>
    <w:rsid w:val="00E05363"/>
    <w:rsid w:val="00E05D1A"/>
    <w:rsid w:val="00E06CE6"/>
    <w:rsid w:val="00E10EB8"/>
    <w:rsid w:val="00E127BF"/>
    <w:rsid w:val="00E13073"/>
    <w:rsid w:val="00E1361C"/>
    <w:rsid w:val="00E13E3A"/>
    <w:rsid w:val="00E14991"/>
    <w:rsid w:val="00E14FA0"/>
    <w:rsid w:val="00E1550C"/>
    <w:rsid w:val="00E16586"/>
    <w:rsid w:val="00E22163"/>
    <w:rsid w:val="00E22222"/>
    <w:rsid w:val="00E2335A"/>
    <w:rsid w:val="00E24A06"/>
    <w:rsid w:val="00E25678"/>
    <w:rsid w:val="00E26821"/>
    <w:rsid w:val="00E272D0"/>
    <w:rsid w:val="00E27800"/>
    <w:rsid w:val="00E31001"/>
    <w:rsid w:val="00E31136"/>
    <w:rsid w:val="00E32763"/>
    <w:rsid w:val="00E32E04"/>
    <w:rsid w:val="00E338A3"/>
    <w:rsid w:val="00E33C31"/>
    <w:rsid w:val="00E33D72"/>
    <w:rsid w:val="00E341AD"/>
    <w:rsid w:val="00E3538E"/>
    <w:rsid w:val="00E36102"/>
    <w:rsid w:val="00E3665E"/>
    <w:rsid w:val="00E367CB"/>
    <w:rsid w:val="00E37E5B"/>
    <w:rsid w:val="00E403AA"/>
    <w:rsid w:val="00E40A21"/>
    <w:rsid w:val="00E41E70"/>
    <w:rsid w:val="00E41FFA"/>
    <w:rsid w:val="00E42D43"/>
    <w:rsid w:val="00E435FF"/>
    <w:rsid w:val="00E4375B"/>
    <w:rsid w:val="00E44B68"/>
    <w:rsid w:val="00E45057"/>
    <w:rsid w:val="00E479D9"/>
    <w:rsid w:val="00E500AE"/>
    <w:rsid w:val="00E52582"/>
    <w:rsid w:val="00E530A0"/>
    <w:rsid w:val="00E53CB4"/>
    <w:rsid w:val="00E540C7"/>
    <w:rsid w:val="00E560D8"/>
    <w:rsid w:val="00E561BC"/>
    <w:rsid w:val="00E57C4B"/>
    <w:rsid w:val="00E643A1"/>
    <w:rsid w:val="00E660C5"/>
    <w:rsid w:val="00E701F2"/>
    <w:rsid w:val="00E71DB5"/>
    <w:rsid w:val="00E72F1D"/>
    <w:rsid w:val="00E73242"/>
    <w:rsid w:val="00E73343"/>
    <w:rsid w:val="00E74A99"/>
    <w:rsid w:val="00E74F98"/>
    <w:rsid w:val="00E751BA"/>
    <w:rsid w:val="00E77770"/>
    <w:rsid w:val="00E77B70"/>
    <w:rsid w:val="00E8116F"/>
    <w:rsid w:val="00E82E33"/>
    <w:rsid w:val="00E8326D"/>
    <w:rsid w:val="00E833FC"/>
    <w:rsid w:val="00E83544"/>
    <w:rsid w:val="00E83A4C"/>
    <w:rsid w:val="00E85525"/>
    <w:rsid w:val="00E86CB2"/>
    <w:rsid w:val="00E87AE6"/>
    <w:rsid w:val="00E917AB"/>
    <w:rsid w:val="00E91D49"/>
    <w:rsid w:val="00E92423"/>
    <w:rsid w:val="00E92C2E"/>
    <w:rsid w:val="00E93338"/>
    <w:rsid w:val="00E9339A"/>
    <w:rsid w:val="00E93A64"/>
    <w:rsid w:val="00E9400A"/>
    <w:rsid w:val="00E95794"/>
    <w:rsid w:val="00E95ECA"/>
    <w:rsid w:val="00E9697F"/>
    <w:rsid w:val="00EA30FE"/>
    <w:rsid w:val="00EA5487"/>
    <w:rsid w:val="00EA5D9B"/>
    <w:rsid w:val="00EA61CA"/>
    <w:rsid w:val="00EA6A45"/>
    <w:rsid w:val="00EA6B14"/>
    <w:rsid w:val="00EA6C7B"/>
    <w:rsid w:val="00EB0E72"/>
    <w:rsid w:val="00EB18D5"/>
    <w:rsid w:val="00EB4317"/>
    <w:rsid w:val="00EB4789"/>
    <w:rsid w:val="00EB4AA9"/>
    <w:rsid w:val="00EB5403"/>
    <w:rsid w:val="00EB5940"/>
    <w:rsid w:val="00EB6825"/>
    <w:rsid w:val="00EB68D6"/>
    <w:rsid w:val="00EB6C02"/>
    <w:rsid w:val="00EC44EE"/>
    <w:rsid w:val="00EC4B37"/>
    <w:rsid w:val="00EC5DA8"/>
    <w:rsid w:val="00EC6A99"/>
    <w:rsid w:val="00EC6B1D"/>
    <w:rsid w:val="00EC7020"/>
    <w:rsid w:val="00EC784E"/>
    <w:rsid w:val="00ED050E"/>
    <w:rsid w:val="00ED0795"/>
    <w:rsid w:val="00ED1C72"/>
    <w:rsid w:val="00ED2516"/>
    <w:rsid w:val="00ED3311"/>
    <w:rsid w:val="00ED3B0D"/>
    <w:rsid w:val="00ED3FAB"/>
    <w:rsid w:val="00ED4EB8"/>
    <w:rsid w:val="00ED5F91"/>
    <w:rsid w:val="00ED693A"/>
    <w:rsid w:val="00ED7278"/>
    <w:rsid w:val="00ED75E1"/>
    <w:rsid w:val="00ED7797"/>
    <w:rsid w:val="00EE01A0"/>
    <w:rsid w:val="00EE07DC"/>
    <w:rsid w:val="00EE258D"/>
    <w:rsid w:val="00EE2B04"/>
    <w:rsid w:val="00EE30E7"/>
    <w:rsid w:val="00EE41B2"/>
    <w:rsid w:val="00EE575C"/>
    <w:rsid w:val="00EE5DE5"/>
    <w:rsid w:val="00EE648C"/>
    <w:rsid w:val="00EF0708"/>
    <w:rsid w:val="00EF0FA8"/>
    <w:rsid w:val="00EF2F50"/>
    <w:rsid w:val="00EF3C55"/>
    <w:rsid w:val="00EF531C"/>
    <w:rsid w:val="00EF7C2B"/>
    <w:rsid w:val="00F01C9E"/>
    <w:rsid w:val="00F01F22"/>
    <w:rsid w:val="00F056DF"/>
    <w:rsid w:val="00F05711"/>
    <w:rsid w:val="00F07DC5"/>
    <w:rsid w:val="00F14A5A"/>
    <w:rsid w:val="00F15929"/>
    <w:rsid w:val="00F16441"/>
    <w:rsid w:val="00F20362"/>
    <w:rsid w:val="00F20534"/>
    <w:rsid w:val="00F21386"/>
    <w:rsid w:val="00F21706"/>
    <w:rsid w:val="00F22068"/>
    <w:rsid w:val="00F226CC"/>
    <w:rsid w:val="00F2504E"/>
    <w:rsid w:val="00F25DF3"/>
    <w:rsid w:val="00F30AE5"/>
    <w:rsid w:val="00F3205C"/>
    <w:rsid w:val="00F3269D"/>
    <w:rsid w:val="00F33691"/>
    <w:rsid w:val="00F33B7C"/>
    <w:rsid w:val="00F343D6"/>
    <w:rsid w:val="00F34BBB"/>
    <w:rsid w:val="00F3520F"/>
    <w:rsid w:val="00F353CB"/>
    <w:rsid w:val="00F3586E"/>
    <w:rsid w:val="00F36202"/>
    <w:rsid w:val="00F36E02"/>
    <w:rsid w:val="00F41141"/>
    <w:rsid w:val="00F41582"/>
    <w:rsid w:val="00F421DD"/>
    <w:rsid w:val="00F42EA5"/>
    <w:rsid w:val="00F42ED4"/>
    <w:rsid w:val="00F439F3"/>
    <w:rsid w:val="00F43C9B"/>
    <w:rsid w:val="00F4471F"/>
    <w:rsid w:val="00F44E64"/>
    <w:rsid w:val="00F4529B"/>
    <w:rsid w:val="00F4775A"/>
    <w:rsid w:val="00F47F88"/>
    <w:rsid w:val="00F51893"/>
    <w:rsid w:val="00F5202F"/>
    <w:rsid w:val="00F54B7E"/>
    <w:rsid w:val="00F559DF"/>
    <w:rsid w:val="00F55B11"/>
    <w:rsid w:val="00F55E69"/>
    <w:rsid w:val="00F56080"/>
    <w:rsid w:val="00F5613D"/>
    <w:rsid w:val="00F57481"/>
    <w:rsid w:val="00F61567"/>
    <w:rsid w:val="00F64FC4"/>
    <w:rsid w:val="00F65A95"/>
    <w:rsid w:val="00F65B0D"/>
    <w:rsid w:val="00F66C5F"/>
    <w:rsid w:val="00F735EC"/>
    <w:rsid w:val="00F746E4"/>
    <w:rsid w:val="00F76302"/>
    <w:rsid w:val="00F76B66"/>
    <w:rsid w:val="00F7714B"/>
    <w:rsid w:val="00F7715E"/>
    <w:rsid w:val="00F80435"/>
    <w:rsid w:val="00F81069"/>
    <w:rsid w:val="00F810E8"/>
    <w:rsid w:val="00F82AC3"/>
    <w:rsid w:val="00F84213"/>
    <w:rsid w:val="00F879C6"/>
    <w:rsid w:val="00F87C7B"/>
    <w:rsid w:val="00F9029E"/>
    <w:rsid w:val="00F908A2"/>
    <w:rsid w:val="00F91037"/>
    <w:rsid w:val="00F91F0B"/>
    <w:rsid w:val="00F924DA"/>
    <w:rsid w:val="00F92809"/>
    <w:rsid w:val="00F93BAE"/>
    <w:rsid w:val="00F96AD3"/>
    <w:rsid w:val="00FA277F"/>
    <w:rsid w:val="00FA2B57"/>
    <w:rsid w:val="00FA5814"/>
    <w:rsid w:val="00FA6DEC"/>
    <w:rsid w:val="00FA7D5D"/>
    <w:rsid w:val="00FB1308"/>
    <w:rsid w:val="00FB15CA"/>
    <w:rsid w:val="00FB37B8"/>
    <w:rsid w:val="00FB3BB2"/>
    <w:rsid w:val="00FB4121"/>
    <w:rsid w:val="00FB4FE9"/>
    <w:rsid w:val="00FB510E"/>
    <w:rsid w:val="00FB6D1D"/>
    <w:rsid w:val="00FB7AAF"/>
    <w:rsid w:val="00FB7EF5"/>
    <w:rsid w:val="00FC0DC1"/>
    <w:rsid w:val="00FC0E94"/>
    <w:rsid w:val="00FC1FCF"/>
    <w:rsid w:val="00FC6DAE"/>
    <w:rsid w:val="00FD1C3B"/>
    <w:rsid w:val="00FD24BE"/>
    <w:rsid w:val="00FD3600"/>
    <w:rsid w:val="00FD41A9"/>
    <w:rsid w:val="00FD42E1"/>
    <w:rsid w:val="00FD4361"/>
    <w:rsid w:val="00FD6943"/>
    <w:rsid w:val="00FE025A"/>
    <w:rsid w:val="00FE18BD"/>
    <w:rsid w:val="00FE1E0C"/>
    <w:rsid w:val="00FE21FB"/>
    <w:rsid w:val="00FE40F0"/>
    <w:rsid w:val="00FE4C7B"/>
    <w:rsid w:val="00FE683D"/>
    <w:rsid w:val="00FE7BFF"/>
    <w:rsid w:val="00FF11D3"/>
    <w:rsid w:val="00FF2209"/>
    <w:rsid w:val="00FF2FC2"/>
    <w:rsid w:val="00FF4C98"/>
    <w:rsid w:val="00FF5581"/>
    <w:rsid w:val="00FF5A1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7F64C8"/>
  <w15:chartTrackingRefBased/>
  <w15:docId w15:val="{CF5B496E-5396-4FFD-B67C-BEEFAEE8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710E"/>
    <w:pPr>
      <w:spacing w:after="0" w:line="240" w:lineRule="auto"/>
    </w:pPr>
    <w:rPr>
      <w:sz w:val="21"/>
    </w:rPr>
  </w:style>
  <w:style w:type="paragraph" w:styleId="Rubrik1">
    <w:name w:val="heading 1"/>
    <w:basedOn w:val="Normal"/>
    <w:next w:val="Brdtext"/>
    <w:link w:val="Rubrik1Char"/>
    <w:qFormat/>
    <w:rsid w:val="00202CD1"/>
    <w:pPr>
      <w:keepNext/>
      <w:keepLines/>
      <w:pageBreakBefore/>
      <w:numPr>
        <w:numId w:val="23"/>
      </w:numPr>
      <w:spacing w:before="600" w:after="290"/>
      <w:outlineLvl w:val="0"/>
    </w:pPr>
    <w:rPr>
      <w:rFonts w:asciiTheme="majorHAnsi" w:eastAsiaTheme="majorEastAsia" w:hAnsiTheme="majorHAnsi" w:cstheme="majorBidi"/>
      <w:color w:val="389066"/>
      <w:spacing w:val="-4"/>
      <w:kern w:val="32"/>
      <w:sz w:val="44"/>
      <w:szCs w:val="32"/>
      <w:lang w:val="en-US"/>
    </w:rPr>
  </w:style>
  <w:style w:type="paragraph" w:styleId="Rubrik2">
    <w:name w:val="heading 2"/>
    <w:basedOn w:val="Normal"/>
    <w:next w:val="Brdtext"/>
    <w:link w:val="Rubrik2Char"/>
    <w:qFormat/>
    <w:rsid w:val="00F93BAE"/>
    <w:pPr>
      <w:keepNext/>
      <w:keepLines/>
      <w:numPr>
        <w:ilvl w:val="1"/>
        <w:numId w:val="23"/>
      </w:numPr>
      <w:spacing w:before="290" w:line="290" w:lineRule="atLeast"/>
      <w:outlineLvl w:val="1"/>
    </w:pPr>
    <w:rPr>
      <w:rFonts w:asciiTheme="majorHAnsi" w:eastAsiaTheme="majorEastAsia" w:hAnsiTheme="majorHAnsi" w:cstheme="majorBidi"/>
      <w:b/>
      <w:spacing w:val="-2"/>
      <w:sz w:val="22"/>
      <w:szCs w:val="26"/>
      <w:lang w:val="en-US"/>
    </w:rPr>
  </w:style>
  <w:style w:type="paragraph" w:styleId="Rubrik3">
    <w:name w:val="heading 3"/>
    <w:basedOn w:val="Normal"/>
    <w:next w:val="Brdtext"/>
    <w:link w:val="Rubrik3Char"/>
    <w:qFormat/>
    <w:rsid w:val="00F93BAE"/>
    <w:pPr>
      <w:keepNext/>
      <w:keepLines/>
      <w:numPr>
        <w:ilvl w:val="2"/>
        <w:numId w:val="23"/>
      </w:numPr>
      <w:spacing w:before="290" w:line="290" w:lineRule="atLeast"/>
      <w:outlineLvl w:val="2"/>
    </w:pPr>
    <w:rPr>
      <w:rFonts w:asciiTheme="majorHAnsi" w:eastAsiaTheme="majorEastAsia" w:hAnsiTheme="majorHAnsi" w:cstheme="majorBidi"/>
      <w:b/>
      <w:i/>
      <w:spacing w:val="-2"/>
      <w:szCs w:val="24"/>
      <w:lang w:val="en-US"/>
    </w:rPr>
  </w:style>
  <w:style w:type="paragraph" w:styleId="Rubrik4">
    <w:name w:val="heading 4"/>
    <w:basedOn w:val="Normal"/>
    <w:next w:val="Brdtext"/>
    <w:link w:val="Rubrik4Char"/>
    <w:uiPriority w:val="9"/>
    <w:qFormat/>
    <w:rsid w:val="007B0D1C"/>
    <w:pPr>
      <w:keepNext/>
      <w:keepLines/>
      <w:numPr>
        <w:ilvl w:val="3"/>
        <w:numId w:val="23"/>
      </w:numPr>
      <w:spacing w:before="290" w:line="290" w:lineRule="atLeast"/>
      <w:outlineLvl w:val="3"/>
    </w:pPr>
    <w:rPr>
      <w:rFonts w:asciiTheme="majorHAnsi" w:eastAsiaTheme="majorEastAsia" w:hAnsiTheme="majorHAnsi" w:cstheme="majorBidi"/>
      <w:iCs/>
      <w:sz w:val="22"/>
    </w:rPr>
  </w:style>
  <w:style w:type="paragraph" w:styleId="Rubrik5">
    <w:name w:val="heading 5"/>
    <w:basedOn w:val="Normal"/>
    <w:next w:val="Brdtext"/>
    <w:link w:val="Rubrik5Char"/>
    <w:uiPriority w:val="9"/>
    <w:qFormat/>
    <w:rsid w:val="007C79D2"/>
    <w:pPr>
      <w:keepNext/>
      <w:keepLines/>
      <w:numPr>
        <w:ilvl w:val="4"/>
        <w:numId w:val="23"/>
      </w:numPr>
      <w:spacing w:before="290" w:line="290" w:lineRule="atLeast"/>
      <w:outlineLvl w:val="4"/>
    </w:pPr>
    <w:rPr>
      <w:rFonts w:asciiTheme="majorHAnsi" w:eastAsiaTheme="majorEastAsia" w:hAnsiTheme="majorHAnsi" w:cstheme="majorBidi"/>
      <w:i/>
      <w:spacing w:val="-2"/>
      <w:lang w:val="en-US"/>
    </w:rPr>
  </w:style>
  <w:style w:type="paragraph" w:styleId="Rubrik6">
    <w:name w:val="heading 6"/>
    <w:basedOn w:val="Normal"/>
    <w:next w:val="Brdtext"/>
    <w:link w:val="Rubrik6Char"/>
    <w:uiPriority w:val="1"/>
    <w:qFormat/>
    <w:rsid w:val="00096EC6"/>
    <w:pPr>
      <w:keepNext/>
      <w:keepLines/>
      <w:numPr>
        <w:ilvl w:val="5"/>
        <w:numId w:val="23"/>
      </w:numPr>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qFormat/>
    <w:rsid w:val="0035489D"/>
    <w:pPr>
      <w:keepNext/>
      <w:keepLines/>
      <w:numPr>
        <w:ilvl w:val="6"/>
        <w:numId w:val="23"/>
      </w:numPr>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qFormat/>
    <w:rsid w:val="00096EC6"/>
    <w:pPr>
      <w:keepNext/>
      <w:keepLines/>
      <w:numPr>
        <w:ilvl w:val="7"/>
        <w:numId w:val="23"/>
      </w:numPr>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qFormat/>
    <w:rsid w:val="00096EC6"/>
    <w:pPr>
      <w:keepNext/>
      <w:keepLines/>
      <w:numPr>
        <w:ilvl w:val="8"/>
        <w:numId w:val="23"/>
      </w:numPr>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0A32E7"/>
    <w:pPr>
      <w:spacing w:after="290" w:line="290" w:lineRule="atLeast"/>
    </w:pPr>
    <w:rPr>
      <w:spacing w:val="5"/>
      <w:sz w:val="22"/>
      <w:lang w:val="en-US"/>
    </w:rPr>
  </w:style>
  <w:style w:type="character" w:customStyle="1" w:styleId="BrdtextChar">
    <w:name w:val="Brödtext Char"/>
    <w:basedOn w:val="Standardstycketeckensnitt"/>
    <w:link w:val="Brdtext"/>
    <w:rsid w:val="000A32E7"/>
    <w:rPr>
      <w:spacing w:val="5"/>
      <w:lang w:val="en-US"/>
    </w:rPr>
  </w:style>
  <w:style w:type="paragraph" w:styleId="Punktlista">
    <w:name w:val="List Bullet"/>
    <w:basedOn w:val="Brdtext"/>
    <w:qFormat/>
    <w:rsid w:val="00227C95"/>
    <w:pPr>
      <w:numPr>
        <w:numId w:val="1"/>
      </w:numPr>
    </w:pPr>
    <w:rPr>
      <w:rFonts w:eastAsia="Times New Roman" w:cs="Times New Roman"/>
      <w:szCs w:val="24"/>
      <w:lang w:eastAsia="sv-SE"/>
    </w:rPr>
  </w:style>
  <w:style w:type="paragraph" w:customStyle="1" w:styleId="Nummerlista">
    <w:name w:val="Nummerlista"/>
    <w:basedOn w:val="Brdtext"/>
    <w:qFormat/>
    <w:rsid w:val="00227C95"/>
    <w:pPr>
      <w:numPr>
        <w:numId w:val="2"/>
      </w:numPr>
    </w:pPr>
    <w:rPr>
      <w:rFonts w:eastAsia="Times New Roman" w:cs="Times New Roman"/>
      <w:szCs w:val="24"/>
      <w:lang w:eastAsia="sv-SE"/>
    </w:rPr>
  </w:style>
  <w:style w:type="character" w:customStyle="1" w:styleId="Rubrik1Char">
    <w:name w:val="Rubrik 1 Char"/>
    <w:basedOn w:val="Standardstycketeckensnitt"/>
    <w:link w:val="Rubrik1"/>
    <w:rsid w:val="00202CD1"/>
    <w:rPr>
      <w:rFonts w:asciiTheme="majorHAnsi" w:eastAsiaTheme="majorEastAsia" w:hAnsiTheme="majorHAnsi" w:cstheme="majorBidi"/>
      <w:color w:val="389066"/>
      <w:spacing w:val="-4"/>
      <w:kern w:val="32"/>
      <w:sz w:val="44"/>
      <w:szCs w:val="32"/>
      <w:lang w:val="en-US"/>
    </w:rPr>
  </w:style>
  <w:style w:type="character" w:customStyle="1" w:styleId="Rubrik2Char">
    <w:name w:val="Rubrik 2 Char"/>
    <w:basedOn w:val="Standardstycketeckensnitt"/>
    <w:link w:val="Rubrik2"/>
    <w:rsid w:val="00F93BAE"/>
    <w:rPr>
      <w:rFonts w:asciiTheme="majorHAnsi" w:eastAsiaTheme="majorEastAsia" w:hAnsiTheme="majorHAnsi" w:cstheme="majorBidi"/>
      <w:b/>
      <w:spacing w:val="-2"/>
      <w:szCs w:val="26"/>
      <w:lang w:val="en-US"/>
    </w:rPr>
  </w:style>
  <w:style w:type="character" w:customStyle="1" w:styleId="Rubrik3Char">
    <w:name w:val="Rubrik 3 Char"/>
    <w:basedOn w:val="Standardstycketeckensnitt"/>
    <w:link w:val="Rubrik3"/>
    <w:rsid w:val="00F93BAE"/>
    <w:rPr>
      <w:rFonts w:asciiTheme="majorHAnsi" w:eastAsiaTheme="majorEastAsia" w:hAnsiTheme="majorHAnsi" w:cstheme="majorBidi"/>
      <w:b/>
      <w:i/>
      <w:spacing w:val="-2"/>
      <w:sz w:val="21"/>
      <w:szCs w:val="24"/>
      <w:lang w:val="en-US"/>
    </w:rPr>
  </w:style>
  <w:style w:type="character" w:customStyle="1" w:styleId="Rubrik4Char">
    <w:name w:val="Rubrik 4 Char"/>
    <w:basedOn w:val="Standardstycketeckensnitt"/>
    <w:link w:val="Rubrik4"/>
    <w:uiPriority w:val="9"/>
    <w:rsid w:val="007B0D1C"/>
    <w:rPr>
      <w:rFonts w:asciiTheme="majorHAnsi" w:eastAsiaTheme="majorEastAsia" w:hAnsiTheme="majorHAnsi" w:cstheme="majorBidi"/>
      <w:iCs/>
    </w:rPr>
  </w:style>
  <w:style w:type="paragraph" w:customStyle="1" w:styleId="Tabelltext">
    <w:name w:val="Tabelltext"/>
    <w:basedOn w:val="Normal"/>
    <w:uiPriority w:val="9"/>
    <w:qFormat/>
    <w:rsid w:val="00117804"/>
    <w:pPr>
      <w:spacing w:before="80" w:after="60"/>
    </w:pPr>
    <w:rPr>
      <w:rFonts w:asciiTheme="majorHAnsi" w:hAnsiTheme="majorHAnsi"/>
      <w:spacing w:val="-2"/>
      <w:sz w:val="16"/>
      <w:lang w:val="en-US"/>
    </w:rPr>
  </w:style>
  <w:style w:type="character" w:customStyle="1" w:styleId="Rubrik5Char">
    <w:name w:val="Rubrik 5 Char"/>
    <w:basedOn w:val="Standardstycketeckensnitt"/>
    <w:link w:val="Rubrik5"/>
    <w:uiPriority w:val="9"/>
    <w:rsid w:val="007C79D2"/>
    <w:rPr>
      <w:rFonts w:asciiTheme="majorHAnsi" w:eastAsiaTheme="majorEastAsia" w:hAnsiTheme="majorHAnsi" w:cstheme="majorBidi"/>
      <w:i/>
      <w:spacing w:val="-2"/>
      <w:sz w:val="21"/>
      <w:lang w:val="en-US"/>
    </w:rPr>
  </w:style>
  <w:style w:type="character" w:customStyle="1" w:styleId="Rubrik6Char">
    <w:name w:val="Rubrik 6 Char"/>
    <w:basedOn w:val="Standardstycketeckensnitt"/>
    <w:link w:val="Rubrik6"/>
    <w:uiPriority w:val="1"/>
    <w:rsid w:val="0035489D"/>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rsid w:val="0035489D"/>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rsid w:val="0035489D"/>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rsid w:val="0035489D"/>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E367CB"/>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E367CB"/>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E367CB"/>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E367CB"/>
    <w:rPr>
      <w:rFonts w:asciiTheme="majorHAnsi" w:hAnsiTheme="majorHAnsi" w:cs="Segoe UI"/>
      <w:sz w:val="16"/>
      <w:szCs w:val="16"/>
    </w:rPr>
  </w:style>
  <w:style w:type="table" w:styleId="Tabellrutnt">
    <w:name w:val="Table Grid"/>
    <w:basedOn w:val="Normaltabell"/>
    <w:uiPriority w:val="39"/>
    <w:rsid w:val="00354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rsid w:val="009B7935"/>
    <w:pPr>
      <w:spacing w:before="240" w:line="280" w:lineRule="atLeast"/>
      <w:ind w:left="454" w:right="567" w:hanging="454"/>
    </w:pPr>
    <w:rPr>
      <w:rFonts w:asciiTheme="majorHAnsi" w:hAnsiTheme="majorHAnsi"/>
      <w:b/>
    </w:rPr>
  </w:style>
  <w:style w:type="paragraph" w:styleId="Innehll2">
    <w:name w:val="toc 2"/>
    <w:basedOn w:val="Normal"/>
    <w:next w:val="Normal"/>
    <w:uiPriority w:val="39"/>
    <w:rsid w:val="00EE01A0"/>
    <w:pPr>
      <w:tabs>
        <w:tab w:val="right" w:leader="dot" w:pos="7926"/>
      </w:tabs>
      <w:spacing w:line="280" w:lineRule="atLeast"/>
      <w:ind w:left="1077" w:right="567" w:hanging="624"/>
    </w:pPr>
  </w:style>
  <w:style w:type="paragraph" w:styleId="Innehll3">
    <w:name w:val="toc 3"/>
    <w:basedOn w:val="Normal"/>
    <w:next w:val="Normal"/>
    <w:uiPriority w:val="39"/>
    <w:semiHidden/>
    <w:rsid w:val="00EE01A0"/>
    <w:pPr>
      <w:tabs>
        <w:tab w:val="right" w:leader="dot" w:pos="7926"/>
      </w:tabs>
      <w:spacing w:line="280" w:lineRule="atLeast"/>
      <w:ind w:left="1814" w:right="567" w:hanging="737"/>
    </w:pPr>
  </w:style>
  <w:style w:type="paragraph" w:styleId="Innehll4">
    <w:name w:val="toc 4"/>
    <w:basedOn w:val="Normal"/>
    <w:next w:val="Normal"/>
    <w:autoRedefine/>
    <w:uiPriority w:val="39"/>
    <w:semiHidden/>
    <w:rsid w:val="00083051"/>
    <w:pPr>
      <w:spacing w:after="100"/>
      <w:ind w:left="660"/>
    </w:pPr>
    <w:rPr>
      <w:sz w:val="20"/>
    </w:rPr>
  </w:style>
  <w:style w:type="paragraph" w:styleId="Innehll5">
    <w:name w:val="toc 5"/>
    <w:basedOn w:val="Normal"/>
    <w:next w:val="Normal"/>
    <w:autoRedefine/>
    <w:uiPriority w:val="39"/>
    <w:semiHidden/>
    <w:rsid w:val="00083051"/>
    <w:pPr>
      <w:spacing w:after="100"/>
      <w:ind w:left="880"/>
    </w:pPr>
    <w:rPr>
      <w:sz w:val="20"/>
    </w:rPr>
  </w:style>
  <w:style w:type="paragraph" w:styleId="Innehll6">
    <w:name w:val="toc 6"/>
    <w:basedOn w:val="Normal"/>
    <w:next w:val="Normal"/>
    <w:autoRedefine/>
    <w:uiPriority w:val="39"/>
    <w:semiHidden/>
    <w:rsid w:val="00083051"/>
    <w:pPr>
      <w:spacing w:after="100"/>
      <w:ind w:left="1100"/>
    </w:pPr>
    <w:rPr>
      <w:sz w:val="20"/>
    </w:rPr>
  </w:style>
  <w:style w:type="paragraph" w:styleId="Innehll7">
    <w:name w:val="toc 7"/>
    <w:basedOn w:val="Normal"/>
    <w:next w:val="Normal"/>
    <w:autoRedefine/>
    <w:uiPriority w:val="39"/>
    <w:semiHidden/>
    <w:rsid w:val="00083051"/>
    <w:pPr>
      <w:spacing w:after="100"/>
      <w:ind w:left="1320"/>
    </w:pPr>
    <w:rPr>
      <w:sz w:val="20"/>
    </w:rPr>
  </w:style>
  <w:style w:type="paragraph" w:styleId="Innehll8">
    <w:name w:val="toc 8"/>
    <w:basedOn w:val="Normal"/>
    <w:next w:val="Normal"/>
    <w:autoRedefine/>
    <w:uiPriority w:val="39"/>
    <w:semiHidden/>
    <w:rsid w:val="00083051"/>
    <w:pPr>
      <w:spacing w:after="100"/>
      <w:ind w:left="1540"/>
    </w:pPr>
    <w:rPr>
      <w:sz w:val="20"/>
    </w:rPr>
  </w:style>
  <w:style w:type="paragraph" w:styleId="Innehll9">
    <w:name w:val="toc 9"/>
    <w:basedOn w:val="Normal"/>
    <w:next w:val="Normal"/>
    <w:autoRedefine/>
    <w:uiPriority w:val="39"/>
    <w:semiHidden/>
    <w:rsid w:val="00083051"/>
    <w:pPr>
      <w:spacing w:after="100"/>
      <w:ind w:left="1760"/>
    </w:pPr>
    <w:rPr>
      <w:sz w:val="20"/>
    </w:rPr>
  </w:style>
  <w:style w:type="paragraph" w:customStyle="1" w:styleId="Ledtext">
    <w:name w:val="Ledtext"/>
    <w:basedOn w:val="Normal"/>
    <w:semiHidden/>
    <w:rsid w:val="00227C95"/>
    <w:rPr>
      <w:rFonts w:asciiTheme="majorHAnsi" w:hAnsiTheme="majorHAnsi"/>
      <w:sz w:val="14"/>
    </w:rPr>
  </w:style>
  <w:style w:type="paragraph" w:customStyle="1" w:styleId="Instruktionstext">
    <w:name w:val="Instruktionstext"/>
    <w:basedOn w:val="Brdtext"/>
    <w:semiHidden/>
    <w:qFormat/>
    <w:rsid w:val="003A1D09"/>
    <w:rPr>
      <w:i/>
      <w:vanish/>
      <w:color w:val="0000FF"/>
    </w:rPr>
  </w:style>
  <w:style w:type="paragraph" w:customStyle="1" w:styleId="Hlsningsfras">
    <w:name w:val="Hälsningsfras"/>
    <w:basedOn w:val="Brdtext"/>
    <w:next w:val="Brdtext"/>
    <w:semiHidden/>
    <w:rsid w:val="00207BD7"/>
    <w:pPr>
      <w:keepLines/>
    </w:pPr>
  </w:style>
  <w:style w:type="character" w:styleId="Fotnotsreferens">
    <w:name w:val="footnote reference"/>
    <w:aliases w:val="SUPERS,-E Fußnotenzeichen,Footnote reference number,Footnote symbol,note TESI,number,BVI fnr,Footnote call,EN Footnote Reference,Source Reference,Times 10 Point,Exposant 3 Point,Ref,de nota al pie,no...,Footnote number,stylish,Footnote"/>
    <w:basedOn w:val="Standardstycketeckensnitt"/>
    <w:uiPriority w:val="99"/>
    <w:qFormat/>
    <w:rsid w:val="00456487"/>
    <w:rPr>
      <w:rFonts w:asciiTheme="minorHAnsi" w:hAnsiTheme="minorHAnsi"/>
      <w:vertAlign w:val="superscript"/>
    </w:rPr>
  </w:style>
  <w:style w:type="paragraph" w:styleId="Fotnotstext">
    <w:name w:val="footnote text"/>
    <w:aliases w:val="(Diplomarbeit),(Diplomarbeit)1,(Diplomarbeit)2,(Diplomarbeit)3,(Diplomarbeit)4,(Diplomarbeit)5,(Diplomarbeit)6,(Diplomarbeit)7,(Diplomarbeit)8,(Diplomarbeit)9,Fußnote,-E Fußnotentext,Fußnotentext Ursprun,Fußnotentext Ursprung,FotnotstextM"/>
    <w:basedOn w:val="Normal"/>
    <w:link w:val="FotnotstextChar"/>
    <w:uiPriority w:val="99"/>
    <w:qFormat/>
    <w:rsid w:val="003A1D09"/>
    <w:rPr>
      <w:spacing w:val="6"/>
      <w:sz w:val="16"/>
      <w:szCs w:val="20"/>
    </w:rPr>
  </w:style>
  <w:style w:type="character" w:customStyle="1" w:styleId="FotnotstextChar">
    <w:name w:val="Fotnotstext Char"/>
    <w:aliases w:val="(Diplomarbeit) Char,(Diplomarbeit)1 Char,(Diplomarbeit)2 Char,(Diplomarbeit)3 Char,(Diplomarbeit)4 Char,(Diplomarbeit)5 Char,(Diplomarbeit)6 Char,(Diplomarbeit)7 Char,(Diplomarbeit)8 Char,(Diplomarbeit)9 Char,Fußnote Char"/>
    <w:basedOn w:val="Standardstycketeckensnitt"/>
    <w:link w:val="Fotnotstext"/>
    <w:uiPriority w:val="99"/>
    <w:rsid w:val="003A1D09"/>
    <w:rPr>
      <w:spacing w:val="6"/>
      <w:sz w:val="16"/>
      <w:szCs w:val="20"/>
    </w:rPr>
  </w:style>
  <w:style w:type="paragraph" w:styleId="Sidfot">
    <w:name w:val="footer"/>
    <w:basedOn w:val="Normal"/>
    <w:link w:val="SidfotChar"/>
    <w:semiHidden/>
    <w:rsid w:val="00456487"/>
    <w:pPr>
      <w:tabs>
        <w:tab w:val="center" w:pos="4536"/>
        <w:tab w:val="right" w:pos="9072"/>
      </w:tabs>
    </w:pPr>
  </w:style>
  <w:style w:type="character" w:customStyle="1" w:styleId="SidfotChar">
    <w:name w:val="Sidfot Char"/>
    <w:basedOn w:val="Standardstycketeckensnitt"/>
    <w:link w:val="Sidfot"/>
    <w:semiHidden/>
    <w:rsid w:val="00327251"/>
  </w:style>
  <w:style w:type="paragraph" w:customStyle="1" w:styleId="Dokumentkategori">
    <w:name w:val="Dokumentkategori"/>
    <w:basedOn w:val="Normal"/>
    <w:semiHidden/>
    <w:rsid w:val="000702B1"/>
    <w:pPr>
      <w:spacing w:after="60"/>
    </w:pPr>
    <w:rPr>
      <w:rFonts w:asciiTheme="majorHAnsi" w:hAnsiTheme="majorHAnsi"/>
      <w:caps/>
    </w:rPr>
  </w:style>
  <w:style w:type="paragraph" w:customStyle="1" w:styleId="Sidfotstext">
    <w:name w:val="Sidfotstext"/>
    <w:basedOn w:val="Normal"/>
    <w:semiHidden/>
    <w:rsid w:val="00BF2276"/>
    <w:rPr>
      <w:rFonts w:asciiTheme="majorHAnsi" w:hAnsiTheme="majorHAnsi"/>
      <w:sz w:val="16"/>
    </w:rPr>
  </w:style>
  <w:style w:type="paragraph" w:customStyle="1" w:styleId="Sidhuvudstext">
    <w:name w:val="Sidhuvudstext"/>
    <w:basedOn w:val="Normal"/>
    <w:semiHidden/>
    <w:rsid w:val="000702B1"/>
    <w:rPr>
      <w:sz w:val="20"/>
    </w:rPr>
  </w:style>
  <w:style w:type="paragraph" w:customStyle="1" w:styleId="Mall-Id">
    <w:name w:val="Mall-Id"/>
    <w:basedOn w:val="Normal"/>
    <w:semiHidden/>
    <w:rsid w:val="00DA6975"/>
    <w:rPr>
      <w:rFonts w:asciiTheme="majorHAnsi" w:hAnsiTheme="majorHAnsi"/>
      <w:color w:val="A5A5A5"/>
      <w:sz w:val="10"/>
    </w:rPr>
  </w:style>
  <w:style w:type="paragraph" w:styleId="Citat">
    <w:name w:val="Quote"/>
    <w:basedOn w:val="Normal"/>
    <w:next w:val="Brdtext"/>
    <w:link w:val="CitatChar"/>
    <w:uiPriority w:val="29"/>
    <w:qFormat/>
    <w:rsid w:val="00117804"/>
    <w:pPr>
      <w:spacing w:after="290" w:line="290" w:lineRule="atLeast"/>
      <w:ind w:left="567"/>
    </w:pPr>
    <w:rPr>
      <w:i/>
      <w:iCs/>
      <w:spacing w:val="5"/>
      <w:lang w:val="en-US"/>
    </w:rPr>
  </w:style>
  <w:style w:type="character" w:customStyle="1" w:styleId="CitatChar">
    <w:name w:val="Citat Char"/>
    <w:basedOn w:val="Standardstycketeckensnitt"/>
    <w:link w:val="Citat"/>
    <w:uiPriority w:val="29"/>
    <w:rsid w:val="00117804"/>
    <w:rPr>
      <w:i/>
      <w:iCs/>
      <w:spacing w:val="5"/>
      <w:sz w:val="21"/>
      <w:lang w:val="en-US"/>
    </w:rPr>
  </w:style>
  <w:style w:type="paragraph" w:styleId="Sidhuvud">
    <w:name w:val="header"/>
    <w:basedOn w:val="Normal"/>
    <w:link w:val="SidhuvudChar"/>
    <w:semiHidden/>
    <w:rsid w:val="00327251"/>
    <w:pPr>
      <w:tabs>
        <w:tab w:val="center" w:pos="4536"/>
        <w:tab w:val="right" w:pos="9072"/>
      </w:tabs>
    </w:pPr>
  </w:style>
  <w:style w:type="character" w:customStyle="1" w:styleId="SidhuvudChar">
    <w:name w:val="Sidhuvud Char"/>
    <w:basedOn w:val="Standardstycketeckensnitt"/>
    <w:link w:val="Sidhuvud"/>
    <w:semiHidden/>
    <w:rsid w:val="00327251"/>
  </w:style>
  <w:style w:type="paragraph" w:styleId="Beskrivning">
    <w:name w:val="caption"/>
    <w:aliases w:val="dia. tab. fig. karta"/>
    <w:basedOn w:val="Normal"/>
    <w:next w:val="Brdtext"/>
    <w:link w:val="BeskrivningChar"/>
    <w:uiPriority w:val="35"/>
    <w:qFormat/>
    <w:rsid w:val="00BF2276"/>
    <w:pPr>
      <w:spacing w:before="120" w:after="120"/>
    </w:pPr>
    <w:rPr>
      <w:b/>
      <w:iCs/>
      <w:sz w:val="20"/>
      <w:szCs w:val="18"/>
    </w:rPr>
  </w:style>
  <w:style w:type="character" w:styleId="Hyperlnk">
    <w:name w:val="Hyperlink"/>
    <w:basedOn w:val="Standardstycketeckensnitt"/>
    <w:uiPriority w:val="99"/>
    <w:rsid w:val="001D2803"/>
    <w:rPr>
      <w:color w:val="8691B9" w:themeColor="hyperlink"/>
      <w:u w:val="single"/>
    </w:rPr>
  </w:style>
  <w:style w:type="paragraph" w:styleId="Figurfrteckning">
    <w:name w:val="table of figures"/>
    <w:basedOn w:val="Normal"/>
    <w:next w:val="Normal"/>
    <w:uiPriority w:val="99"/>
    <w:semiHidden/>
    <w:rsid w:val="00A131B3"/>
    <w:pPr>
      <w:spacing w:before="240" w:line="280" w:lineRule="atLeast"/>
      <w:ind w:left="465" w:right="567" w:hanging="465"/>
    </w:pPr>
    <w:rPr>
      <w:rFonts w:asciiTheme="majorHAnsi" w:hAnsiTheme="majorHAnsi"/>
    </w:rPr>
  </w:style>
  <w:style w:type="paragraph" w:customStyle="1" w:styleId="Klla">
    <w:name w:val="Källa"/>
    <w:basedOn w:val="Brdtext"/>
    <w:next w:val="Brdtext"/>
    <w:qFormat/>
    <w:rsid w:val="00A56800"/>
    <w:pPr>
      <w:spacing w:before="40" w:after="240" w:line="240" w:lineRule="auto"/>
    </w:pPr>
    <w:rPr>
      <w:noProof/>
      <w:spacing w:val="6"/>
      <w:sz w:val="16"/>
    </w:rPr>
  </w:style>
  <w:style w:type="paragraph" w:customStyle="1" w:styleId="Referenser">
    <w:name w:val="Referenser"/>
    <w:basedOn w:val="Brdtext"/>
    <w:semiHidden/>
    <w:rsid w:val="003A1D09"/>
    <w:pPr>
      <w:ind w:left="357" w:hanging="357"/>
    </w:pPr>
  </w:style>
  <w:style w:type="character" w:styleId="Sidnummer">
    <w:name w:val="page number"/>
    <w:basedOn w:val="Standardstycketeckensnitt"/>
    <w:semiHidden/>
    <w:unhideWhenUsed/>
    <w:rsid w:val="000702B1"/>
    <w:rPr>
      <w:rFonts w:asciiTheme="minorHAnsi" w:hAnsiTheme="minorHAnsi"/>
      <w:sz w:val="24"/>
    </w:rPr>
  </w:style>
  <w:style w:type="table" w:customStyle="1" w:styleId="TabellrutntEnergimyndigheten">
    <w:name w:val="Tabell_rutnät_Energimyndigheten"/>
    <w:basedOn w:val="Normaltabell"/>
    <w:rsid w:val="003A6B54"/>
    <w:pPr>
      <w:spacing w:before="80" w:after="60" w:line="240" w:lineRule="auto"/>
    </w:pPr>
    <w:rPr>
      <w:rFonts w:asciiTheme="majorHAnsi" w:eastAsia="Times New Roman" w:hAnsiTheme="majorHAnsi" w:cs="Times New Roman"/>
      <w:sz w:val="16"/>
      <w:szCs w:val="20"/>
      <w:lang w:eastAsia="sv-S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cantSplit/>
    </w:trPr>
    <w:tblStylePr w:type="firstRow">
      <w:pPr>
        <w:jc w:val="lef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lef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val="0"/>
      </w:rPr>
      <w:tblPr/>
      <w:tcPr>
        <w:tcBorders>
          <w:right w:val="nil"/>
        </w:tcBorders>
      </w:tcPr>
    </w:tblStylePr>
    <w:tblStylePr w:type="lastCol">
      <w:pPr>
        <w:jc w:val="left"/>
      </w:pPr>
    </w:tblStylePr>
    <w:tblStylePr w:type="band1Vert">
      <w:pPr>
        <w:jc w:val="left"/>
      </w:pPr>
    </w:tblStylePr>
    <w:tblStylePr w:type="band1Horz">
      <w:pPr>
        <w:jc w:val="left"/>
      </w:pPr>
    </w:tblStylePr>
    <w:tblStylePr w:type="band2Horz">
      <w:pPr>
        <w:jc w:val="lef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F3586E"/>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547693"/>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character" w:styleId="Platshllartext">
    <w:name w:val="Placeholder Text"/>
    <w:basedOn w:val="Standardstycketeckensnitt"/>
    <w:uiPriority w:val="99"/>
    <w:semiHidden/>
    <w:rsid w:val="00E95794"/>
    <w:rPr>
      <w:color w:val="FF0000"/>
    </w:rPr>
  </w:style>
  <w:style w:type="paragraph" w:customStyle="1" w:styleId="Undertitel">
    <w:name w:val="Undertitel"/>
    <w:basedOn w:val="Titel"/>
    <w:semiHidden/>
    <w:qFormat/>
    <w:rsid w:val="003D29E7"/>
    <w:pPr>
      <w:spacing w:before="0" w:after="600"/>
    </w:pPr>
    <w:rPr>
      <w:sz w:val="22"/>
    </w:rPr>
  </w:style>
  <w:style w:type="paragraph" w:customStyle="1" w:styleId="Titel">
    <w:name w:val="Titel"/>
    <w:basedOn w:val="Brdtext"/>
    <w:link w:val="TitelChar"/>
    <w:semiHidden/>
    <w:qFormat/>
    <w:rsid w:val="003D29E7"/>
    <w:pPr>
      <w:spacing w:before="4000" w:after="120"/>
      <w:ind w:left="1134"/>
    </w:pPr>
    <w:rPr>
      <w:rFonts w:asciiTheme="majorHAnsi" w:hAnsiTheme="majorHAnsi"/>
      <w:sz w:val="48"/>
    </w:rPr>
  </w:style>
  <w:style w:type="character" w:customStyle="1" w:styleId="TitelChar">
    <w:name w:val="Titel Char"/>
    <w:basedOn w:val="BrdtextChar"/>
    <w:link w:val="Titel"/>
    <w:semiHidden/>
    <w:rsid w:val="003D29E7"/>
    <w:rPr>
      <w:rFonts w:asciiTheme="majorHAnsi" w:hAnsiTheme="majorHAnsi"/>
      <w:spacing w:val="5"/>
      <w:sz w:val="48"/>
      <w:lang w:val="en-US"/>
    </w:rPr>
  </w:style>
  <w:style w:type="paragraph" w:customStyle="1" w:styleId="Tryckinfo">
    <w:name w:val="Tryckinfo"/>
    <w:basedOn w:val="Undertitel"/>
    <w:semiHidden/>
    <w:qFormat/>
    <w:rsid w:val="00202CD1"/>
    <w:pPr>
      <w:spacing w:after="160" w:line="240" w:lineRule="atLeast"/>
      <w:ind w:left="0"/>
    </w:pPr>
    <w:rPr>
      <w:rFonts w:asciiTheme="minorHAnsi" w:hAnsiTheme="minorHAnsi" w:cstheme="minorHAnsi"/>
      <w:color w:val="389066"/>
      <w:sz w:val="18"/>
    </w:rPr>
  </w:style>
  <w:style w:type="paragraph" w:customStyle="1" w:styleId="Orubrik">
    <w:name w:val="Orubrik"/>
    <w:basedOn w:val="Rubrik1"/>
    <w:next w:val="Brdtext"/>
    <w:semiHidden/>
    <w:qFormat/>
    <w:rsid w:val="00117804"/>
    <w:pPr>
      <w:numPr>
        <w:numId w:val="0"/>
      </w:numPr>
      <w:outlineLvl w:val="9"/>
    </w:pPr>
  </w:style>
  <w:style w:type="paragraph" w:customStyle="1" w:styleId="tryckort">
    <w:name w:val="tryckort"/>
    <w:basedOn w:val="Normal"/>
    <w:semiHidden/>
    <w:rsid w:val="009B7935"/>
    <w:pPr>
      <w:spacing w:after="200" w:line="240" w:lineRule="atLeast"/>
      <w:ind w:right="3686"/>
    </w:pPr>
    <w:rPr>
      <w:rFonts w:ascii="Times New Roman" w:eastAsia="Times New Roman" w:hAnsi="Times New Roman" w:cs="Times New Roman"/>
      <w:noProof/>
      <w:sz w:val="20"/>
      <w:szCs w:val="24"/>
      <w:lang w:eastAsia="sv-SE"/>
    </w:rPr>
  </w:style>
  <w:style w:type="paragraph" w:customStyle="1" w:styleId="Ifyllnadstext">
    <w:name w:val="Ifyllnadstext"/>
    <w:basedOn w:val="Brdtext"/>
    <w:semiHidden/>
    <w:qFormat/>
    <w:rsid w:val="003A1D09"/>
    <w:pPr>
      <w:spacing w:after="40"/>
    </w:pPr>
  </w:style>
  <w:style w:type="paragraph" w:customStyle="1" w:styleId="Bilagerubrik1">
    <w:name w:val="Bilagerubrik 1"/>
    <w:basedOn w:val="Rubrik1"/>
    <w:next w:val="Brdtext"/>
    <w:uiPriority w:val="99"/>
    <w:qFormat/>
    <w:rsid w:val="000A32E7"/>
    <w:pPr>
      <w:keepLines w:val="0"/>
      <w:numPr>
        <w:numId w:val="0"/>
      </w:numPr>
    </w:pPr>
    <w:rPr>
      <w:rFonts w:eastAsia="Times New Roman" w:cs="Arial"/>
      <w:bCs/>
      <w:lang w:eastAsia="sv-SE"/>
    </w:rPr>
  </w:style>
  <w:style w:type="paragraph" w:customStyle="1" w:styleId="Bilagerubrik2">
    <w:name w:val="Bilagerubrik 2"/>
    <w:basedOn w:val="Rubrik2"/>
    <w:uiPriority w:val="99"/>
    <w:qFormat/>
    <w:rsid w:val="003A1D09"/>
    <w:pPr>
      <w:keepLines w:val="0"/>
      <w:numPr>
        <w:ilvl w:val="0"/>
        <w:numId w:val="0"/>
      </w:numPr>
    </w:pPr>
    <w:rPr>
      <w:rFonts w:eastAsia="Times New Roman" w:cs="Arial"/>
      <w:bCs/>
      <w:iCs/>
      <w:noProof/>
      <w:szCs w:val="28"/>
      <w:lang w:eastAsia="sv-SE"/>
    </w:rPr>
  </w:style>
  <w:style w:type="paragraph" w:customStyle="1" w:styleId="Bilagerubrik3">
    <w:name w:val="Bilagerubrik 3"/>
    <w:basedOn w:val="Rubrik3"/>
    <w:next w:val="Brdtext"/>
    <w:uiPriority w:val="99"/>
    <w:qFormat/>
    <w:rsid w:val="003A1D09"/>
    <w:pPr>
      <w:keepLines w:val="0"/>
      <w:numPr>
        <w:ilvl w:val="0"/>
        <w:numId w:val="0"/>
      </w:numPr>
    </w:pPr>
    <w:rPr>
      <w:rFonts w:eastAsia="Times New Roman" w:cs="Arial"/>
      <w:bCs/>
      <w:noProof/>
      <w:szCs w:val="26"/>
      <w:lang w:eastAsia="sv-SE"/>
    </w:rPr>
  </w:style>
  <w:style w:type="paragraph" w:customStyle="1" w:styleId="Bilagerubrik4">
    <w:name w:val="Bilagerubrik 4"/>
    <w:basedOn w:val="Rubrik4"/>
    <w:next w:val="Brdtext"/>
    <w:uiPriority w:val="99"/>
    <w:qFormat/>
    <w:rsid w:val="003A1D09"/>
    <w:pPr>
      <w:keepLines w:val="0"/>
      <w:numPr>
        <w:numId w:val="6"/>
      </w:numPr>
    </w:pPr>
    <w:rPr>
      <w:rFonts w:eastAsia="Times New Roman" w:cs="Times New Roman"/>
      <w:bCs/>
      <w:i/>
      <w:iCs w:val="0"/>
      <w:noProof/>
      <w:spacing w:val="-8"/>
      <w:szCs w:val="28"/>
      <w:lang w:val="en-US" w:eastAsia="sv-SE"/>
    </w:rPr>
  </w:style>
  <w:style w:type="paragraph" w:customStyle="1" w:styleId="Ingress">
    <w:name w:val="Ingress"/>
    <w:basedOn w:val="Brdtext"/>
    <w:qFormat/>
    <w:rsid w:val="00F93BAE"/>
    <w:rPr>
      <w:rFonts w:asciiTheme="majorHAnsi" w:hAnsiTheme="majorHAnsi"/>
      <w:spacing w:val="-2"/>
    </w:rPr>
  </w:style>
  <w:style w:type="numbering" w:customStyle="1" w:styleId="NEKP">
    <w:name w:val="NEKP"/>
    <w:uiPriority w:val="99"/>
    <w:rsid w:val="0009322E"/>
    <w:pPr>
      <w:numPr>
        <w:numId w:val="3"/>
      </w:numPr>
    </w:pPr>
  </w:style>
  <w:style w:type="paragraph" w:customStyle="1" w:styleId="i-lista">
    <w:name w:val="i-lista"/>
    <w:basedOn w:val="Rubrik3"/>
    <w:link w:val="i-listaChar"/>
    <w:qFormat/>
    <w:rsid w:val="00FE1E0C"/>
    <w:pPr>
      <w:numPr>
        <w:numId w:val="4"/>
      </w:numPr>
    </w:pPr>
    <w:rPr>
      <w:rFonts w:ascii="Times New Roman" w:hAnsi="Times New Roman"/>
      <w:b w:val="0"/>
      <w:i w:val="0"/>
      <w:sz w:val="22"/>
    </w:rPr>
  </w:style>
  <w:style w:type="paragraph" w:styleId="Liststycke">
    <w:name w:val="List Paragraph"/>
    <w:basedOn w:val="Normal"/>
    <w:uiPriority w:val="34"/>
    <w:qFormat/>
    <w:rsid w:val="00FE1E0C"/>
    <w:pPr>
      <w:ind w:left="720"/>
      <w:contextualSpacing/>
    </w:pPr>
  </w:style>
  <w:style w:type="character" w:customStyle="1" w:styleId="i-listaChar">
    <w:name w:val="i-lista Char"/>
    <w:basedOn w:val="Rubrik3Char"/>
    <w:link w:val="i-lista"/>
    <w:rsid w:val="00FE1E0C"/>
    <w:rPr>
      <w:rFonts w:ascii="Times New Roman" w:eastAsiaTheme="majorEastAsia" w:hAnsi="Times New Roman" w:cstheme="majorBidi"/>
      <w:b w:val="0"/>
      <w:i w:val="0"/>
      <w:spacing w:val="-2"/>
      <w:sz w:val="21"/>
      <w:szCs w:val="24"/>
      <w:lang w:val="en-US"/>
    </w:rPr>
  </w:style>
  <w:style w:type="character" w:styleId="Kommentarsreferens">
    <w:name w:val="annotation reference"/>
    <w:basedOn w:val="Standardstycketeckensnitt"/>
    <w:uiPriority w:val="99"/>
    <w:unhideWhenUsed/>
    <w:rsid w:val="00B17E12"/>
    <w:rPr>
      <w:rFonts w:cs="Times New Roman"/>
      <w:sz w:val="16"/>
      <w:szCs w:val="16"/>
    </w:rPr>
  </w:style>
  <w:style w:type="paragraph" w:styleId="Kommentarer">
    <w:name w:val="annotation text"/>
    <w:basedOn w:val="Normal"/>
    <w:link w:val="KommentarerChar"/>
    <w:uiPriority w:val="99"/>
    <w:unhideWhenUsed/>
    <w:rsid w:val="00B17E12"/>
    <w:pPr>
      <w:spacing w:before="120" w:after="120"/>
      <w:jc w:val="both"/>
    </w:pPr>
    <w:rPr>
      <w:rFonts w:ascii="Times New Roman" w:eastAsia="Times New Roman" w:hAnsi="Times New Roman" w:cs="Times New Roman"/>
      <w:sz w:val="20"/>
      <w:szCs w:val="20"/>
      <w:lang w:eastAsia="sv-SE"/>
    </w:rPr>
  </w:style>
  <w:style w:type="character" w:customStyle="1" w:styleId="KommentarerChar">
    <w:name w:val="Kommentarer Char"/>
    <w:basedOn w:val="Standardstycketeckensnitt"/>
    <w:link w:val="Kommentarer"/>
    <w:uiPriority w:val="99"/>
    <w:rsid w:val="00B17E12"/>
    <w:rPr>
      <w:rFonts w:ascii="Times New Roman" w:eastAsia="Times New Roman" w:hAnsi="Times New Roman" w:cs="Times New Roman"/>
      <w:sz w:val="20"/>
      <w:szCs w:val="20"/>
      <w:lang w:eastAsia="sv-SE"/>
    </w:rPr>
  </w:style>
  <w:style w:type="character" w:customStyle="1" w:styleId="shorttext">
    <w:name w:val="short_text"/>
    <w:basedOn w:val="Standardstycketeckensnitt"/>
    <w:rsid w:val="00A42886"/>
  </w:style>
  <w:style w:type="paragraph" w:styleId="Kommentarsmne">
    <w:name w:val="annotation subject"/>
    <w:basedOn w:val="Kommentarer"/>
    <w:next w:val="Kommentarer"/>
    <w:link w:val="KommentarsmneChar"/>
    <w:uiPriority w:val="99"/>
    <w:semiHidden/>
    <w:unhideWhenUsed/>
    <w:rsid w:val="00075E8C"/>
    <w:pPr>
      <w:spacing w:before="0" w:after="0"/>
      <w:jc w:val="left"/>
    </w:pPr>
    <w:rPr>
      <w:rFonts w:asciiTheme="minorHAnsi" w:eastAsiaTheme="minorHAnsi" w:hAnsiTheme="minorHAnsi" w:cstheme="minorBidi"/>
      <w:b/>
      <w:bCs/>
      <w:lang w:eastAsia="en-US"/>
    </w:rPr>
  </w:style>
  <w:style w:type="character" w:customStyle="1" w:styleId="KommentarsmneChar">
    <w:name w:val="Kommentarsämne Char"/>
    <w:basedOn w:val="KommentarerChar"/>
    <w:link w:val="Kommentarsmne"/>
    <w:uiPriority w:val="99"/>
    <w:semiHidden/>
    <w:rsid w:val="00075E8C"/>
    <w:rPr>
      <w:rFonts w:ascii="Times New Roman" w:eastAsia="Times New Roman" w:hAnsi="Times New Roman" w:cs="Times New Roman"/>
      <w:b/>
      <w:bCs/>
      <w:sz w:val="20"/>
      <w:szCs w:val="20"/>
      <w:lang w:eastAsia="sv-SE"/>
    </w:rPr>
  </w:style>
  <w:style w:type="character" w:customStyle="1" w:styleId="BeskrivningChar">
    <w:name w:val="Beskrivning Char"/>
    <w:aliases w:val="dia. tab. fig. karta Char"/>
    <w:basedOn w:val="Standardstycketeckensnitt"/>
    <w:link w:val="Beskrivning"/>
    <w:locked/>
    <w:rsid w:val="00001A80"/>
    <w:rPr>
      <w:b/>
      <w:iCs/>
      <w:sz w:val="20"/>
      <w:szCs w:val="18"/>
    </w:rPr>
  </w:style>
  <w:style w:type="paragraph" w:customStyle="1" w:styleId="Rubrik1Nr">
    <w:name w:val="Rubrik 1 Nr"/>
    <w:basedOn w:val="Rubrik1"/>
    <w:next w:val="Normal"/>
    <w:qFormat/>
    <w:rsid w:val="00001A80"/>
    <w:pPr>
      <w:keepLines w:val="0"/>
      <w:numPr>
        <w:numId w:val="0"/>
      </w:numPr>
      <w:tabs>
        <w:tab w:val="num" w:pos="360"/>
      </w:tabs>
      <w:spacing w:before="0" w:after="240" w:line="480" w:lineRule="exact"/>
    </w:pPr>
    <w:rPr>
      <w:rFonts w:ascii="Arial" w:hAnsi="Arial" w:cs="Times New Roman"/>
      <w:bCs/>
      <w:noProof/>
      <w:color w:val="auto"/>
      <w:spacing w:val="0"/>
      <w:kern w:val="28"/>
      <w:sz w:val="48"/>
      <w:szCs w:val="24"/>
      <w:lang w:val="sv-SE"/>
    </w:rPr>
  </w:style>
  <w:style w:type="paragraph" w:customStyle="1" w:styleId="Rubrik2Nr">
    <w:name w:val="Rubrik 2 Nr"/>
    <w:basedOn w:val="Rubrik2"/>
    <w:next w:val="Normal"/>
    <w:qFormat/>
    <w:rsid w:val="00001A80"/>
    <w:pPr>
      <w:keepLines w:val="0"/>
      <w:numPr>
        <w:ilvl w:val="0"/>
        <w:numId w:val="0"/>
      </w:numPr>
      <w:tabs>
        <w:tab w:val="num" w:pos="360"/>
      </w:tabs>
      <w:spacing w:before="0" w:after="80" w:line="360" w:lineRule="exact"/>
    </w:pPr>
    <w:rPr>
      <w:rFonts w:ascii="Arial" w:hAnsi="Arial" w:cs="Times New Roman"/>
      <w:b w:val="0"/>
      <w:spacing w:val="0"/>
      <w:sz w:val="36"/>
      <w:lang w:val="sv-SE"/>
    </w:rPr>
  </w:style>
  <w:style w:type="character" w:customStyle="1" w:styleId="Rubrik3NrChar">
    <w:name w:val="Rubrik 3 Nr Char"/>
    <w:basedOn w:val="Standardstycketeckensnitt"/>
    <w:link w:val="Rubrik3Nr"/>
    <w:locked/>
    <w:rsid w:val="00001A80"/>
    <w:rPr>
      <w:rFonts w:ascii="Arial" w:eastAsiaTheme="majorEastAsia" w:hAnsi="Arial" w:cs="Times New Roman"/>
      <w:b/>
      <w:color w:val="001B4A" w:themeColor="accent1" w:themeShade="7F"/>
      <w:sz w:val="24"/>
      <w:szCs w:val="28"/>
    </w:rPr>
  </w:style>
  <w:style w:type="paragraph" w:customStyle="1" w:styleId="Rubrik3Nr">
    <w:name w:val="Rubrik 3 Nr"/>
    <w:basedOn w:val="Rubrik3"/>
    <w:next w:val="Normal"/>
    <w:link w:val="Rubrik3NrChar"/>
    <w:qFormat/>
    <w:rsid w:val="00001A80"/>
    <w:pPr>
      <w:keepLines w:val="0"/>
      <w:numPr>
        <w:ilvl w:val="0"/>
        <w:numId w:val="0"/>
      </w:numPr>
      <w:tabs>
        <w:tab w:val="num" w:pos="794"/>
      </w:tabs>
      <w:spacing w:before="0" w:after="40"/>
      <w:ind w:left="794" w:hanging="794"/>
    </w:pPr>
    <w:rPr>
      <w:rFonts w:ascii="Arial" w:hAnsi="Arial" w:cs="Times New Roman"/>
      <w:i w:val="0"/>
      <w:color w:val="001B4A" w:themeColor="accent1" w:themeShade="7F"/>
      <w:spacing w:val="0"/>
      <w:sz w:val="24"/>
      <w:szCs w:val="28"/>
      <w:lang w:val="sv-SE"/>
    </w:rPr>
  </w:style>
  <w:style w:type="table" w:customStyle="1" w:styleId="Tabellrutnt1">
    <w:name w:val="Tabellrutnät1"/>
    <w:basedOn w:val="Normaltabell"/>
    <w:rsid w:val="001E5DA9"/>
    <w:pPr>
      <w:spacing w:after="0"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007D"/>
    <w:pPr>
      <w:autoSpaceDE w:val="0"/>
      <w:autoSpaceDN w:val="0"/>
      <w:adjustRightInd w:val="0"/>
      <w:spacing w:after="0" w:line="240" w:lineRule="auto"/>
    </w:pPr>
    <w:rPr>
      <w:rFonts w:ascii="Arial" w:hAnsi="Arial" w:cs="Arial"/>
      <w:color w:val="000000"/>
      <w:sz w:val="24"/>
      <w:szCs w:val="24"/>
    </w:rPr>
  </w:style>
  <w:style w:type="paragraph" w:customStyle="1" w:styleId="Numrubrik1">
    <w:name w:val="Num rubrik 1"/>
    <w:basedOn w:val="Rubrik1"/>
    <w:next w:val="Normal"/>
    <w:qFormat/>
    <w:rsid w:val="001D08F4"/>
    <w:pPr>
      <w:keepLines w:val="0"/>
      <w:numPr>
        <w:numId w:val="45"/>
      </w:numPr>
      <w:tabs>
        <w:tab w:val="clear" w:pos="1021"/>
        <w:tab w:val="num" w:pos="360"/>
      </w:tabs>
      <w:spacing w:before="0" w:after="240" w:line="480" w:lineRule="exact"/>
      <w:ind w:left="0" w:firstLine="0"/>
    </w:pPr>
    <w:rPr>
      <w:rFonts w:ascii="Arial" w:eastAsia="Times New Roman" w:hAnsi="Arial" w:cs="Times New Roman"/>
      <w:color w:val="auto"/>
      <w:spacing w:val="0"/>
      <w:kern w:val="28"/>
      <w:sz w:val="48"/>
      <w:szCs w:val="20"/>
      <w:lang w:val="en-GB"/>
    </w:rPr>
  </w:style>
  <w:style w:type="paragraph" w:customStyle="1" w:styleId="NumRubrik2">
    <w:name w:val="Num Rubrik 2"/>
    <w:basedOn w:val="Rubrik2"/>
    <w:next w:val="Normal"/>
    <w:qFormat/>
    <w:rsid w:val="001D08F4"/>
    <w:pPr>
      <w:keepLines w:val="0"/>
      <w:numPr>
        <w:numId w:val="45"/>
      </w:numPr>
      <w:tabs>
        <w:tab w:val="clear" w:pos="1021"/>
        <w:tab w:val="num" w:pos="360"/>
      </w:tabs>
      <w:spacing w:before="0" w:after="80" w:line="360" w:lineRule="exact"/>
      <w:ind w:left="0" w:firstLine="0"/>
    </w:pPr>
    <w:rPr>
      <w:rFonts w:ascii="Arial" w:eastAsia="Times New Roman" w:hAnsi="Arial" w:cs="Times New Roman"/>
      <w:b w:val="0"/>
      <w:spacing w:val="0"/>
      <w:sz w:val="36"/>
      <w:szCs w:val="20"/>
      <w:lang w:val="sv-SE"/>
    </w:rPr>
  </w:style>
  <w:style w:type="paragraph" w:customStyle="1" w:styleId="NumRubrik3">
    <w:name w:val="Num Rubrik 3"/>
    <w:basedOn w:val="Rubrik3"/>
    <w:next w:val="Normal"/>
    <w:qFormat/>
    <w:rsid w:val="001D08F4"/>
    <w:pPr>
      <w:keepLines w:val="0"/>
      <w:numPr>
        <w:numId w:val="45"/>
      </w:numPr>
      <w:tabs>
        <w:tab w:val="clear" w:pos="1021"/>
        <w:tab w:val="num" w:pos="360"/>
      </w:tabs>
      <w:spacing w:before="0" w:after="40"/>
      <w:ind w:left="0" w:firstLine="0"/>
    </w:pPr>
    <w:rPr>
      <w:rFonts w:ascii="Arial" w:eastAsia="Times New Roman" w:hAnsi="Arial" w:cs="Times New Roman"/>
      <w:i w:val="0"/>
      <w:spacing w:val="0"/>
      <w:sz w:val="22"/>
      <w:szCs w:val="20"/>
      <w:lang w:val="sv-SE"/>
    </w:rPr>
  </w:style>
  <w:style w:type="paragraph" w:customStyle="1" w:styleId="NumRubrik4">
    <w:name w:val="Num Rubrik 4"/>
    <w:basedOn w:val="Rubrik4"/>
    <w:next w:val="Normal"/>
    <w:qFormat/>
    <w:rsid w:val="001D08F4"/>
    <w:pPr>
      <w:keepLines w:val="0"/>
      <w:numPr>
        <w:numId w:val="45"/>
      </w:numPr>
      <w:tabs>
        <w:tab w:val="clear" w:pos="1021"/>
        <w:tab w:val="num" w:pos="360"/>
      </w:tabs>
      <w:spacing w:before="0" w:after="40"/>
      <w:ind w:left="0" w:firstLine="0"/>
    </w:pPr>
    <w:rPr>
      <w:rFonts w:ascii="Times New Roman" w:eastAsia="Times New Roman" w:hAnsi="Times New Roman" w:cs="Times New Roman"/>
      <w:iCs w:val="0"/>
      <w:caps/>
      <w:sz w:val="20"/>
      <w:szCs w:val="20"/>
    </w:rPr>
  </w:style>
  <w:style w:type="paragraph" w:customStyle="1" w:styleId="NumRubrik5">
    <w:name w:val="Num Rubrik 5"/>
    <w:basedOn w:val="Rubrik5"/>
    <w:next w:val="Normal"/>
    <w:qFormat/>
    <w:rsid w:val="001D08F4"/>
    <w:pPr>
      <w:keepLines w:val="0"/>
      <w:numPr>
        <w:numId w:val="45"/>
      </w:numPr>
      <w:tabs>
        <w:tab w:val="clear" w:pos="1531"/>
        <w:tab w:val="num" w:pos="360"/>
      </w:tabs>
      <w:spacing w:before="0" w:after="40"/>
      <w:ind w:left="0" w:firstLine="0"/>
    </w:pPr>
    <w:rPr>
      <w:rFonts w:ascii="Times New Roman" w:eastAsia="Times New Roman" w:hAnsi="Times New Roman" w:cs="Times New Roman"/>
      <w:spacing w:val="0"/>
      <w:sz w:val="24"/>
      <w:szCs w:val="20"/>
      <w:lang w:val="sv-SE"/>
    </w:rPr>
  </w:style>
  <w:style w:type="table" w:styleId="Enkeltabell1">
    <w:name w:val="Table Simple 1"/>
    <w:basedOn w:val="Normaltabell"/>
    <w:rsid w:val="00D907FA"/>
    <w:pPr>
      <w:spacing w:after="0" w:line="240" w:lineRule="auto"/>
    </w:pPr>
    <w:rPr>
      <w:rFonts w:ascii="Times New Roman" w:eastAsia="Times New Roman" w:hAnsi="Times New Roman" w:cs="Times New Roman"/>
      <w:sz w:val="20"/>
      <w:szCs w:val="20"/>
      <w:lang w:eastAsia="sv-S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Olstomnmnande1">
    <w:name w:val="Olöst omnämnande1"/>
    <w:basedOn w:val="Standardstycketeckensnitt"/>
    <w:uiPriority w:val="99"/>
    <w:semiHidden/>
    <w:unhideWhenUsed/>
    <w:rsid w:val="00A17181"/>
    <w:rPr>
      <w:color w:val="808080"/>
      <w:shd w:val="clear" w:color="auto" w:fill="E6E6E6"/>
    </w:rPr>
  </w:style>
  <w:style w:type="paragraph" w:styleId="Revision">
    <w:name w:val="Revision"/>
    <w:hidden/>
    <w:uiPriority w:val="99"/>
    <w:semiHidden/>
    <w:rsid w:val="00A17181"/>
    <w:pPr>
      <w:spacing w:after="0" w:line="240" w:lineRule="auto"/>
    </w:pPr>
    <w:rPr>
      <w:sz w:val="21"/>
    </w:rPr>
  </w:style>
  <w:style w:type="character" w:styleId="AnvndHyperlnk">
    <w:name w:val="FollowedHyperlink"/>
    <w:basedOn w:val="Standardstycketeckensnitt"/>
    <w:uiPriority w:val="99"/>
    <w:semiHidden/>
    <w:unhideWhenUsed/>
    <w:rsid w:val="001A6E0D"/>
    <w:rPr>
      <w:color w:val="AEB6D1" w:themeColor="followedHyperlink"/>
      <w:u w:val="single"/>
    </w:rPr>
  </w:style>
  <w:style w:type="paragraph" w:styleId="Normalwebb">
    <w:name w:val="Normal (Web)"/>
    <w:basedOn w:val="Normal"/>
    <w:uiPriority w:val="99"/>
    <w:semiHidden/>
    <w:unhideWhenUsed/>
    <w:rsid w:val="00963231"/>
    <w:pPr>
      <w:spacing w:before="100" w:beforeAutospacing="1" w:after="100" w:afterAutospacing="1"/>
    </w:pPr>
    <w:rPr>
      <w:rFonts w:ascii="Times New Roman" w:eastAsia="Times New Roman" w:hAnsi="Times New Roman" w:cs="Times New Roman"/>
      <w:sz w:val="24"/>
      <w:szCs w:val="24"/>
      <w:lang w:eastAsia="sv-SE"/>
    </w:rPr>
  </w:style>
  <w:style w:type="character" w:styleId="Olstomnmnande">
    <w:name w:val="Unresolved Mention"/>
    <w:basedOn w:val="Standardstycketeckensnitt"/>
    <w:uiPriority w:val="99"/>
    <w:semiHidden/>
    <w:unhideWhenUsed/>
    <w:rsid w:val="00437F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6696">
      <w:bodyDiv w:val="1"/>
      <w:marLeft w:val="0"/>
      <w:marRight w:val="0"/>
      <w:marTop w:val="0"/>
      <w:marBottom w:val="0"/>
      <w:divBdr>
        <w:top w:val="none" w:sz="0" w:space="0" w:color="auto"/>
        <w:left w:val="none" w:sz="0" w:space="0" w:color="auto"/>
        <w:bottom w:val="none" w:sz="0" w:space="0" w:color="auto"/>
        <w:right w:val="none" w:sz="0" w:space="0" w:color="auto"/>
      </w:divBdr>
    </w:div>
    <w:div w:id="125465591">
      <w:bodyDiv w:val="1"/>
      <w:marLeft w:val="0"/>
      <w:marRight w:val="0"/>
      <w:marTop w:val="0"/>
      <w:marBottom w:val="0"/>
      <w:divBdr>
        <w:top w:val="none" w:sz="0" w:space="0" w:color="auto"/>
        <w:left w:val="none" w:sz="0" w:space="0" w:color="auto"/>
        <w:bottom w:val="none" w:sz="0" w:space="0" w:color="auto"/>
        <w:right w:val="none" w:sz="0" w:space="0" w:color="auto"/>
      </w:divBdr>
    </w:div>
    <w:div w:id="287594418">
      <w:bodyDiv w:val="1"/>
      <w:marLeft w:val="0"/>
      <w:marRight w:val="0"/>
      <w:marTop w:val="0"/>
      <w:marBottom w:val="0"/>
      <w:divBdr>
        <w:top w:val="none" w:sz="0" w:space="0" w:color="auto"/>
        <w:left w:val="none" w:sz="0" w:space="0" w:color="auto"/>
        <w:bottom w:val="none" w:sz="0" w:space="0" w:color="auto"/>
        <w:right w:val="none" w:sz="0" w:space="0" w:color="auto"/>
      </w:divBdr>
    </w:div>
    <w:div w:id="289216223">
      <w:bodyDiv w:val="1"/>
      <w:marLeft w:val="0"/>
      <w:marRight w:val="0"/>
      <w:marTop w:val="0"/>
      <w:marBottom w:val="0"/>
      <w:divBdr>
        <w:top w:val="none" w:sz="0" w:space="0" w:color="auto"/>
        <w:left w:val="none" w:sz="0" w:space="0" w:color="auto"/>
        <w:bottom w:val="none" w:sz="0" w:space="0" w:color="auto"/>
        <w:right w:val="none" w:sz="0" w:space="0" w:color="auto"/>
      </w:divBdr>
      <w:divsChild>
        <w:div w:id="94055254">
          <w:marLeft w:val="0"/>
          <w:marRight w:val="0"/>
          <w:marTop w:val="0"/>
          <w:marBottom w:val="0"/>
          <w:divBdr>
            <w:top w:val="none" w:sz="0" w:space="0" w:color="auto"/>
            <w:left w:val="none" w:sz="0" w:space="0" w:color="auto"/>
            <w:bottom w:val="none" w:sz="0" w:space="0" w:color="auto"/>
            <w:right w:val="none" w:sz="0" w:space="0" w:color="auto"/>
          </w:divBdr>
          <w:divsChild>
            <w:div w:id="1717047214">
              <w:marLeft w:val="0"/>
              <w:marRight w:val="0"/>
              <w:marTop w:val="0"/>
              <w:marBottom w:val="0"/>
              <w:divBdr>
                <w:top w:val="none" w:sz="0" w:space="0" w:color="auto"/>
                <w:left w:val="none" w:sz="0" w:space="0" w:color="auto"/>
                <w:bottom w:val="none" w:sz="0" w:space="0" w:color="auto"/>
                <w:right w:val="none" w:sz="0" w:space="0" w:color="auto"/>
              </w:divBdr>
              <w:divsChild>
                <w:div w:id="359087835">
                  <w:marLeft w:val="0"/>
                  <w:marRight w:val="0"/>
                  <w:marTop w:val="0"/>
                  <w:marBottom w:val="0"/>
                  <w:divBdr>
                    <w:top w:val="none" w:sz="0" w:space="0" w:color="auto"/>
                    <w:left w:val="none" w:sz="0" w:space="0" w:color="auto"/>
                    <w:bottom w:val="none" w:sz="0" w:space="0" w:color="auto"/>
                    <w:right w:val="none" w:sz="0" w:space="0" w:color="auto"/>
                  </w:divBdr>
                  <w:divsChild>
                    <w:div w:id="1763140238">
                      <w:marLeft w:val="0"/>
                      <w:marRight w:val="0"/>
                      <w:marTop w:val="0"/>
                      <w:marBottom w:val="0"/>
                      <w:divBdr>
                        <w:top w:val="none" w:sz="0" w:space="0" w:color="auto"/>
                        <w:left w:val="none" w:sz="0" w:space="0" w:color="auto"/>
                        <w:bottom w:val="none" w:sz="0" w:space="0" w:color="auto"/>
                        <w:right w:val="none" w:sz="0" w:space="0" w:color="auto"/>
                      </w:divBdr>
                      <w:divsChild>
                        <w:div w:id="1967272809">
                          <w:marLeft w:val="0"/>
                          <w:marRight w:val="0"/>
                          <w:marTop w:val="0"/>
                          <w:marBottom w:val="0"/>
                          <w:divBdr>
                            <w:top w:val="none" w:sz="0" w:space="0" w:color="auto"/>
                            <w:left w:val="none" w:sz="0" w:space="0" w:color="auto"/>
                            <w:bottom w:val="none" w:sz="0" w:space="0" w:color="auto"/>
                            <w:right w:val="none" w:sz="0" w:space="0" w:color="auto"/>
                          </w:divBdr>
                          <w:divsChild>
                            <w:div w:id="432478376">
                              <w:marLeft w:val="0"/>
                              <w:marRight w:val="0"/>
                              <w:marTop w:val="0"/>
                              <w:marBottom w:val="0"/>
                              <w:divBdr>
                                <w:top w:val="none" w:sz="0" w:space="0" w:color="auto"/>
                                <w:left w:val="none" w:sz="0" w:space="0" w:color="auto"/>
                                <w:bottom w:val="none" w:sz="0" w:space="0" w:color="auto"/>
                                <w:right w:val="none" w:sz="0" w:space="0" w:color="auto"/>
                              </w:divBdr>
                              <w:divsChild>
                                <w:div w:id="1785735835">
                                  <w:marLeft w:val="0"/>
                                  <w:marRight w:val="0"/>
                                  <w:marTop w:val="0"/>
                                  <w:marBottom w:val="0"/>
                                  <w:divBdr>
                                    <w:top w:val="none" w:sz="0" w:space="0" w:color="auto"/>
                                    <w:left w:val="none" w:sz="0" w:space="0" w:color="auto"/>
                                    <w:bottom w:val="none" w:sz="0" w:space="0" w:color="auto"/>
                                    <w:right w:val="none" w:sz="0" w:space="0" w:color="auto"/>
                                  </w:divBdr>
                                  <w:divsChild>
                                    <w:div w:id="1204051797">
                                      <w:marLeft w:val="60"/>
                                      <w:marRight w:val="0"/>
                                      <w:marTop w:val="0"/>
                                      <w:marBottom w:val="0"/>
                                      <w:divBdr>
                                        <w:top w:val="none" w:sz="0" w:space="0" w:color="auto"/>
                                        <w:left w:val="none" w:sz="0" w:space="0" w:color="auto"/>
                                        <w:bottom w:val="none" w:sz="0" w:space="0" w:color="auto"/>
                                        <w:right w:val="none" w:sz="0" w:space="0" w:color="auto"/>
                                      </w:divBdr>
                                      <w:divsChild>
                                        <w:div w:id="1946307194">
                                          <w:marLeft w:val="0"/>
                                          <w:marRight w:val="0"/>
                                          <w:marTop w:val="0"/>
                                          <w:marBottom w:val="0"/>
                                          <w:divBdr>
                                            <w:top w:val="none" w:sz="0" w:space="0" w:color="auto"/>
                                            <w:left w:val="none" w:sz="0" w:space="0" w:color="auto"/>
                                            <w:bottom w:val="none" w:sz="0" w:space="0" w:color="auto"/>
                                            <w:right w:val="none" w:sz="0" w:space="0" w:color="auto"/>
                                          </w:divBdr>
                                          <w:divsChild>
                                            <w:div w:id="354767267">
                                              <w:marLeft w:val="0"/>
                                              <w:marRight w:val="0"/>
                                              <w:marTop w:val="0"/>
                                              <w:marBottom w:val="120"/>
                                              <w:divBdr>
                                                <w:top w:val="single" w:sz="6" w:space="0" w:color="F5F5F5"/>
                                                <w:left w:val="single" w:sz="6" w:space="0" w:color="F5F5F5"/>
                                                <w:bottom w:val="single" w:sz="6" w:space="0" w:color="F5F5F5"/>
                                                <w:right w:val="single" w:sz="6" w:space="0" w:color="F5F5F5"/>
                                              </w:divBdr>
                                              <w:divsChild>
                                                <w:div w:id="702172537">
                                                  <w:marLeft w:val="0"/>
                                                  <w:marRight w:val="0"/>
                                                  <w:marTop w:val="0"/>
                                                  <w:marBottom w:val="0"/>
                                                  <w:divBdr>
                                                    <w:top w:val="none" w:sz="0" w:space="0" w:color="auto"/>
                                                    <w:left w:val="none" w:sz="0" w:space="0" w:color="auto"/>
                                                    <w:bottom w:val="none" w:sz="0" w:space="0" w:color="auto"/>
                                                    <w:right w:val="none" w:sz="0" w:space="0" w:color="auto"/>
                                                  </w:divBdr>
                                                  <w:divsChild>
                                                    <w:div w:id="1324746830">
                                                      <w:marLeft w:val="0"/>
                                                      <w:marRight w:val="0"/>
                                                      <w:marTop w:val="0"/>
                                                      <w:marBottom w:val="0"/>
                                                      <w:divBdr>
                                                        <w:top w:val="none" w:sz="0" w:space="0" w:color="auto"/>
                                                        <w:left w:val="none" w:sz="0" w:space="0" w:color="auto"/>
                                                        <w:bottom w:val="none" w:sz="0" w:space="0" w:color="auto"/>
                                                        <w:right w:val="none" w:sz="0" w:space="0" w:color="auto"/>
                                                      </w:divBdr>
                                                    </w:div>
                                                  </w:divsChild>
                                                </w:div>
                                                <w:div w:id="688021571">
                                                  <w:marLeft w:val="0"/>
                                                  <w:marRight w:val="0"/>
                                                  <w:marTop w:val="0"/>
                                                  <w:marBottom w:val="0"/>
                                                  <w:divBdr>
                                                    <w:top w:val="none" w:sz="0" w:space="0" w:color="auto"/>
                                                    <w:left w:val="none" w:sz="0" w:space="0" w:color="auto"/>
                                                    <w:bottom w:val="none" w:sz="0" w:space="0" w:color="auto"/>
                                                    <w:right w:val="none" w:sz="0" w:space="0" w:color="auto"/>
                                                  </w:divBdr>
                                                  <w:divsChild>
                                                    <w:div w:id="73073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7657743">
      <w:bodyDiv w:val="1"/>
      <w:marLeft w:val="0"/>
      <w:marRight w:val="0"/>
      <w:marTop w:val="0"/>
      <w:marBottom w:val="0"/>
      <w:divBdr>
        <w:top w:val="none" w:sz="0" w:space="0" w:color="auto"/>
        <w:left w:val="none" w:sz="0" w:space="0" w:color="auto"/>
        <w:bottom w:val="none" w:sz="0" w:space="0" w:color="auto"/>
        <w:right w:val="none" w:sz="0" w:space="0" w:color="auto"/>
      </w:divBdr>
    </w:div>
    <w:div w:id="367409809">
      <w:bodyDiv w:val="1"/>
      <w:marLeft w:val="0"/>
      <w:marRight w:val="0"/>
      <w:marTop w:val="0"/>
      <w:marBottom w:val="0"/>
      <w:divBdr>
        <w:top w:val="none" w:sz="0" w:space="0" w:color="auto"/>
        <w:left w:val="none" w:sz="0" w:space="0" w:color="auto"/>
        <w:bottom w:val="none" w:sz="0" w:space="0" w:color="auto"/>
        <w:right w:val="none" w:sz="0" w:space="0" w:color="auto"/>
      </w:divBdr>
    </w:div>
    <w:div w:id="529883564">
      <w:bodyDiv w:val="1"/>
      <w:marLeft w:val="0"/>
      <w:marRight w:val="0"/>
      <w:marTop w:val="0"/>
      <w:marBottom w:val="0"/>
      <w:divBdr>
        <w:top w:val="none" w:sz="0" w:space="0" w:color="auto"/>
        <w:left w:val="none" w:sz="0" w:space="0" w:color="auto"/>
        <w:bottom w:val="none" w:sz="0" w:space="0" w:color="auto"/>
        <w:right w:val="none" w:sz="0" w:space="0" w:color="auto"/>
      </w:divBdr>
    </w:div>
    <w:div w:id="809370186">
      <w:bodyDiv w:val="1"/>
      <w:marLeft w:val="0"/>
      <w:marRight w:val="0"/>
      <w:marTop w:val="0"/>
      <w:marBottom w:val="0"/>
      <w:divBdr>
        <w:top w:val="none" w:sz="0" w:space="0" w:color="auto"/>
        <w:left w:val="none" w:sz="0" w:space="0" w:color="auto"/>
        <w:bottom w:val="none" w:sz="0" w:space="0" w:color="auto"/>
        <w:right w:val="none" w:sz="0" w:space="0" w:color="auto"/>
      </w:divBdr>
    </w:div>
    <w:div w:id="1058624383">
      <w:bodyDiv w:val="1"/>
      <w:marLeft w:val="0"/>
      <w:marRight w:val="0"/>
      <w:marTop w:val="0"/>
      <w:marBottom w:val="0"/>
      <w:divBdr>
        <w:top w:val="none" w:sz="0" w:space="0" w:color="auto"/>
        <w:left w:val="none" w:sz="0" w:space="0" w:color="auto"/>
        <w:bottom w:val="none" w:sz="0" w:space="0" w:color="auto"/>
        <w:right w:val="none" w:sz="0" w:space="0" w:color="auto"/>
      </w:divBdr>
    </w:div>
    <w:div w:id="1072506711">
      <w:bodyDiv w:val="1"/>
      <w:marLeft w:val="0"/>
      <w:marRight w:val="0"/>
      <w:marTop w:val="0"/>
      <w:marBottom w:val="0"/>
      <w:divBdr>
        <w:top w:val="none" w:sz="0" w:space="0" w:color="auto"/>
        <w:left w:val="none" w:sz="0" w:space="0" w:color="auto"/>
        <w:bottom w:val="none" w:sz="0" w:space="0" w:color="auto"/>
        <w:right w:val="none" w:sz="0" w:space="0" w:color="auto"/>
      </w:divBdr>
    </w:div>
    <w:div w:id="1149596254">
      <w:bodyDiv w:val="1"/>
      <w:marLeft w:val="0"/>
      <w:marRight w:val="0"/>
      <w:marTop w:val="0"/>
      <w:marBottom w:val="0"/>
      <w:divBdr>
        <w:top w:val="none" w:sz="0" w:space="0" w:color="auto"/>
        <w:left w:val="none" w:sz="0" w:space="0" w:color="auto"/>
        <w:bottom w:val="none" w:sz="0" w:space="0" w:color="auto"/>
        <w:right w:val="none" w:sz="0" w:space="0" w:color="auto"/>
      </w:divBdr>
    </w:div>
    <w:div w:id="1252394857">
      <w:bodyDiv w:val="1"/>
      <w:marLeft w:val="0"/>
      <w:marRight w:val="0"/>
      <w:marTop w:val="0"/>
      <w:marBottom w:val="0"/>
      <w:divBdr>
        <w:top w:val="none" w:sz="0" w:space="0" w:color="auto"/>
        <w:left w:val="none" w:sz="0" w:space="0" w:color="auto"/>
        <w:bottom w:val="none" w:sz="0" w:space="0" w:color="auto"/>
        <w:right w:val="none" w:sz="0" w:space="0" w:color="auto"/>
      </w:divBdr>
    </w:div>
    <w:div w:id="1586375005">
      <w:bodyDiv w:val="1"/>
      <w:marLeft w:val="0"/>
      <w:marRight w:val="0"/>
      <w:marTop w:val="0"/>
      <w:marBottom w:val="0"/>
      <w:divBdr>
        <w:top w:val="none" w:sz="0" w:space="0" w:color="auto"/>
        <w:left w:val="none" w:sz="0" w:space="0" w:color="auto"/>
        <w:bottom w:val="none" w:sz="0" w:space="0" w:color="auto"/>
        <w:right w:val="none" w:sz="0" w:space="0" w:color="auto"/>
      </w:divBdr>
    </w:div>
    <w:div w:id="1613709893">
      <w:bodyDiv w:val="1"/>
      <w:marLeft w:val="0"/>
      <w:marRight w:val="0"/>
      <w:marTop w:val="0"/>
      <w:marBottom w:val="0"/>
      <w:divBdr>
        <w:top w:val="none" w:sz="0" w:space="0" w:color="auto"/>
        <w:left w:val="none" w:sz="0" w:space="0" w:color="auto"/>
        <w:bottom w:val="none" w:sz="0" w:space="0" w:color="auto"/>
        <w:right w:val="none" w:sz="0" w:space="0" w:color="auto"/>
      </w:divBdr>
    </w:div>
    <w:div w:id="2016377803">
      <w:bodyDiv w:val="1"/>
      <w:marLeft w:val="0"/>
      <w:marRight w:val="0"/>
      <w:marTop w:val="0"/>
      <w:marBottom w:val="0"/>
      <w:divBdr>
        <w:top w:val="none" w:sz="0" w:space="0" w:color="auto"/>
        <w:left w:val="none" w:sz="0" w:space="0" w:color="auto"/>
        <w:bottom w:val="none" w:sz="0" w:space="0" w:color="auto"/>
        <w:right w:val="none" w:sz="0" w:space="0" w:color="auto"/>
      </w:divBdr>
    </w:div>
    <w:div w:id="204905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hart" Target="charts/chart1.xml"/><Relationship Id="rId26" Type="http://schemas.openxmlformats.org/officeDocument/2006/relationships/chart" Target="charts/chart8.xml"/><Relationship Id="rId39" Type="http://schemas.openxmlformats.org/officeDocument/2006/relationships/theme" Target="theme/theme1.xml"/><Relationship Id="rId21" Type="http://schemas.openxmlformats.org/officeDocument/2006/relationships/chart" Target="charts/chart4.xml"/><Relationship Id="rId34" Type="http://schemas.openxmlformats.org/officeDocument/2006/relationships/chart" Target="charts/chart1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7.png"/><Relationship Id="rId33" Type="http://schemas.openxmlformats.org/officeDocument/2006/relationships/chart" Target="charts/chart15.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chart" Target="charts/chart3.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7.xml"/><Relationship Id="rId32" Type="http://schemas.openxmlformats.org/officeDocument/2006/relationships/chart" Target="charts/chart14.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chart" Target="charts/chart6.xml"/><Relationship Id="rId28" Type="http://schemas.openxmlformats.org/officeDocument/2006/relationships/chart" Target="charts/chart10.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chart" Target="charts/chart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i_15fed72ab4fea017" TargetMode="External"/><Relationship Id="rId22" Type="http://schemas.openxmlformats.org/officeDocument/2006/relationships/chart" Target="charts/chart5.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chart" Target="charts/chart17.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on.se/samhaelle---utveckling/hallbara-stader/smarta-nat-i-hyllie.html" TargetMode="External"/><Relationship Id="rId3" Type="http://schemas.openxmlformats.org/officeDocument/2006/relationships/hyperlink" Target="http://www.nordicenergy.org/" TargetMode="External"/><Relationship Id="rId7" Type="http://schemas.openxmlformats.org/officeDocument/2006/relationships/hyperlink" Target="http://stockholmroyalseaport.com/" TargetMode="External"/><Relationship Id="rId2" Type="http://schemas.openxmlformats.org/officeDocument/2006/relationships/hyperlink" Target="http://www.formas.se/en/International/Research-Programme/" TargetMode="External"/><Relationship Id="rId1" Type="http://schemas.openxmlformats.org/officeDocument/2006/relationships/hyperlink" Target="http://www.swedishsmartgrid.se" TargetMode="External"/><Relationship Id="rId6" Type="http://schemas.openxmlformats.org/officeDocument/2006/relationships/hyperlink" Target="http://tyndp.entsoe.eu/" TargetMode="External"/><Relationship Id="rId5" Type="http://schemas.openxmlformats.org/officeDocument/2006/relationships/hyperlink" Target="https://energimyndigheten.a-w2m.se/Home.mvc?ResourceId=5636" TargetMode="External"/><Relationship Id="rId10" Type="http://schemas.openxmlformats.org/officeDocument/2006/relationships/hyperlink" Target="http://ec.europa.eu/growth/industry/innovation/facts-figures/scoreboards_sv" TargetMode="External"/><Relationship Id="rId4" Type="http://schemas.openxmlformats.org/officeDocument/2006/relationships/hyperlink" Target="http://mission-innovation.net/participating-countries/sweden/" TargetMode="External"/><Relationship Id="rId9" Type="http://schemas.openxmlformats.org/officeDocument/2006/relationships/hyperlink" Target="http://www.smartgridgotland.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AppData\Local\Axalon\SPSeries\5.0\OfficeConnector\Local%20Templates\Officemallar\Rapporter\Rapport%20eng.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naturvardsverket.se\User\Home\ulk\ord\EU%20Energi%20o%20klimatplaner\Figur%20projection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hele\AppData\Local\Microsoft\Windows\INetCache\Content.Outlook\VDH28XR8\Figurer%20p&#229;%20engelska.xlsx" TargetMode="External"/><Relationship Id="rId2" Type="http://schemas.microsoft.com/office/2011/relationships/chartColorStyle" Target="colors6.xml"/><Relationship Id="rId1" Type="http://schemas.microsoft.com/office/2011/relationships/chartStyle" Target="style6.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1.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suln\Desktop\NECP\Tillf&#246;rd%20energi%20till%202040.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1.bin"/></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2.bin"/></Relationships>
</file>

<file path=word/charts/_rels/chart16.xml.rels><?xml version="1.0" encoding="UTF-8" standalone="yes"?>
<Relationships xmlns="http://schemas.openxmlformats.org/package/2006/relationships"><Relationship Id="rId3" Type="http://schemas.openxmlformats.org/officeDocument/2006/relationships/oleObject" Target="file:///C:\Users\suln\AppData\Local\Microsoft\Windows\INetCache\IE\PVBUPTDM\gpnsi.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suln\Desktop\NECP\Figurunderlag%20LS16%20tillf&#246;rsel%20nu%20p&#229;%20SY.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ofPieChart>
        <c:ofPieType val="bar"/>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A4-44E3-A944-5DBF479212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A4-44E3-A944-5DBF479212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7A4-44E3-A944-5DBF479212D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7A4-44E3-A944-5DBF479212D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7A4-44E3-A944-5DBF479212D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7A4-44E3-A944-5DBF479212D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7A4-44E3-A944-5DBF479212D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7A4-44E3-A944-5DBF479212DE}"/>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C7A4-44E3-A944-5DBF479212DE}"/>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C7A4-44E3-A944-5DBF479212DE}"/>
              </c:ext>
            </c:extLst>
          </c:dPt>
          <c:dLbls>
            <c:dLbl>
              <c:idx val="0"/>
              <c:layout>
                <c:manualLayout>
                  <c:x val="9.2516841256299429E-2"/>
                  <c:y val="-0.13952623680226375"/>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ysClr val="windowText" lastClr="000000"/>
                      </a:solidFill>
                      <a:latin typeface="+mn-lt"/>
                      <a:ea typeface="+mn-ea"/>
                      <a:cs typeface="+mn-cs"/>
                    </a:defRPr>
                  </a:pPr>
                  <a:endParaRPr lang="sv-SE"/>
                </a:p>
              </c:txPr>
              <c:dLblPos val="bestFit"/>
              <c:showLegendKey val="0"/>
              <c:showVal val="0"/>
              <c:showCatName val="1"/>
              <c:showSerName val="0"/>
              <c:showPercent val="1"/>
              <c:showBubbleSize val="0"/>
              <c:extLst>
                <c:ext xmlns:c15="http://schemas.microsoft.com/office/drawing/2012/chart" uri="{CE6537A1-D6FC-4f65-9D91-7224C49458BB}">
                  <c15:layout>
                    <c:manualLayout>
                      <c:w val="0.13925826468223262"/>
                      <c:h val="0.25073490813648291"/>
                    </c:manualLayout>
                  </c15:layout>
                </c:ext>
                <c:ext xmlns:c16="http://schemas.microsoft.com/office/drawing/2014/chart" uri="{C3380CC4-5D6E-409C-BE32-E72D297353CC}">
                  <c16:uniqueId val="{00000001-C7A4-44E3-A944-5DBF479212DE}"/>
                </c:ext>
              </c:extLst>
            </c:dLbl>
            <c:dLbl>
              <c:idx val="1"/>
              <c:layout>
                <c:manualLayout>
                  <c:x val="0.13010938661569038"/>
                  <c:y val="7.827646544181977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7A4-44E3-A944-5DBF479212DE}"/>
                </c:ext>
              </c:extLst>
            </c:dLbl>
            <c:dLbl>
              <c:idx val="2"/>
              <c:layout>
                <c:manualLayout>
                  <c:x val="2.5645927207075996E-3"/>
                  <c:y val="2.4384048768097535E-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7A4-44E3-A944-5DBF479212DE}"/>
                </c:ext>
              </c:extLst>
            </c:dLbl>
            <c:dLbl>
              <c:idx val="4"/>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ysClr val="windowText" lastClr="000000"/>
                      </a:solidFill>
                      <a:latin typeface="+mn-lt"/>
                      <a:ea typeface="+mn-ea"/>
                      <a:cs typeface="+mn-cs"/>
                    </a:defRPr>
                  </a:pPr>
                  <a:endParaRPr lang="sv-SE"/>
                </a:p>
              </c:txPr>
              <c:dLblPos val="ct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9-C7A4-44E3-A944-5DBF479212DE}"/>
                </c:ext>
              </c:extLst>
            </c:dLbl>
            <c:dLbl>
              <c:idx val="6"/>
              <c:layout>
                <c:manualLayout>
                  <c:x val="-7.7059034672038952E-4"/>
                  <c:y val="9.0082756330299316E-2"/>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ysClr val="windowText" lastClr="000000"/>
                      </a:solidFill>
                      <a:latin typeface="+mn-lt"/>
                      <a:ea typeface="+mn-ea"/>
                      <a:cs typeface="+mn-cs"/>
                    </a:defRPr>
                  </a:pPr>
                  <a:endParaRPr lang="sv-SE"/>
                </a:p>
              </c:txPr>
              <c:dLblPos val="bestFit"/>
              <c:showLegendKey val="0"/>
              <c:showVal val="0"/>
              <c:showCatName val="1"/>
              <c:showSerName val="0"/>
              <c:showPercent val="1"/>
              <c:showBubbleSize val="0"/>
              <c:extLst>
                <c:ext xmlns:c15="http://schemas.microsoft.com/office/drawing/2012/chart" uri="{CE6537A1-D6FC-4f65-9D91-7224C49458BB}">
                  <c15:layout>
                    <c:manualLayout>
                      <c:w val="0.12447963778538983"/>
                      <c:h val="0.19442169728783901"/>
                    </c:manualLayout>
                  </c15:layout>
                </c:ext>
                <c:ext xmlns:c16="http://schemas.microsoft.com/office/drawing/2014/chart" uri="{C3380CC4-5D6E-409C-BE32-E72D297353CC}">
                  <c16:uniqueId val="{0000000D-C7A4-44E3-A944-5DBF479212DE}"/>
                </c:ext>
              </c:extLst>
            </c:dLbl>
            <c:dLbl>
              <c:idx val="7"/>
              <c:layout>
                <c:manualLayout>
                  <c:x val="-0.12002317223330367"/>
                  <c:y val="7.9184382236673581E-2"/>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ysClr val="windowText" lastClr="000000"/>
                      </a:solidFill>
                      <a:latin typeface="+mn-lt"/>
                      <a:ea typeface="+mn-ea"/>
                      <a:cs typeface="+mn-cs"/>
                    </a:defRPr>
                  </a:pPr>
                  <a:endParaRPr lang="sv-SE"/>
                </a:p>
              </c:txPr>
              <c:dLblPos val="bestFit"/>
              <c:showLegendKey val="0"/>
              <c:showVal val="0"/>
              <c:showCatName val="1"/>
              <c:showSerName val="0"/>
              <c:showPercent val="1"/>
              <c:showBubbleSize val="0"/>
              <c:extLst>
                <c:ext xmlns:c15="http://schemas.microsoft.com/office/drawing/2012/chart" uri="{CE6537A1-D6FC-4f65-9D91-7224C49458BB}">
                  <c15:layout>
                    <c:manualLayout>
                      <c:w val="9.6904271146897591E-2"/>
                      <c:h val="0.18926076345719942"/>
                    </c:manualLayout>
                  </c15:layout>
                </c:ext>
                <c:ext xmlns:c16="http://schemas.microsoft.com/office/drawing/2014/chart" uri="{C3380CC4-5D6E-409C-BE32-E72D297353CC}">
                  <c16:uniqueId val="{0000000F-C7A4-44E3-A944-5DBF479212DE}"/>
                </c:ext>
              </c:extLst>
            </c:dLbl>
            <c:dLbl>
              <c:idx val="8"/>
              <c:layout>
                <c:manualLayout>
                  <c:x val="-0.27770337635900411"/>
                  <c:y val="-4.9990530682815892E-2"/>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ysClr val="windowText" lastClr="000000"/>
                      </a:solidFill>
                      <a:latin typeface="+mn-lt"/>
                      <a:ea typeface="+mn-ea"/>
                      <a:cs typeface="+mn-cs"/>
                    </a:defRPr>
                  </a:pPr>
                  <a:endParaRPr lang="sv-SE"/>
                </a:p>
              </c:txPr>
              <c:dLblPos val="bestFit"/>
              <c:showLegendKey val="0"/>
              <c:showVal val="0"/>
              <c:showCatName val="1"/>
              <c:showSerName val="0"/>
              <c:showPercent val="1"/>
              <c:showBubbleSize val="0"/>
              <c:extLst>
                <c:ext xmlns:c15="http://schemas.microsoft.com/office/drawing/2012/chart" uri="{CE6537A1-D6FC-4f65-9D91-7224C49458BB}">
                  <c15:layout>
                    <c:manualLayout>
                      <c:w val="0.14546060273539255"/>
                      <c:h val="0.26544918727264355"/>
                    </c:manualLayout>
                  </c15:layout>
                </c:ext>
                <c:ext xmlns:c16="http://schemas.microsoft.com/office/drawing/2014/chart" uri="{C3380CC4-5D6E-409C-BE32-E72D297353CC}">
                  <c16:uniqueId val="{00000011-C7A4-44E3-A944-5DBF479212DE}"/>
                </c:ext>
              </c:extLst>
            </c:dLbl>
            <c:dLbl>
              <c:idx val="9"/>
              <c:tx>
                <c:rich>
                  <a:bodyPr/>
                  <a:lstStyle/>
                  <a:p>
                    <a:r>
                      <a:rPr lang="en-US"/>
                      <a:t>Energy</a:t>
                    </a:r>
                    <a:r>
                      <a:rPr lang="en-US" baseline="0"/>
                      <a:t>
</a:t>
                    </a:r>
                    <a:fld id="{E0FC461B-1386-49D7-BD89-4FE7E8E1DE3D}" type="PERCENTAGE">
                      <a:rPr lang="en-US" baseline="0"/>
                      <a:pPr/>
                      <a:t>[PROCENT]</a:t>
                    </a:fld>
                    <a:endParaRPr lang="en-US" baseline="0"/>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C7A4-44E3-A944-5DBF479212D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mn-lt"/>
                    <a:ea typeface="+mn-ea"/>
                    <a:cs typeface="+mn-cs"/>
                  </a:defRPr>
                </a:pPr>
                <a:endParaRPr lang="sv-SE"/>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Sheet1!$B$1:$J$2</c:f>
              <c:strCache>
                <c:ptCount val="9"/>
                <c:pt idx="0">
                  <c:v>Industrial Processes and Product Use</c:v>
                </c:pt>
                <c:pt idx="1">
                  <c:v>Agriculture</c:v>
                </c:pt>
                <c:pt idx="2">
                  <c:v>Waste</c:v>
                </c:pt>
                <c:pt idx="3">
                  <c:v>Energy Industries</c:v>
                </c:pt>
                <c:pt idx="4">
                  <c:v>Manufacturing Industries and Construction</c:v>
                </c:pt>
                <c:pt idx="5">
                  <c:v>Transport</c:v>
                </c:pt>
                <c:pt idx="6">
                  <c:v>Other Sectors</c:v>
                </c:pt>
                <c:pt idx="7">
                  <c:v>Non-Specified</c:v>
                </c:pt>
                <c:pt idx="8">
                  <c:v>Fugitive Emissions from Fuels</c:v>
                </c:pt>
              </c:strCache>
            </c:strRef>
          </c:cat>
          <c:val>
            <c:numRef>
              <c:f>Sheet1!$B$3:$J$3</c:f>
              <c:numCache>
                <c:formatCode>#,##0</c:formatCode>
                <c:ptCount val="9"/>
                <c:pt idx="0">
                  <c:v>6416.3849687257625</c:v>
                </c:pt>
                <c:pt idx="1">
                  <c:v>6894.6668113070809</c:v>
                </c:pt>
                <c:pt idx="2">
                  <c:v>1402.3445022480801</c:v>
                </c:pt>
                <c:pt idx="3">
                  <c:v>8997.1371414675359</c:v>
                </c:pt>
                <c:pt idx="4">
                  <c:v>7644.3666169639655</c:v>
                </c:pt>
                <c:pt idx="5">
                  <c:v>18168.038103195984</c:v>
                </c:pt>
                <c:pt idx="6">
                  <c:v>3101.1961047896812</c:v>
                </c:pt>
                <c:pt idx="7">
                  <c:v>190.95042201902402</c:v>
                </c:pt>
                <c:pt idx="8">
                  <c:v>875.27280766062847</c:v>
                </c:pt>
              </c:numCache>
            </c:numRef>
          </c:val>
          <c:extLst>
            <c:ext xmlns:c16="http://schemas.microsoft.com/office/drawing/2014/chart" uri="{C3380CC4-5D6E-409C-BE32-E72D297353CC}">
              <c16:uniqueId val="{00000014-C7A4-44E3-A944-5DBF479212DE}"/>
            </c:ext>
          </c:extLst>
        </c:ser>
        <c:dLbls>
          <c:showLegendKey val="0"/>
          <c:showVal val="0"/>
          <c:showCatName val="0"/>
          <c:showSerName val="0"/>
          <c:showPercent val="0"/>
          <c:showBubbleSize val="0"/>
          <c:showLeaderLines val="1"/>
        </c:dLbls>
        <c:gapWidth val="100"/>
        <c:splitType val="pos"/>
        <c:splitPos val="6"/>
        <c:secondPieSize val="75"/>
        <c:serLines>
          <c:spPr>
            <a:ln w="9525" cap="flat" cmpd="sng" algn="ctr">
              <a:solidFill>
                <a:schemeClr val="tx1">
                  <a:lumMod val="35000"/>
                  <a:lumOff val="65000"/>
                </a:schemeClr>
              </a:solidFill>
              <a:round/>
            </a:ln>
            <a:effectLst/>
          </c:spPr>
        </c:serLines>
      </c:of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Blad1!$A$6</c:f>
              <c:strCache>
                <c:ptCount val="1"/>
                <c:pt idx="0">
                  <c:v>LULUCF</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Blad1!$B$6:$AU$6</c:f>
              <c:numCache>
                <c:formatCode>0.0</c:formatCode>
                <c:ptCount val="46"/>
                <c:pt idx="0">
                  <c:v>-36.703174396666697</c:v>
                </c:pt>
                <c:pt idx="1">
                  <c:v>-35.491580747666688</c:v>
                </c:pt>
                <c:pt idx="2">
                  <c:v>-35.572936689333375</c:v>
                </c:pt>
                <c:pt idx="3">
                  <c:v>-30.447268808333362</c:v>
                </c:pt>
                <c:pt idx="4">
                  <c:v>-34.464659102000027</c:v>
                </c:pt>
                <c:pt idx="5">
                  <c:v>-32.722223045333365</c:v>
                </c:pt>
                <c:pt idx="6">
                  <c:v>-39.940980572000043</c:v>
                </c:pt>
                <c:pt idx="7">
                  <c:v>-37.414915771333362</c:v>
                </c:pt>
                <c:pt idx="8">
                  <c:v>-39.323669743666692</c:v>
                </c:pt>
                <c:pt idx="9">
                  <c:v>-36.891977991666693</c:v>
                </c:pt>
                <c:pt idx="10">
                  <c:v>-37.922443082666703</c:v>
                </c:pt>
                <c:pt idx="11">
                  <c:v>-43.035236335000029</c:v>
                </c:pt>
                <c:pt idx="12">
                  <c:v>-40.671952574666697</c:v>
                </c:pt>
                <c:pt idx="13">
                  <c:v>-37.705766305000026</c:v>
                </c:pt>
                <c:pt idx="14">
                  <c:v>-36.596844019333375</c:v>
                </c:pt>
                <c:pt idx="15">
                  <c:v>-34.759971619333356</c:v>
                </c:pt>
                <c:pt idx="16">
                  <c:v>-39.295023745666704</c:v>
                </c:pt>
                <c:pt idx="17">
                  <c:v>-41.602156254333373</c:v>
                </c:pt>
                <c:pt idx="18">
                  <c:v>-41.42440797500003</c:v>
                </c:pt>
                <c:pt idx="19">
                  <c:v>-43.463403490333363</c:v>
                </c:pt>
                <c:pt idx="20">
                  <c:v>-48.041395344666697</c:v>
                </c:pt>
                <c:pt idx="21">
                  <c:v>-41.095304168000041</c:v>
                </c:pt>
                <c:pt idx="22">
                  <c:v>-46.811736922666711</c:v>
                </c:pt>
                <c:pt idx="23">
                  <c:v>-44.708022453000041</c:v>
                </c:pt>
                <c:pt idx="24">
                  <c:v>-45.176283828333375</c:v>
                </c:pt>
                <c:pt idx="25">
                  <c:v>-50.51302562066671</c:v>
                </c:pt>
                <c:pt idx="30">
                  <c:v>-43.322237124090186</c:v>
                </c:pt>
                <c:pt idx="35">
                  <c:v>-44.330743762127341</c:v>
                </c:pt>
                <c:pt idx="40">
                  <c:v>-42.221559578067058</c:v>
                </c:pt>
                <c:pt idx="45">
                  <c:v>-40.521220805055492</c:v>
                </c:pt>
              </c:numCache>
            </c:numRef>
          </c:val>
          <c:extLst>
            <c:ext xmlns:c16="http://schemas.microsoft.com/office/drawing/2014/chart" uri="{C3380CC4-5D6E-409C-BE32-E72D297353CC}">
              <c16:uniqueId val="{00000000-4B87-417C-94EC-4560168CA742}"/>
            </c:ext>
          </c:extLst>
        </c:ser>
        <c:ser>
          <c:idx val="1"/>
          <c:order val="1"/>
          <c:tx>
            <c:strRef>
              <c:f>Blad1!$A$7</c:f>
              <c:strCache>
                <c:ptCount val="1"/>
                <c:pt idx="0">
                  <c:v>Energy excl. Transport</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Blad1!$B$7:$AU$7</c:f>
              <c:numCache>
                <c:formatCode>0.0</c:formatCode>
                <c:ptCount val="46"/>
                <c:pt idx="0">
                  <c:v>33.789189124946247</c:v>
                </c:pt>
                <c:pt idx="1">
                  <c:v>34.63219786216645</c:v>
                </c:pt>
                <c:pt idx="2">
                  <c:v>33.852134768144154</c:v>
                </c:pt>
                <c:pt idx="3">
                  <c:v>34.578571231277031</c:v>
                </c:pt>
                <c:pt idx="4">
                  <c:v>36.146648061793783</c:v>
                </c:pt>
                <c:pt idx="5">
                  <c:v>35.24284751527334</c:v>
                </c:pt>
                <c:pt idx="6">
                  <c:v>39.723366408047454</c:v>
                </c:pt>
                <c:pt idx="7">
                  <c:v>34.575965174770417</c:v>
                </c:pt>
                <c:pt idx="8">
                  <c:v>34.913665359938605</c:v>
                </c:pt>
                <c:pt idx="9">
                  <c:v>31.591176986052382</c:v>
                </c:pt>
                <c:pt idx="10">
                  <c:v>30.356258298463519</c:v>
                </c:pt>
                <c:pt idx="11">
                  <c:v>31.061825716701549</c:v>
                </c:pt>
                <c:pt idx="12">
                  <c:v>31.424903042658421</c:v>
                </c:pt>
                <c:pt idx="13">
                  <c:v>32.107446206298064</c:v>
                </c:pt>
                <c:pt idx="14">
                  <c:v>30.635644741910404</c:v>
                </c:pt>
                <c:pt idx="15">
                  <c:v>28.129875897078104</c:v>
                </c:pt>
                <c:pt idx="16">
                  <c:v>28.139024694520536</c:v>
                </c:pt>
                <c:pt idx="17">
                  <c:v>26.868180359024297</c:v>
                </c:pt>
                <c:pt idx="18">
                  <c:v>25.483389487081986</c:v>
                </c:pt>
                <c:pt idx="19">
                  <c:v>23.959615765368206</c:v>
                </c:pt>
                <c:pt idx="20">
                  <c:v>27.869448648476549</c:v>
                </c:pt>
                <c:pt idx="21">
                  <c:v>24.460703420218191</c:v>
                </c:pt>
                <c:pt idx="22">
                  <c:v>23.240597521913546</c:v>
                </c:pt>
                <c:pt idx="23">
                  <c:v>22.12424712949672</c:v>
                </c:pt>
                <c:pt idx="24">
                  <c:v>20.777227229573725</c:v>
                </c:pt>
                <c:pt idx="25">
                  <c:v>20.808923092900844</c:v>
                </c:pt>
                <c:pt idx="30">
                  <c:v>20.750491403110502</c:v>
                </c:pt>
                <c:pt idx="35">
                  <c:v>20.171925318769453</c:v>
                </c:pt>
                <c:pt idx="40">
                  <c:v>19.341836832613481</c:v>
                </c:pt>
                <c:pt idx="45">
                  <c:v>18.400645309256792</c:v>
                </c:pt>
              </c:numCache>
            </c:numRef>
          </c:val>
          <c:extLst>
            <c:ext xmlns:c16="http://schemas.microsoft.com/office/drawing/2014/chart" uri="{C3380CC4-5D6E-409C-BE32-E72D297353CC}">
              <c16:uniqueId val="{00000001-4B87-417C-94EC-4560168CA742}"/>
            </c:ext>
          </c:extLst>
        </c:ser>
        <c:ser>
          <c:idx val="2"/>
          <c:order val="2"/>
          <c:tx>
            <c:strRef>
              <c:f>Blad1!$A$8</c:f>
              <c:strCache>
                <c:ptCount val="1"/>
                <c:pt idx="0">
                  <c:v>Transport</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Blad1!$B$8:$AU$8</c:f>
              <c:numCache>
                <c:formatCode>0.0</c:formatCode>
                <c:ptCount val="46"/>
                <c:pt idx="0">
                  <c:v>19.332909285849727</c:v>
                </c:pt>
                <c:pt idx="1">
                  <c:v>19.063266880144116</c:v>
                </c:pt>
                <c:pt idx="2">
                  <c:v>19.943463213164399</c:v>
                </c:pt>
                <c:pt idx="3">
                  <c:v>19.040546344281342</c:v>
                </c:pt>
                <c:pt idx="4">
                  <c:v>19.557784402802561</c:v>
                </c:pt>
                <c:pt idx="5">
                  <c:v>19.643548816076414</c:v>
                </c:pt>
                <c:pt idx="6">
                  <c:v>19.331932595474093</c:v>
                </c:pt>
                <c:pt idx="7">
                  <c:v>19.461074406877152</c:v>
                </c:pt>
                <c:pt idx="8">
                  <c:v>19.623134733485639</c:v>
                </c:pt>
                <c:pt idx="9">
                  <c:v>19.967953557822689</c:v>
                </c:pt>
                <c:pt idx="10">
                  <c:v>19.754479071694888</c:v>
                </c:pt>
                <c:pt idx="11">
                  <c:v>19.907037347401555</c:v>
                </c:pt>
                <c:pt idx="12">
                  <c:v>20.338728484393176</c:v>
                </c:pt>
                <c:pt idx="13">
                  <c:v>20.593406827147355</c:v>
                </c:pt>
                <c:pt idx="14">
                  <c:v>20.910156401321029</c:v>
                </c:pt>
                <c:pt idx="15">
                  <c:v>21.073165692339728</c:v>
                </c:pt>
                <c:pt idx="16">
                  <c:v>20.92953875927202</c:v>
                </c:pt>
                <c:pt idx="17">
                  <c:v>21.173548835375581</c:v>
                </c:pt>
                <c:pt idx="18">
                  <c:v>20.661040923147819</c:v>
                </c:pt>
                <c:pt idx="19">
                  <c:v>20.271132312782601</c:v>
                </c:pt>
                <c:pt idx="20">
                  <c:v>20.448488769942813</c:v>
                </c:pt>
                <c:pt idx="21">
                  <c:v>20.03450927053219</c:v>
                </c:pt>
                <c:pt idx="22">
                  <c:v>18.843214890572373</c:v>
                </c:pt>
                <c:pt idx="23">
                  <c:v>18.354925847117048</c:v>
                </c:pt>
                <c:pt idx="24">
                  <c:v>18.148995347637044</c:v>
                </c:pt>
                <c:pt idx="25">
                  <c:v>18.168038103195972</c:v>
                </c:pt>
                <c:pt idx="30">
                  <c:v>15.448502169491647</c:v>
                </c:pt>
                <c:pt idx="35">
                  <c:v>14.320566922914615</c:v>
                </c:pt>
                <c:pt idx="40">
                  <c:v>13.553345484116589</c:v>
                </c:pt>
                <c:pt idx="45">
                  <c:v>13.113698327861218</c:v>
                </c:pt>
              </c:numCache>
            </c:numRef>
          </c:val>
          <c:extLst>
            <c:ext xmlns:c16="http://schemas.microsoft.com/office/drawing/2014/chart" uri="{C3380CC4-5D6E-409C-BE32-E72D297353CC}">
              <c16:uniqueId val="{00000002-4B87-417C-94EC-4560168CA742}"/>
            </c:ext>
          </c:extLst>
        </c:ser>
        <c:ser>
          <c:idx val="3"/>
          <c:order val="3"/>
          <c:tx>
            <c:strRef>
              <c:f>Blad1!$A$9</c:f>
              <c:strCache>
                <c:ptCount val="1"/>
                <c:pt idx="0">
                  <c:v>Industrial processes and Product use</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Blad1!$B$9:$AU$9</c:f>
              <c:numCache>
                <c:formatCode>0.0</c:formatCode>
                <c:ptCount val="46"/>
                <c:pt idx="0">
                  <c:v>7.1601561514972873</c:v>
                </c:pt>
                <c:pt idx="1">
                  <c:v>6.933102567490498</c:v>
                </c:pt>
                <c:pt idx="2">
                  <c:v>6.3934962395290134</c:v>
                </c:pt>
                <c:pt idx="3">
                  <c:v>6.583217358776035</c:v>
                </c:pt>
                <c:pt idx="4">
                  <c:v>6.9953956941612692</c:v>
                </c:pt>
                <c:pt idx="5">
                  <c:v>7.3518653481640426</c:v>
                </c:pt>
                <c:pt idx="6">
                  <c:v>7.0782254436270406</c:v>
                </c:pt>
                <c:pt idx="7">
                  <c:v>7.080193580717717</c:v>
                </c:pt>
                <c:pt idx="8">
                  <c:v>7.2661393283706808</c:v>
                </c:pt>
                <c:pt idx="9">
                  <c:v>7.3708821971239651</c:v>
                </c:pt>
                <c:pt idx="10">
                  <c:v>7.5658591603592091</c:v>
                </c:pt>
                <c:pt idx="11">
                  <c:v>7.6030246243541599</c:v>
                </c:pt>
                <c:pt idx="12">
                  <c:v>7.7962532764566896</c:v>
                </c:pt>
                <c:pt idx="13">
                  <c:v>7.4751446997335691</c:v>
                </c:pt>
                <c:pt idx="14">
                  <c:v>7.9400283125133075</c:v>
                </c:pt>
                <c:pt idx="15">
                  <c:v>7.884977008224392</c:v>
                </c:pt>
                <c:pt idx="16">
                  <c:v>7.8699290695435797</c:v>
                </c:pt>
                <c:pt idx="17">
                  <c:v>7.8119242450625856</c:v>
                </c:pt>
                <c:pt idx="18">
                  <c:v>7.5753427988701834</c:v>
                </c:pt>
                <c:pt idx="19">
                  <c:v>5.632799202129096</c:v>
                </c:pt>
                <c:pt idx="20">
                  <c:v>7.4989487984237257</c:v>
                </c:pt>
                <c:pt idx="21">
                  <c:v>7.0303697218668395</c:v>
                </c:pt>
                <c:pt idx="22">
                  <c:v>6.6798107959297592</c:v>
                </c:pt>
                <c:pt idx="23">
                  <c:v>6.5530222966302336</c:v>
                </c:pt>
                <c:pt idx="24">
                  <c:v>6.443323441554786</c:v>
                </c:pt>
                <c:pt idx="25">
                  <c:v>6.4163849687257626</c:v>
                </c:pt>
                <c:pt idx="30">
                  <c:v>6.2875695641628555</c:v>
                </c:pt>
                <c:pt idx="35">
                  <c:v>6.2240671920773503</c:v>
                </c:pt>
                <c:pt idx="40">
                  <c:v>6.1030725617091877</c:v>
                </c:pt>
                <c:pt idx="45">
                  <c:v>6.0196498668511706</c:v>
                </c:pt>
              </c:numCache>
            </c:numRef>
          </c:val>
          <c:extLst>
            <c:ext xmlns:c16="http://schemas.microsoft.com/office/drawing/2014/chart" uri="{C3380CC4-5D6E-409C-BE32-E72D297353CC}">
              <c16:uniqueId val="{00000003-4B87-417C-94EC-4560168CA742}"/>
            </c:ext>
          </c:extLst>
        </c:ser>
        <c:ser>
          <c:idx val="4"/>
          <c:order val="4"/>
          <c:tx>
            <c:strRef>
              <c:f>Blad1!$A$10</c:f>
              <c:strCache>
                <c:ptCount val="1"/>
                <c:pt idx="0">
                  <c:v>Agriculture</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Blad1!$B$10:$AU$10</c:f>
              <c:numCache>
                <c:formatCode>0.0</c:formatCode>
                <c:ptCount val="46"/>
                <c:pt idx="0">
                  <c:v>7.6148274144147781</c:v>
                </c:pt>
                <c:pt idx="1">
                  <c:v>7.3124362333230311</c:v>
                </c:pt>
                <c:pt idx="2">
                  <c:v>7.2390155472228965</c:v>
                </c:pt>
                <c:pt idx="3">
                  <c:v>7.6330471253940306</c:v>
                </c:pt>
                <c:pt idx="4">
                  <c:v>7.6992916677186534</c:v>
                </c:pt>
                <c:pt idx="5">
                  <c:v>7.9825129923936089</c:v>
                </c:pt>
                <c:pt idx="6">
                  <c:v>7.612831943938839</c:v>
                </c:pt>
                <c:pt idx="7">
                  <c:v>7.8735100726393918</c:v>
                </c:pt>
                <c:pt idx="8">
                  <c:v>7.6019325262504154</c:v>
                </c:pt>
                <c:pt idx="9">
                  <c:v>7.7187879855526882</c:v>
                </c:pt>
                <c:pt idx="10">
                  <c:v>7.8047449521881953</c:v>
                </c:pt>
                <c:pt idx="11">
                  <c:v>7.2602994427958594</c:v>
                </c:pt>
                <c:pt idx="12">
                  <c:v>7.3932579893715564</c:v>
                </c:pt>
                <c:pt idx="13">
                  <c:v>7.3997516515576773</c:v>
                </c:pt>
                <c:pt idx="14">
                  <c:v>7.091163876088582</c:v>
                </c:pt>
                <c:pt idx="15">
                  <c:v>7.0965729692006283</c:v>
                </c:pt>
                <c:pt idx="16">
                  <c:v>7.25209674859072</c:v>
                </c:pt>
                <c:pt idx="17">
                  <c:v>6.8691489851264684</c:v>
                </c:pt>
                <c:pt idx="18">
                  <c:v>6.9683640720521129</c:v>
                </c:pt>
                <c:pt idx="19">
                  <c:v>6.7157754380225061</c:v>
                </c:pt>
                <c:pt idx="20">
                  <c:v>6.7999798855278621</c:v>
                </c:pt>
                <c:pt idx="21">
                  <c:v>7.1713870582950694</c:v>
                </c:pt>
                <c:pt idx="22">
                  <c:v>6.6797476909414488</c:v>
                </c:pt>
                <c:pt idx="23">
                  <c:v>6.9003287941576605</c:v>
                </c:pt>
                <c:pt idx="24">
                  <c:v>6.975813545519328</c:v>
                </c:pt>
                <c:pt idx="25">
                  <c:v>6.8946668113070846</c:v>
                </c:pt>
                <c:pt idx="30">
                  <c:v>6.3543659007325628</c:v>
                </c:pt>
                <c:pt idx="35">
                  <c:v>6.1279826843148353</c:v>
                </c:pt>
                <c:pt idx="40">
                  <c:v>5.8817591635524025</c:v>
                </c:pt>
                <c:pt idx="45">
                  <c:v>5.4187694034425169</c:v>
                </c:pt>
              </c:numCache>
            </c:numRef>
          </c:val>
          <c:extLst>
            <c:ext xmlns:c16="http://schemas.microsoft.com/office/drawing/2014/chart" uri="{C3380CC4-5D6E-409C-BE32-E72D297353CC}">
              <c16:uniqueId val="{00000004-4B87-417C-94EC-4560168CA742}"/>
            </c:ext>
          </c:extLst>
        </c:ser>
        <c:ser>
          <c:idx val="5"/>
          <c:order val="5"/>
          <c:tx>
            <c:strRef>
              <c:f>Blad1!$A$11</c:f>
              <c:strCache>
                <c:ptCount val="1"/>
                <c:pt idx="0">
                  <c:v>Waste</c:v>
                </c:pt>
              </c:strCache>
            </c:strRef>
          </c:tx>
          <c:invertIfNegative val="0"/>
          <c:cat>
            <c:numRef>
              <c:f>Blad1!$B$5:$AU$5</c:f>
              <c:numCache>
                <c:formatCode>General</c:formatCode>
                <c:ptCount val="4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30">
                  <c:v>2020</c:v>
                </c:pt>
                <c:pt idx="35">
                  <c:v>2025</c:v>
                </c:pt>
                <c:pt idx="40">
                  <c:v>2030</c:v>
                </c:pt>
                <c:pt idx="45">
                  <c:v>2035</c:v>
                </c:pt>
              </c:numCache>
            </c:numRef>
          </c:cat>
          <c:val>
            <c:numRef>
              <c:f>Blad1!$B$11:$AU$11</c:f>
              <c:numCache>
                <c:formatCode>0.0</c:formatCode>
                <c:ptCount val="46"/>
                <c:pt idx="0">
                  <c:v>3.7395256999965465</c:v>
                </c:pt>
                <c:pt idx="1">
                  <c:v>3.8043645000840707</c:v>
                </c:pt>
                <c:pt idx="2">
                  <c:v>3.815704147143089</c:v>
                </c:pt>
                <c:pt idx="3">
                  <c:v>3.6942866766626938</c:v>
                </c:pt>
                <c:pt idx="4">
                  <c:v>3.5626048635591121</c:v>
                </c:pt>
                <c:pt idx="5">
                  <c:v>3.5559016983609943</c:v>
                </c:pt>
                <c:pt idx="6">
                  <c:v>3.5294649435786036</c:v>
                </c:pt>
                <c:pt idx="7">
                  <c:v>3.4950844673056269</c:v>
                </c:pt>
                <c:pt idx="8">
                  <c:v>3.4423467604937645</c:v>
                </c:pt>
                <c:pt idx="9">
                  <c:v>3.3116021562070297</c:v>
                </c:pt>
                <c:pt idx="10">
                  <c:v>3.2163325069719049</c:v>
                </c:pt>
                <c:pt idx="11">
                  <c:v>3.1663774065543202</c:v>
                </c:pt>
                <c:pt idx="12">
                  <c:v>2.993272978981274</c:v>
                </c:pt>
                <c:pt idx="13">
                  <c:v>2.8282381922624502</c:v>
                </c:pt>
                <c:pt idx="14">
                  <c:v>2.8080209906631644</c:v>
                </c:pt>
                <c:pt idx="15">
                  <c:v>2.6709012864796651</c:v>
                </c:pt>
                <c:pt idx="16">
                  <c:v>2.5820400919650295</c:v>
                </c:pt>
                <c:pt idx="17">
                  <c:v>2.4040104241514473</c:v>
                </c:pt>
                <c:pt idx="18">
                  <c:v>2.1734551368514183</c:v>
                </c:pt>
                <c:pt idx="19">
                  <c:v>2.0648420411980779</c:v>
                </c:pt>
                <c:pt idx="20">
                  <c:v>1.9379332928691366</c:v>
                </c:pt>
                <c:pt idx="21">
                  <c:v>1.8580204903751827</c:v>
                </c:pt>
                <c:pt idx="22">
                  <c:v>1.7193452016499913</c:v>
                </c:pt>
                <c:pt idx="23">
                  <c:v>1.6048735735781283</c:v>
                </c:pt>
                <c:pt idx="24">
                  <c:v>1.4908813669076075</c:v>
                </c:pt>
                <c:pt idx="25">
                  <c:v>1.4023445022480798</c:v>
                </c:pt>
                <c:pt idx="30">
                  <c:v>1.0576967843212179</c:v>
                </c:pt>
                <c:pt idx="35">
                  <c:v>0.85325221339280299</c:v>
                </c:pt>
                <c:pt idx="40">
                  <c:v>0.72325640224531029</c:v>
                </c:pt>
                <c:pt idx="45">
                  <c:v>0.63098316556332112</c:v>
                </c:pt>
              </c:numCache>
            </c:numRef>
          </c:val>
          <c:extLst>
            <c:ext xmlns:c16="http://schemas.microsoft.com/office/drawing/2014/chart" uri="{C3380CC4-5D6E-409C-BE32-E72D297353CC}">
              <c16:uniqueId val="{00000005-4B87-417C-94EC-4560168CA742}"/>
            </c:ext>
          </c:extLst>
        </c:ser>
        <c:dLbls>
          <c:showLegendKey val="0"/>
          <c:showVal val="0"/>
          <c:showCatName val="0"/>
          <c:showSerName val="0"/>
          <c:showPercent val="0"/>
          <c:showBubbleSize val="0"/>
        </c:dLbls>
        <c:gapWidth val="150"/>
        <c:overlap val="100"/>
        <c:axId val="521966720"/>
        <c:axId val="521968256"/>
      </c:barChart>
      <c:catAx>
        <c:axId val="521966720"/>
        <c:scaling>
          <c:orientation val="minMax"/>
        </c:scaling>
        <c:delete val="0"/>
        <c:axPos val="b"/>
        <c:numFmt formatCode="General" sourceLinked="1"/>
        <c:majorTickMark val="out"/>
        <c:minorTickMark val="none"/>
        <c:tickLblPos val="low"/>
        <c:txPr>
          <a:bodyPr rot="-5400000" vert="horz"/>
          <a:lstStyle/>
          <a:p>
            <a:pPr>
              <a:defRPr sz="900" baseline="0"/>
            </a:pPr>
            <a:endParaRPr lang="sv-SE"/>
          </a:p>
        </c:txPr>
        <c:crossAx val="521968256"/>
        <c:crosses val="autoZero"/>
        <c:auto val="1"/>
        <c:lblAlgn val="ctr"/>
        <c:lblOffset val="100"/>
        <c:noMultiLvlLbl val="0"/>
      </c:catAx>
      <c:valAx>
        <c:axId val="521968256"/>
        <c:scaling>
          <c:orientation val="minMax"/>
        </c:scaling>
        <c:delete val="0"/>
        <c:axPos val="l"/>
        <c:majorGridlines/>
        <c:title>
          <c:tx>
            <c:rich>
              <a:bodyPr rot="-5400000" vert="horz"/>
              <a:lstStyle/>
              <a:p>
                <a:pPr>
                  <a:defRPr sz="900" b="0"/>
                </a:pPr>
                <a:r>
                  <a:rPr lang="sv-SE" sz="900" b="0"/>
                  <a:t>Mt CO</a:t>
                </a:r>
                <a:r>
                  <a:rPr lang="sv-SE" sz="900" b="0" baseline="-25000"/>
                  <a:t>2</a:t>
                </a:r>
                <a:r>
                  <a:rPr lang="sv-SE" sz="900" b="0"/>
                  <a:t>-eq.</a:t>
                </a:r>
              </a:p>
            </c:rich>
          </c:tx>
          <c:overlay val="0"/>
        </c:title>
        <c:numFmt formatCode="0" sourceLinked="0"/>
        <c:majorTickMark val="out"/>
        <c:minorTickMark val="none"/>
        <c:tickLblPos val="nextTo"/>
        <c:txPr>
          <a:bodyPr/>
          <a:lstStyle/>
          <a:p>
            <a:pPr>
              <a:defRPr sz="900" baseline="0"/>
            </a:pPr>
            <a:endParaRPr lang="sv-SE"/>
          </a:p>
        </c:txPr>
        <c:crossAx val="521966720"/>
        <c:crosses val="autoZero"/>
        <c:crossBetween val="between"/>
      </c:valAx>
    </c:plotArea>
    <c:legend>
      <c:legendPos val="b"/>
      <c:overlay val="0"/>
      <c:txPr>
        <a:bodyPr/>
        <a:lstStyle/>
        <a:p>
          <a:pPr>
            <a:defRPr sz="900" baseline="0"/>
          </a:pPr>
          <a:endParaRPr lang="sv-SE"/>
        </a:p>
      </c:txPr>
    </c:legend>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450290102343517"/>
          <c:y val="5.1400554097404488E-2"/>
          <c:w val="0.59809571107782433"/>
          <c:h val="0.78278032954214061"/>
        </c:manualLayout>
      </c:layout>
      <c:areaChart>
        <c:grouping val="stacked"/>
        <c:varyColors val="0"/>
        <c:ser>
          <c:idx val="0"/>
          <c:order val="1"/>
          <c:tx>
            <c:strRef>
              <c:f>Nuläget!$A$193</c:f>
              <c:strCache>
                <c:ptCount val="1"/>
                <c:pt idx="0">
                  <c:v>Biofuels</c:v>
                </c:pt>
              </c:strCache>
            </c:strRef>
          </c:tx>
          <c:spPr>
            <a:solidFill>
              <a:schemeClr val="accent3"/>
            </a:solidFill>
            <a:ln>
              <a:solidFill>
                <a:schemeClr val="accent3"/>
              </a:solidFill>
            </a:ln>
          </c:spPr>
          <c:cat>
            <c:numRef>
              <c:f>Nuläget!$C$191:$M$191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Nuläget!$C$192:$M$192</c:f>
              <c:numCache>
                <c:formatCode>0</c:formatCode>
                <c:ptCount val="11"/>
                <c:pt idx="0">
                  <c:v>91.746160583333321</c:v>
                </c:pt>
                <c:pt idx="1">
                  <c:v>97.292702752777785</c:v>
                </c:pt>
                <c:pt idx="2">
                  <c:v>102.48442425555557</c:v>
                </c:pt>
                <c:pt idx="3">
                  <c:v>103.16365076666666</c:v>
                </c:pt>
                <c:pt idx="4">
                  <c:v>106.54503503058891</c:v>
                </c:pt>
                <c:pt idx="5">
                  <c:v>116.4886385802111</c:v>
                </c:pt>
                <c:pt idx="6">
                  <c:v>109.31452215487127</c:v>
                </c:pt>
                <c:pt idx="7">
                  <c:v>118.05246310241222</c:v>
                </c:pt>
                <c:pt idx="8">
                  <c:v>116.51867301999525</c:v>
                </c:pt>
                <c:pt idx="9">
                  <c:v>116.2044511751956</c:v>
                </c:pt>
                <c:pt idx="10">
                  <c:v>121.80912235504539</c:v>
                </c:pt>
              </c:numCache>
            </c:numRef>
          </c:val>
          <c:extLst>
            <c:ext xmlns:c16="http://schemas.microsoft.com/office/drawing/2014/chart" uri="{C3380CC4-5D6E-409C-BE32-E72D297353CC}">
              <c16:uniqueId val="{00000000-1C95-4FF5-A880-D33D93142E3C}"/>
            </c:ext>
          </c:extLst>
        </c:ser>
        <c:ser>
          <c:idx val="2"/>
          <c:order val="2"/>
          <c:tx>
            <c:strRef>
              <c:f>Nuläget!$A$195</c:f>
              <c:strCache>
                <c:ptCount val="1"/>
                <c:pt idx="0">
                  <c:v>Hydro power</c:v>
                </c:pt>
              </c:strCache>
            </c:strRef>
          </c:tx>
          <c:spPr>
            <a:solidFill>
              <a:schemeClr val="accent1"/>
            </a:solidFill>
            <a:ln>
              <a:solidFill>
                <a:schemeClr val="accent1"/>
              </a:solidFill>
            </a:ln>
          </c:spPr>
          <c:cat>
            <c:numRef>
              <c:f>Nuläget!$C$191:$M$191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Nuläget!$C$194:$M$194</c:f>
              <c:numCache>
                <c:formatCode>0</c:formatCode>
                <c:ptCount val="11"/>
                <c:pt idx="0">
                  <c:v>68.420923700524966</c:v>
                </c:pt>
                <c:pt idx="1">
                  <c:v>67.943607452239533</c:v>
                </c:pt>
                <c:pt idx="2">
                  <c:v>68.720474255147607</c:v>
                </c:pt>
                <c:pt idx="3">
                  <c:v>67.202212572290705</c:v>
                </c:pt>
                <c:pt idx="4">
                  <c:v>68.325708472723363</c:v>
                </c:pt>
                <c:pt idx="5">
                  <c:v>68.282929520130963</c:v>
                </c:pt>
                <c:pt idx="6">
                  <c:v>68.509347505003888</c:v>
                </c:pt>
                <c:pt idx="7">
                  <c:v>68.505802514709572</c:v>
                </c:pt>
                <c:pt idx="8">
                  <c:v>67.862575100349986</c:v>
                </c:pt>
                <c:pt idx="9">
                  <c:v>65.428315812225748</c:v>
                </c:pt>
                <c:pt idx="10">
                  <c:v>66.668365560678794</c:v>
                </c:pt>
              </c:numCache>
            </c:numRef>
          </c:val>
          <c:extLst>
            <c:ext xmlns:c16="http://schemas.microsoft.com/office/drawing/2014/chart" uri="{C3380CC4-5D6E-409C-BE32-E72D297353CC}">
              <c16:uniqueId val="{00000001-1C95-4FF5-A880-D33D93142E3C}"/>
            </c:ext>
          </c:extLst>
        </c:ser>
        <c:ser>
          <c:idx val="4"/>
          <c:order val="3"/>
          <c:tx>
            <c:strRef>
              <c:f>Nuläget!$A$197</c:f>
              <c:strCache>
                <c:ptCount val="1"/>
                <c:pt idx="0">
                  <c:v>Wind power</c:v>
                </c:pt>
              </c:strCache>
            </c:strRef>
          </c:tx>
          <c:spPr>
            <a:solidFill>
              <a:schemeClr val="accent5">
                <a:lumMod val="40000"/>
                <a:lumOff val="60000"/>
              </a:schemeClr>
            </a:solidFill>
            <a:ln>
              <a:solidFill>
                <a:schemeClr val="accent5">
                  <a:lumMod val="40000"/>
                  <a:lumOff val="60000"/>
                </a:schemeClr>
              </a:solidFill>
            </a:ln>
          </c:spPr>
          <c:cat>
            <c:numRef>
              <c:f>Nuläget!$C$191:$M$191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Nuläget!$C$196:$M$196</c:f>
              <c:numCache>
                <c:formatCode>0</c:formatCode>
                <c:ptCount val="11"/>
                <c:pt idx="0">
                  <c:v>0.90600728155339827</c:v>
                </c:pt>
                <c:pt idx="1">
                  <c:v>0.97235699026821754</c:v>
                </c:pt>
                <c:pt idx="2">
                  <c:v>1.2503304783789431</c:v>
                </c:pt>
                <c:pt idx="3">
                  <c:v>1.7006797479747973</c:v>
                </c:pt>
                <c:pt idx="4">
                  <c:v>2.5438570198105079</c:v>
                </c:pt>
                <c:pt idx="5">
                  <c:v>3.8002529510961218</c:v>
                </c:pt>
                <c:pt idx="6">
                  <c:v>5.5906314916710631</c:v>
                </c:pt>
                <c:pt idx="7">
                  <c:v>7.3484810772655695</c:v>
                </c:pt>
                <c:pt idx="8">
                  <c:v>9.1840395237709576</c:v>
                </c:pt>
                <c:pt idx="9">
                  <c:v>11.07697604261892</c:v>
                </c:pt>
                <c:pt idx="10">
                  <c:v>14.116551909779808</c:v>
                </c:pt>
              </c:numCache>
            </c:numRef>
          </c:val>
          <c:extLst>
            <c:ext xmlns:c16="http://schemas.microsoft.com/office/drawing/2014/chart" uri="{C3380CC4-5D6E-409C-BE32-E72D297353CC}">
              <c16:uniqueId val="{00000002-1C95-4FF5-A880-D33D93142E3C}"/>
            </c:ext>
          </c:extLst>
        </c:ser>
        <c:ser>
          <c:idx val="6"/>
          <c:order val="4"/>
          <c:tx>
            <c:strRef>
              <c:f>Nuläget!$A$199</c:f>
              <c:strCache>
                <c:ptCount val="1"/>
                <c:pt idx="0">
                  <c:v>Heat pumps</c:v>
                </c:pt>
              </c:strCache>
            </c:strRef>
          </c:tx>
          <c:spPr>
            <a:solidFill>
              <a:schemeClr val="accent6"/>
            </a:solidFill>
            <a:ln>
              <a:solidFill>
                <a:schemeClr val="accent6"/>
              </a:solidFill>
            </a:ln>
          </c:spPr>
          <c:cat>
            <c:numRef>
              <c:f>Nuläget!$C$191:$M$191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Nuläget!$C$198:$M$198</c:f>
              <c:numCache>
                <c:formatCode>0</c:formatCode>
                <c:ptCount val="11"/>
                <c:pt idx="0">
                  <c:v>6.814249600000001</c:v>
                </c:pt>
                <c:pt idx="1">
                  <c:v>8.0525344666666676</c:v>
                </c:pt>
                <c:pt idx="2">
                  <c:v>9.1429632666666674</c:v>
                </c:pt>
                <c:pt idx="3">
                  <c:v>9.7983525333333343</c:v>
                </c:pt>
                <c:pt idx="4">
                  <c:v>10.66858666666667</c:v>
                </c:pt>
                <c:pt idx="5">
                  <c:v>10.677115333333337</c:v>
                </c:pt>
                <c:pt idx="6">
                  <c:v>13.529028267301586</c:v>
                </c:pt>
                <c:pt idx="7">
                  <c:v>14.161407227936511</c:v>
                </c:pt>
                <c:pt idx="8">
                  <c:v>14.247181571758732</c:v>
                </c:pt>
                <c:pt idx="9">
                  <c:v>14.101668295238099</c:v>
                </c:pt>
                <c:pt idx="10">
                  <c:v>13.910757184126988</c:v>
                </c:pt>
              </c:numCache>
            </c:numRef>
          </c:val>
          <c:extLst>
            <c:ext xmlns:c16="http://schemas.microsoft.com/office/drawing/2014/chart" uri="{C3380CC4-5D6E-409C-BE32-E72D297353CC}">
              <c16:uniqueId val="{00000003-1C95-4FF5-A880-D33D93142E3C}"/>
            </c:ext>
          </c:extLst>
        </c:ser>
        <c:ser>
          <c:idx val="8"/>
          <c:order val="5"/>
          <c:tx>
            <c:strRef>
              <c:f>Nuläget!$A$201</c:f>
              <c:strCache>
                <c:ptCount val="1"/>
                <c:pt idx="0">
                  <c:v>Solar power</c:v>
                </c:pt>
              </c:strCache>
            </c:strRef>
          </c:tx>
          <c:spPr>
            <a:solidFill>
              <a:srgbClr val="FF0000"/>
            </a:solidFill>
            <a:ln>
              <a:solidFill>
                <a:srgbClr val="FF0000"/>
              </a:solidFill>
            </a:ln>
          </c:spPr>
          <c:cat>
            <c:numRef>
              <c:f>Nuläget!$C$191:$M$191</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Nuläget!$C$200:$M$200</c:f>
              <c:numCache>
                <c:formatCode>0.0</c:formatCode>
                <c:ptCount val="11"/>
                <c:pt idx="0">
                  <c:v>7.0738111111111113E-2</c:v>
                </c:pt>
                <c:pt idx="1">
                  <c:v>6.9374444444444447E-2</c:v>
                </c:pt>
                <c:pt idx="2">
                  <c:v>0.10313899999999999</c:v>
                </c:pt>
                <c:pt idx="3">
                  <c:v>0.11399999999999999</c:v>
                </c:pt>
                <c:pt idx="4">
                  <c:v>0.122</c:v>
                </c:pt>
                <c:pt idx="5">
                  <c:v>0.12860000000000002</c:v>
                </c:pt>
                <c:pt idx="6">
                  <c:v>0.13905555555555557</c:v>
                </c:pt>
                <c:pt idx="7">
                  <c:v>0.1478888888888889</c:v>
                </c:pt>
                <c:pt idx="8">
                  <c:v>0.16500000000000001</c:v>
                </c:pt>
                <c:pt idx="9">
                  <c:v>0.17699999999999999</c:v>
                </c:pt>
                <c:pt idx="10">
                  <c:v>0.22811111111111113</c:v>
                </c:pt>
              </c:numCache>
            </c:numRef>
          </c:val>
          <c:extLst>
            <c:ext xmlns:c16="http://schemas.microsoft.com/office/drawing/2014/chart" uri="{C3380CC4-5D6E-409C-BE32-E72D297353CC}">
              <c16:uniqueId val="{00000004-1C95-4FF5-A880-D33D93142E3C}"/>
            </c:ext>
          </c:extLst>
        </c:ser>
        <c:dLbls>
          <c:showLegendKey val="0"/>
          <c:showVal val="0"/>
          <c:showCatName val="0"/>
          <c:showSerName val="0"/>
          <c:showPercent val="0"/>
          <c:showBubbleSize val="0"/>
        </c:dLbls>
        <c:axId val="99181312"/>
        <c:axId val="99182848"/>
      </c:areaChart>
      <c:lineChart>
        <c:grouping val="standard"/>
        <c:varyColors val="0"/>
        <c:ser>
          <c:idx val="1"/>
          <c:order val="0"/>
          <c:tx>
            <c:strRef>
              <c:f>Nuläget!$A$210</c:f>
              <c:strCache>
                <c:ptCount val="1"/>
                <c:pt idx="0">
                  <c:v>Total energy use</c:v>
                </c:pt>
              </c:strCache>
            </c:strRef>
          </c:tx>
          <c:spPr>
            <a:ln>
              <a:solidFill>
                <a:sysClr val="windowText" lastClr="000000"/>
              </a:solidFill>
            </a:ln>
          </c:spPr>
          <c:marker>
            <c:symbol val="none"/>
          </c:marker>
          <c:cat>
            <c:numRef>
              <c:f>Nuläget!$C$191:$L$191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Nuläget!$C$209:$M$209</c:f>
              <c:numCache>
                <c:formatCode>0</c:formatCode>
                <c:ptCount val="11"/>
                <c:pt idx="0">
                  <c:v>413.89756823888888</c:v>
                </c:pt>
                <c:pt idx="1">
                  <c:v>408.69561494166669</c:v>
                </c:pt>
                <c:pt idx="2">
                  <c:v>411.26896007777788</c:v>
                </c:pt>
                <c:pt idx="3">
                  <c:v>401.95829352222228</c:v>
                </c:pt>
                <c:pt idx="4">
                  <c:v>390.50954503058892</c:v>
                </c:pt>
                <c:pt idx="5">
                  <c:v>422.11188758021109</c:v>
                </c:pt>
                <c:pt idx="6">
                  <c:v>404.65037981259906</c:v>
                </c:pt>
                <c:pt idx="7">
                  <c:v>406.49331477479325</c:v>
                </c:pt>
                <c:pt idx="8">
                  <c:v>396.9456783834404</c:v>
                </c:pt>
                <c:pt idx="9">
                  <c:v>389.23733284579669</c:v>
                </c:pt>
                <c:pt idx="10">
                  <c:v>394.40962398361683</c:v>
                </c:pt>
              </c:numCache>
            </c:numRef>
          </c:val>
          <c:smooth val="0"/>
          <c:extLst>
            <c:ext xmlns:c16="http://schemas.microsoft.com/office/drawing/2014/chart" uri="{C3380CC4-5D6E-409C-BE32-E72D297353CC}">
              <c16:uniqueId val="{00000005-1C95-4FF5-A880-D33D93142E3C}"/>
            </c:ext>
          </c:extLst>
        </c:ser>
        <c:dLbls>
          <c:showLegendKey val="0"/>
          <c:showVal val="0"/>
          <c:showCatName val="0"/>
          <c:showSerName val="0"/>
          <c:showPercent val="0"/>
          <c:showBubbleSize val="0"/>
        </c:dLbls>
        <c:marker val="1"/>
        <c:smooth val="0"/>
        <c:axId val="99181312"/>
        <c:axId val="99182848"/>
      </c:lineChart>
      <c:catAx>
        <c:axId val="99181312"/>
        <c:scaling>
          <c:orientation val="minMax"/>
        </c:scaling>
        <c:delete val="0"/>
        <c:axPos val="b"/>
        <c:numFmt formatCode="General" sourceLinked="1"/>
        <c:majorTickMark val="out"/>
        <c:minorTickMark val="none"/>
        <c:tickLblPos val="nextTo"/>
        <c:txPr>
          <a:bodyPr rot="-2700000"/>
          <a:lstStyle/>
          <a:p>
            <a:pPr>
              <a:defRPr/>
            </a:pPr>
            <a:endParaRPr lang="sv-SE"/>
          </a:p>
        </c:txPr>
        <c:crossAx val="99182848"/>
        <c:crosses val="autoZero"/>
        <c:auto val="1"/>
        <c:lblAlgn val="ctr"/>
        <c:lblOffset val="100"/>
        <c:noMultiLvlLbl val="0"/>
      </c:catAx>
      <c:valAx>
        <c:axId val="99182848"/>
        <c:scaling>
          <c:orientation val="minMax"/>
        </c:scaling>
        <c:delete val="0"/>
        <c:axPos val="l"/>
        <c:majorGridlines/>
        <c:title>
          <c:tx>
            <c:rich>
              <a:bodyPr/>
              <a:lstStyle/>
              <a:p>
                <a:pPr>
                  <a:defRPr b="0"/>
                </a:pPr>
                <a:r>
                  <a:rPr lang="en-US" b="0"/>
                  <a:t>TWh</a:t>
                </a:r>
              </a:p>
            </c:rich>
          </c:tx>
          <c:layout>
            <c:manualLayout>
              <c:xMode val="edge"/>
              <c:yMode val="edge"/>
              <c:x val="1.7104957505947566E-2"/>
              <c:y val="0.38096006513391695"/>
            </c:manualLayout>
          </c:layout>
          <c:overlay val="0"/>
        </c:title>
        <c:numFmt formatCode="0" sourceLinked="1"/>
        <c:majorTickMark val="out"/>
        <c:minorTickMark val="none"/>
        <c:tickLblPos val="nextTo"/>
        <c:crossAx val="99181312"/>
        <c:crosses val="autoZero"/>
        <c:crossBetween val="midCat"/>
      </c:valAx>
    </c:plotArea>
    <c:legend>
      <c:legendPos val="r"/>
      <c:layout>
        <c:manualLayout>
          <c:xMode val="edge"/>
          <c:yMode val="edge"/>
          <c:x val="0.73485304884727798"/>
          <c:y val="0.16431902306055085"/>
          <c:w val="0.25002414115151128"/>
          <c:h val="0.69227698483643785"/>
        </c:manualLayout>
      </c:layout>
      <c:overlay val="0"/>
    </c:legend>
    <c:plotVisOnly val="1"/>
    <c:dispBlanksAs val="zero"/>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sv-SE"/>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607174103237096E-2"/>
          <c:y val="5.1400554097404488E-2"/>
          <c:w val="0.5934689413823272"/>
          <c:h val="0.78278032954214061"/>
        </c:manualLayout>
      </c:layout>
      <c:areaChart>
        <c:grouping val="stacked"/>
        <c:varyColors val="0"/>
        <c:ser>
          <c:idx val="4"/>
          <c:order val="0"/>
          <c:tx>
            <c:strRef>
              <c:f>Nuläget!$A$219</c:f>
              <c:strCache>
                <c:ptCount val="1"/>
                <c:pt idx="0">
                  <c:v>Industry</c:v>
                </c:pt>
              </c:strCache>
            </c:strRef>
          </c:tx>
          <c:spPr>
            <a:solidFill>
              <a:schemeClr val="accent3"/>
            </a:solidFill>
          </c:spPr>
          <c:cat>
            <c:numRef>
              <c:f>Nuläget!$C$213:$M$213</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Nuläget!$C$218:$M$218</c:f>
              <c:numCache>
                <c:formatCode>0</c:formatCode>
                <c:ptCount val="11"/>
                <c:pt idx="0">
                  <c:v>41.29805555555555</c:v>
                </c:pt>
                <c:pt idx="1">
                  <c:v>45.643888888888888</c:v>
                </c:pt>
                <c:pt idx="2">
                  <c:v>47.472499999999997</c:v>
                </c:pt>
                <c:pt idx="3">
                  <c:v>44.93</c:v>
                </c:pt>
                <c:pt idx="4">
                  <c:v>46.820555555555558</c:v>
                </c:pt>
                <c:pt idx="5">
                  <c:v>49.206388888888888</c:v>
                </c:pt>
                <c:pt idx="6">
                  <c:v>47.434166666666663</c:v>
                </c:pt>
                <c:pt idx="7">
                  <c:v>46.909166666666664</c:v>
                </c:pt>
                <c:pt idx="8">
                  <c:v>48.531388888888891</c:v>
                </c:pt>
                <c:pt idx="9">
                  <c:v>47.740277777777777</c:v>
                </c:pt>
                <c:pt idx="10">
                  <c:v>49.787222222222219</c:v>
                </c:pt>
              </c:numCache>
            </c:numRef>
          </c:val>
          <c:extLst>
            <c:ext xmlns:c16="http://schemas.microsoft.com/office/drawing/2014/chart" uri="{C3380CC4-5D6E-409C-BE32-E72D297353CC}">
              <c16:uniqueId val="{00000000-DFCF-4124-B7A5-45FD0AFF100C}"/>
            </c:ext>
          </c:extLst>
        </c:ser>
        <c:ser>
          <c:idx val="2"/>
          <c:order val="1"/>
          <c:tx>
            <c:strRef>
              <c:f>Nuläget!$A$217</c:f>
              <c:strCache>
                <c:ptCount val="1"/>
                <c:pt idx="0">
                  <c:v>District heat generation</c:v>
                </c:pt>
              </c:strCache>
            </c:strRef>
          </c:tx>
          <c:spPr>
            <a:solidFill>
              <a:schemeClr val="accent2">
                <a:lumMod val="75000"/>
              </a:schemeClr>
            </a:solidFill>
          </c:spPr>
          <c:cat>
            <c:numRef>
              <c:f>Nuläget!$C$213:$M$213</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Nuläget!$C$216:$M$216</c:f>
              <c:numCache>
                <c:formatCode>0</c:formatCode>
                <c:ptCount val="11"/>
                <c:pt idx="0">
                  <c:v>29.130277777777778</c:v>
                </c:pt>
                <c:pt idx="1">
                  <c:v>29.56527777777778</c:v>
                </c:pt>
                <c:pt idx="2">
                  <c:v>30.455277777777773</c:v>
                </c:pt>
                <c:pt idx="3">
                  <c:v>31.492222222222221</c:v>
                </c:pt>
                <c:pt idx="4">
                  <c:v>31.50138888888889</c:v>
                </c:pt>
                <c:pt idx="5">
                  <c:v>37.926666666666662</c:v>
                </c:pt>
                <c:pt idx="6">
                  <c:v>28.804166666666664</c:v>
                </c:pt>
                <c:pt idx="7">
                  <c:v>34.310555555555553</c:v>
                </c:pt>
                <c:pt idx="8">
                  <c:v>33.79</c:v>
                </c:pt>
                <c:pt idx="9">
                  <c:v>33.296111111111109</c:v>
                </c:pt>
                <c:pt idx="10">
                  <c:v>34.398888888888891</c:v>
                </c:pt>
              </c:numCache>
            </c:numRef>
          </c:val>
          <c:extLst>
            <c:ext xmlns:c16="http://schemas.microsoft.com/office/drawing/2014/chart" uri="{C3380CC4-5D6E-409C-BE32-E72D297353CC}">
              <c16:uniqueId val="{00000001-DFCF-4124-B7A5-45FD0AFF100C}"/>
            </c:ext>
          </c:extLst>
        </c:ser>
        <c:ser>
          <c:idx val="8"/>
          <c:order val="2"/>
          <c:tx>
            <c:strRef>
              <c:f>Nuläget!$A$223</c:f>
              <c:strCache>
                <c:ptCount val="1"/>
                <c:pt idx="0">
                  <c:v>Transports</c:v>
                </c:pt>
              </c:strCache>
            </c:strRef>
          </c:tx>
          <c:spPr>
            <a:solidFill>
              <a:schemeClr val="accent6">
                <a:lumMod val="75000"/>
              </a:schemeClr>
            </a:solidFill>
          </c:spPr>
          <c:cat>
            <c:numRef>
              <c:f>Nuläget!$C$213:$M$213</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Nuläget!$C$222:$M$222</c:f>
              <c:numCache>
                <c:formatCode>0</c:formatCode>
                <c:ptCount val="11"/>
                <c:pt idx="0">
                  <c:v>1.9335728055555552</c:v>
                </c:pt>
                <c:pt idx="1">
                  <c:v>2.7196218638888885</c:v>
                </c:pt>
                <c:pt idx="2">
                  <c:v>3.5910912555555554</c:v>
                </c:pt>
                <c:pt idx="3">
                  <c:v>4.327024322222222</c:v>
                </c:pt>
                <c:pt idx="4">
                  <c:v>4.5974028083666658</c:v>
                </c:pt>
                <c:pt idx="5">
                  <c:v>4.9990722468777777</c:v>
                </c:pt>
                <c:pt idx="6">
                  <c:v>5.4413554882045796</c:v>
                </c:pt>
                <c:pt idx="7">
                  <c:v>7.3226297690789117</c:v>
                </c:pt>
                <c:pt idx="8">
                  <c:v>9.6635063533285663</c:v>
                </c:pt>
                <c:pt idx="9">
                  <c:v>11.469395619640038</c:v>
                </c:pt>
                <c:pt idx="10">
                  <c:v>13.691566799489822</c:v>
                </c:pt>
              </c:numCache>
            </c:numRef>
          </c:val>
          <c:extLst>
            <c:ext xmlns:c16="http://schemas.microsoft.com/office/drawing/2014/chart" uri="{C3380CC4-5D6E-409C-BE32-E72D297353CC}">
              <c16:uniqueId val="{00000002-DFCF-4124-B7A5-45FD0AFF100C}"/>
            </c:ext>
          </c:extLst>
        </c:ser>
        <c:ser>
          <c:idx val="6"/>
          <c:order val="3"/>
          <c:tx>
            <c:strRef>
              <c:f>Nuläget!$A$221</c:f>
              <c:strCache>
                <c:ptCount val="1"/>
                <c:pt idx="0">
                  <c:v>Residential, services etc.</c:v>
                </c:pt>
              </c:strCache>
            </c:strRef>
          </c:tx>
          <c:spPr>
            <a:solidFill>
              <a:schemeClr val="tx2">
                <a:lumMod val="60000"/>
                <a:lumOff val="40000"/>
              </a:schemeClr>
            </a:solidFill>
          </c:spPr>
          <c:cat>
            <c:numRef>
              <c:f>Nuläget!$C$213:$M$213</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Nuläget!$C$220:$M$220</c:f>
              <c:numCache>
                <c:formatCode>0</c:formatCode>
                <c:ptCount val="11"/>
                <c:pt idx="0">
                  <c:v>11.894444444444442</c:v>
                </c:pt>
                <c:pt idx="1">
                  <c:v>11.00472222222222</c:v>
                </c:pt>
                <c:pt idx="2">
                  <c:v>11.129722222222224</c:v>
                </c:pt>
                <c:pt idx="3">
                  <c:v>12.077222222222224</c:v>
                </c:pt>
                <c:pt idx="4">
                  <c:v>12.165277777777776</c:v>
                </c:pt>
                <c:pt idx="5">
                  <c:v>12.165277777777776</c:v>
                </c:pt>
                <c:pt idx="6">
                  <c:v>16.100833333333334</c:v>
                </c:pt>
                <c:pt idx="7">
                  <c:v>17.321111111111104</c:v>
                </c:pt>
                <c:pt idx="8">
                  <c:v>13.202777777777772</c:v>
                </c:pt>
                <c:pt idx="9">
                  <c:v>13.051666666666664</c:v>
                </c:pt>
                <c:pt idx="10">
                  <c:v>13.194444444444439</c:v>
                </c:pt>
              </c:numCache>
            </c:numRef>
          </c:val>
          <c:extLst>
            <c:ext xmlns:c16="http://schemas.microsoft.com/office/drawing/2014/chart" uri="{C3380CC4-5D6E-409C-BE32-E72D297353CC}">
              <c16:uniqueId val="{00000003-DFCF-4124-B7A5-45FD0AFF100C}"/>
            </c:ext>
          </c:extLst>
        </c:ser>
        <c:ser>
          <c:idx val="0"/>
          <c:order val="4"/>
          <c:tx>
            <c:strRef>
              <c:f>Nuläget!$A$215</c:f>
              <c:strCache>
                <c:ptCount val="1"/>
                <c:pt idx="0">
                  <c:v>Electricity generation</c:v>
                </c:pt>
              </c:strCache>
            </c:strRef>
          </c:tx>
          <c:cat>
            <c:numRef>
              <c:f>Nuläget!$C$213:$M$213</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Nuläget!$C$214:$M$214</c:f>
              <c:numCache>
                <c:formatCode>0</c:formatCode>
                <c:ptCount val="11"/>
                <c:pt idx="0">
                  <c:v>7.4898099999999843</c:v>
                </c:pt>
                <c:pt idx="1">
                  <c:v>8.3591920000000073</c:v>
                </c:pt>
                <c:pt idx="2">
                  <c:v>9.8358330000000027</c:v>
                </c:pt>
                <c:pt idx="3">
                  <c:v>10.337181999999993</c:v>
                </c:pt>
                <c:pt idx="4">
                  <c:v>11.46041000000001</c:v>
                </c:pt>
                <c:pt idx="5">
                  <c:v>12.191232999999993</c:v>
                </c:pt>
                <c:pt idx="6">
                  <c:v>11.534000000000004</c:v>
                </c:pt>
                <c:pt idx="7">
                  <c:v>12.188999999999995</c:v>
                </c:pt>
                <c:pt idx="8">
                  <c:v>11.331000000000001</c:v>
                </c:pt>
                <c:pt idx="9">
                  <c:v>10.646999999999997</c:v>
                </c:pt>
                <c:pt idx="10">
                  <c:v>10.737000000000002</c:v>
                </c:pt>
              </c:numCache>
            </c:numRef>
          </c:val>
          <c:extLst>
            <c:ext xmlns:c16="http://schemas.microsoft.com/office/drawing/2014/chart" uri="{C3380CC4-5D6E-409C-BE32-E72D297353CC}">
              <c16:uniqueId val="{00000004-DFCF-4124-B7A5-45FD0AFF100C}"/>
            </c:ext>
          </c:extLst>
        </c:ser>
        <c:dLbls>
          <c:showLegendKey val="0"/>
          <c:showVal val="0"/>
          <c:showCatName val="0"/>
          <c:showSerName val="0"/>
          <c:showPercent val="0"/>
          <c:showBubbleSize val="0"/>
        </c:dLbls>
        <c:axId val="99218560"/>
        <c:axId val="99220096"/>
      </c:areaChart>
      <c:catAx>
        <c:axId val="99218560"/>
        <c:scaling>
          <c:orientation val="minMax"/>
        </c:scaling>
        <c:delete val="0"/>
        <c:axPos val="b"/>
        <c:numFmt formatCode="General" sourceLinked="1"/>
        <c:majorTickMark val="out"/>
        <c:minorTickMark val="none"/>
        <c:tickLblPos val="nextTo"/>
        <c:txPr>
          <a:bodyPr rot="-2700000"/>
          <a:lstStyle/>
          <a:p>
            <a:pPr>
              <a:defRPr/>
            </a:pPr>
            <a:endParaRPr lang="sv-SE"/>
          </a:p>
        </c:txPr>
        <c:crossAx val="99220096"/>
        <c:crosses val="autoZero"/>
        <c:auto val="1"/>
        <c:lblAlgn val="ctr"/>
        <c:lblOffset val="100"/>
        <c:noMultiLvlLbl val="0"/>
      </c:catAx>
      <c:valAx>
        <c:axId val="99220096"/>
        <c:scaling>
          <c:orientation val="minMax"/>
        </c:scaling>
        <c:delete val="0"/>
        <c:axPos val="l"/>
        <c:majorGridlines/>
        <c:title>
          <c:tx>
            <c:rich>
              <a:bodyPr/>
              <a:lstStyle/>
              <a:p>
                <a:pPr>
                  <a:defRPr b="0"/>
                </a:pPr>
                <a:r>
                  <a:rPr lang="en-US" b="0"/>
                  <a:t>TWh</a:t>
                </a:r>
              </a:p>
            </c:rich>
          </c:tx>
          <c:overlay val="0"/>
        </c:title>
        <c:numFmt formatCode="0" sourceLinked="1"/>
        <c:majorTickMark val="out"/>
        <c:minorTickMark val="none"/>
        <c:tickLblPos val="nextTo"/>
        <c:crossAx val="99218560"/>
        <c:crosses val="autoZero"/>
        <c:crossBetween val="midCat"/>
      </c:valAx>
    </c:plotArea>
    <c:legend>
      <c:legendPos val="r"/>
      <c:layout>
        <c:manualLayout>
          <c:xMode val="edge"/>
          <c:yMode val="edge"/>
          <c:x val="0.68962467191601051"/>
          <c:y val="0.23249036844726242"/>
          <c:w val="0.29370866141732282"/>
          <c:h val="0.47680238699985206"/>
        </c:manualLayout>
      </c:layout>
      <c:overlay val="0"/>
    </c:legend>
    <c:plotVisOnly val="1"/>
    <c:dispBlanksAs val="zero"/>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sv-SE"/>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34959286900731E-2"/>
          <c:y val="4.1548630783758263E-2"/>
          <c:w val="0.67694921695728072"/>
          <c:h val="0.83426468292030065"/>
        </c:manualLayout>
      </c:layout>
      <c:areaChart>
        <c:grouping val="stacked"/>
        <c:varyColors val="0"/>
        <c:ser>
          <c:idx val="1"/>
          <c:order val="0"/>
          <c:tx>
            <c:strRef>
              <c:f>Nuläget!$N$162</c:f>
              <c:strCache>
                <c:ptCount val="1"/>
                <c:pt idx="0">
                  <c:v>Heat pumps</c:v>
                </c:pt>
              </c:strCache>
            </c:strRef>
          </c:tx>
          <c:spPr>
            <a:solidFill>
              <a:schemeClr val="accent2"/>
            </a:solidFill>
            <a:ln>
              <a:solidFill>
                <a:schemeClr val="accent2"/>
              </a:solid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Nuläget!$C$162:$M$162</c:f>
              <c:numCache>
                <c:formatCode>0.0</c:formatCode>
                <c:ptCount val="11"/>
                <c:pt idx="0">
                  <c:v>6.814249600000001</c:v>
                </c:pt>
                <c:pt idx="1">
                  <c:v>8.0525344666666676</c:v>
                </c:pt>
                <c:pt idx="2">
                  <c:v>9.1429632666666674</c:v>
                </c:pt>
                <c:pt idx="3">
                  <c:v>9.7983525333333343</c:v>
                </c:pt>
                <c:pt idx="4">
                  <c:v>10.66858666666667</c:v>
                </c:pt>
                <c:pt idx="5">
                  <c:v>10.677115333333337</c:v>
                </c:pt>
                <c:pt idx="6">
                  <c:v>13.529028267301586</c:v>
                </c:pt>
                <c:pt idx="7">
                  <c:v>14.161407227936511</c:v>
                </c:pt>
                <c:pt idx="8">
                  <c:v>14.247181571758732</c:v>
                </c:pt>
                <c:pt idx="9">
                  <c:v>14.101668295238099</c:v>
                </c:pt>
                <c:pt idx="10">
                  <c:v>13.910757184126988</c:v>
                </c:pt>
              </c:numCache>
            </c:numRef>
          </c:val>
          <c:extLst>
            <c:ext xmlns:c16="http://schemas.microsoft.com/office/drawing/2014/chart" uri="{C3380CC4-5D6E-409C-BE32-E72D297353CC}">
              <c16:uniqueId val="{00000000-7CC4-4A02-AE00-D9A1B8375BEE}"/>
            </c:ext>
          </c:extLst>
        </c:ser>
        <c:ser>
          <c:idx val="3"/>
          <c:order val="1"/>
          <c:tx>
            <c:strRef>
              <c:f>Nuläget!$N$161</c:f>
              <c:strCache>
                <c:ptCount val="1"/>
                <c:pt idx="0">
                  <c:v>Bio fuels, district heating</c:v>
                </c:pt>
              </c:strCache>
            </c:strRef>
          </c:tx>
          <c:spPr>
            <a:solidFill>
              <a:schemeClr val="accent3">
                <a:lumMod val="75000"/>
              </a:schemeClr>
            </a:solidFill>
            <a:ln>
              <a:solidFill>
                <a:schemeClr val="accent3">
                  <a:lumMod val="75000"/>
                </a:schemeClr>
              </a:solidFill>
            </a:ln>
            <a:effectLst/>
          </c:spPr>
          <c:val>
            <c:numRef>
              <c:f>Nuläget!$C$161:$M$161</c:f>
              <c:numCache>
                <c:formatCode>0.0</c:formatCode>
                <c:ptCount val="11"/>
                <c:pt idx="0">
                  <c:v>29.130653888888883</c:v>
                </c:pt>
                <c:pt idx="1">
                  <c:v>28.518333333333334</c:v>
                </c:pt>
                <c:pt idx="2">
                  <c:v>29.18888888888889</c:v>
                </c:pt>
                <c:pt idx="3">
                  <c:v>30.501111111111118</c:v>
                </c:pt>
                <c:pt idx="4">
                  <c:v>29.851944444444445</c:v>
                </c:pt>
                <c:pt idx="5">
                  <c:v>36.148888888888891</c:v>
                </c:pt>
                <c:pt idx="6">
                  <c:v>28.804166666666667</c:v>
                </c:pt>
                <c:pt idx="7">
                  <c:v>34.310555555555553</c:v>
                </c:pt>
                <c:pt idx="8">
                  <c:v>33.79</c:v>
                </c:pt>
                <c:pt idx="9">
                  <c:v>33.296111111111117</c:v>
                </c:pt>
                <c:pt idx="10">
                  <c:v>34.398888888888891</c:v>
                </c:pt>
              </c:numCache>
            </c:numRef>
          </c:val>
          <c:extLst>
            <c:ext xmlns:c16="http://schemas.microsoft.com/office/drawing/2014/chart" uri="{C3380CC4-5D6E-409C-BE32-E72D297353CC}">
              <c16:uniqueId val="{00000001-7CC4-4A02-AE00-D9A1B8375BEE}"/>
            </c:ext>
          </c:extLst>
        </c:ser>
        <c:ser>
          <c:idx val="0"/>
          <c:order val="2"/>
          <c:tx>
            <c:strRef>
              <c:f>Nuläget!$N$158</c:f>
              <c:strCache>
                <c:ptCount val="1"/>
                <c:pt idx="0">
                  <c:v>Bio fuels, industry</c:v>
                </c:pt>
              </c:strCache>
            </c:strRef>
          </c:tx>
          <c:spPr>
            <a:solidFill>
              <a:schemeClr val="accent3">
                <a:lumMod val="50000"/>
              </a:schemeClr>
            </a:solidFill>
            <a:ln>
              <a:solidFill>
                <a:schemeClr val="accent3">
                  <a:lumMod val="50000"/>
                </a:schemeClr>
              </a:solidFill>
            </a:ln>
            <a:effectLst/>
          </c:spPr>
          <c:val>
            <c:numRef>
              <c:f>Nuläget!$C$158:$M$158</c:f>
              <c:numCache>
                <c:formatCode>0.0</c:formatCode>
                <c:ptCount val="11"/>
                <c:pt idx="0">
                  <c:v>41.298055555555557</c:v>
                </c:pt>
                <c:pt idx="1">
                  <c:v>45.643888888888888</c:v>
                </c:pt>
                <c:pt idx="2">
                  <c:v>47.472499999999997</c:v>
                </c:pt>
                <c:pt idx="3">
                  <c:v>44.930000000000007</c:v>
                </c:pt>
                <c:pt idx="4">
                  <c:v>46.820555555555565</c:v>
                </c:pt>
                <c:pt idx="5">
                  <c:v>49.206388888888888</c:v>
                </c:pt>
                <c:pt idx="6">
                  <c:v>47.580277777777781</c:v>
                </c:pt>
                <c:pt idx="7">
                  <c:v>46.933055555555562</c:v>
                </c:pt>
                <c:pt idx="8">
                  <c:v>48.541944444444447</c:v>
                </c:pt>
                <c:pt idx="9">
                  <c:v>47.746388888888887</c:v>
                </c:pt>
                <c:pt idx="10">
                  <c:v>49.787222222222226</c:v>
                </c:pt>
              </c:numCache>
            </c:numRef>
          </c:val>
          <c:extLst>
            <c:ext xmlns:c16="http://schemas.microsoft.com/office/drawing/2014/chart" uri="{C3380CC4-5D6E-409C-BE32-E72D297353CC}">
              <c16:uniqueId val="{00000002-7CC4-4A02-AE00-D9A1B8375BEE}"/>
            </c:ext>
          </c:extLst>
        </c:ser>
        <c:ser>
          <c:idx val="4"/>
          <c:order val="3"/>
          <c:tx>
            <c:strRef>
              <c:f>Nuläget!$N$159</c:f>
              <c:strCache>
                <c:ptCount val="1"/>
                <c:pt idx="0">
                  <c:v>Bio fuels, residential etc.</c:v>
                </c:pt>
              </c:strCache>
            </c:strRef>
          </c:tx>
          <c:spPr>
            <a:solidFill>
              <a:schemeClr val="accent3">
                <a:lumMod val="40000"/>
                <a:lumOff val="60000"/>
              </a:schemeClr>
            </a:solidFill>
            <a:ln>
              <a:solidFill>
                <a:schemeClr val="accent3">
                  <a:lumMod val="40000"/>
                  <a:lumOff val="60000"/>
                </a:schemeClr>
              </a:solidFill>
            </a:ln>
            <a:effectLst/>
          </c:spPr>
          <c:val>
            <c:numRef>
              <c:f>Nuläget!$C$159:$M$159</c:f>
              <c:numCache>
                <c:formatCode>0.0</c:formatCode>
                <c:ptCount val="11"/>
                <c:pt idx="0">
                  <c:v>11.894444444444446</c:v>
                </c:pt>
                <c:pt idx="1">
                  <c:v>11.004722222222222</c:v>
                </c:pt>
                <c:pt idx="2">
                  <c:v>11.129722222222222</c:v>
                </c:pt>
                <c:pt idx="3">
                  <c:v>12.077222222222222</c:v>
                </c:pt>
                <c:pt idx="4">
                  <c:v>12.165277777777778</c:v>
                </c:pt>
                <c:pt idx="5">
                  <c:v>12.165277777777778</c:v>
                </c:pt>
                <c:pt idx="6">
                  <c:v>15.954722222222223</c:v>
                </c:pt>
                <c:pt idx="7">
                  <c:v>17.297222222222224</c:v>
                </c:pt>
                <c:pt idx="8">
                  <c:v>13.192222222222222</c:v>
                </c:pt>
                <c:pt idx="9">
                  <c:v>13.045555555555559</c:v>
                </c:pt>
                <c:pt idx="10">
                  <c:v>13.194444444444443</c:v>
                </c:pt>
              </c:numCache>
            </c:numRef>
          </c:val>
          <c:extLst>
            <c:ext xmlns:c16="http://schemas.microsoft.com/office/drawing/2014/chart" uri="{C3380CC4-5D6E-409C-BE32-E72D297353CC}">
              <c16:uniqueId val="{00000003-7CC4-4A02-AE00-D9A1B8375BEE}"/>
            </c:ext>
          </c:extLst>
        </c:ser>
        <c:ser>
          <c:idx val="5"/>
          <c:order val="4"/>
          <c:tx>
            <c:strRef>
              <c:f>Nuläget!$N$160</c:f>
              <c:strCache>
                <c:ptCount val="1"/>
                <c:pt idx="0">
                  <c:v>Solar, residential etc.</c:v>
                </c:pt>
              </c:strCache>
            </c:strRef>
          </c:tx>
          <c:spPr>
            <a:solidFill>
              <a:srgbClr val="FFC000"/>
            </a:solidFill>
            <a:ln>
              <a:solidFill>
                <a:srgbClr val="FFC000"/>
              </a:solidFill>
            </a:ln>
            <a:effectLst/>
          </c:spPr>
          <c:val>
            <c:numRef>
              <c:f>Nuläget!$C$160:$M$160</c:f>
              <c:numCache>
                <c:formatCode>0.0</c:formatCode>
                <c:ptCount val="11"/>
                <c:pt idx="0">
                  <c:v>6.8611111111111109E-2</c:v>
                </c:pt>
                <c:pt idx="1">
                  <c:v>6.6944444444444445E-2</c:v>
                </c:pt>
                <c:pt idx="2">
                  <c:v>0.1</c:v>
                </c:pt>
                <c:pt idx="3">
                  <c:v>0.11</c:v>
                </c:pt>
                <c:pt idx="4">
                  <c:v>0.115</c:v>
                </c:pt>
                <c:pt idx="5">
                  <c:v>0.12000000000000001</c:v>
                </c:pt>
                <c:pt idx="6">
                  <c:v>0.12805555555555556</c:v>
                </c:pt>
                <c:pt idx="7">
                  <c:v>0.12888888888888891</c:v>
                </c:pt>
                <c:pt idx="8">
                  <c:v>0.13</c:v>
                </c:pt>
                <c:pt idx="9">
                  <c:v>0.13</c:v>
                </c:pt>
                <c:pt idx="10">
                  <c:v>0.13111111111111112</c:v>
                </c:pt>
              </c:numCache>
            </c:numRef>
          </c:val>
          <c:extLst>
            <c:ext xmlns:c16="http://schemas.microsoft.com/office/drawing/2014/chart" uri="{C3380CC4-5D6E-409C-BE32-E72D297353CC}">
              <c16:uniqueId val="{00000004-7CC4-4A02-AE00-D9A1B8375BEE}"/>
            </c:ext>
          </c:extLst>
        </c:ser>
        <c:dLbls>
          <c:showLegendKey val="0"/>
          <c:showVal val="0"/>
          <c:showCatName val="0"/>
          <c:showSerName val="0"/>
          <c:showPercent val="0"/>
          <c:showBubbleSize val="0"/>
        </c:dLbls>
        <c:axId val="1906855727"/>
        <c:axId val="1909112527"/>
      </c:areaChart>
      <c:lineChart>
        <c:grouping val="standard"/>
        <c:varyColors val="0"/>
        <c:ser>
          <c:idx val="2"/>
          <c:order val="5"/>
          <c:tx>
            <c:strRef>
              <c:f>Nuläget!$N$164</c:f>
              <c:strCache>
                <c:ptCount val="1"/>
                <c:pt idx="0">
                  <c:v>Total use</c:v>
                </c:pt>
              </c:strCache>
            </c:strRef>
          </c:tx>
          <c:spPr>
            <a:ln w="28575" cap="rnd">
              <a:solidFill>
                <a:schemeClr val="tx1"/>
              </a:solidFill>
              <a:round/>
            </a:ln>
            <a:effectLst/>
          </c:spPr>
          <c:marker>
            <c:symbol val="none"/>
          </c:marker>
          <c:val>
            <c:numRef>
              <c:f>Nuläget!$C$164:$M$164</c:f>
              <c:numCache>
                <c:formatCode>0.0</c:formatCode>
                <c:ptCount val="11"/>
                <c:pt idx="0">
                  <c:v>171.94646765555558</c:v>
                </c:pt>
                <c:pt idx="1">
                  <c:v>167.39552085555553</c:v>
                </c:pt>
                <c:pt idx="2">
                  <c:v>167.33200771111109</c:v>
                </c:pt>
                <c:pt idx="3">
                  <c:v>161.17068586666667</c:v>
                </c:pt>
                <c:pt idx="4">
                  <c:v>159.14478111111112</c:v>
                </c:pt>
                <c:pt idx="5">
                  <c:v>180.63309311111112</c:v>
                </c:pt>
                <c:pt idx="6">
                  <c:v>170.297922711746</c:v>
                </c:pt>
                <c:pt idx="7">
                  <c:v>171.35401833904766</c:v>
                </c:pt>
                <c:pt idx="8">
                  <c:v>163.71349823842542</c:v>
                </c:pt>
                <c:pt idx="9">
                  <c:v>159.37261273968255</c:v>
                </c:pt>
                <c:pt idx="10">
                  <c:v>162.31250162857145</c:v>
                </c:pt>
              </c:numCache>
            </c:numRef>
          </c:val>
          <c:smooth val="0"/>
          <c:extLst>
            <c:ext xmlns:c16="http://schemas.microsoft.com/office/drawing/2014/chart" uri="{C3380CC4-5D6E-409C-BE32-E72D297353CC}">
              <c16:uniqueId val="{00000005-7CC4-4A02-AE00-D9A1B8375BEE}"/>
            </c:ext>
          </c:extLst>
        </c:ser>
        <c:dLbls>
          <c:showLegendKey val="0"/>
          <c:showVal val="0"/>
          <c:showCatName val="0"/>
          <c:showSerName val="0"/>
          <c:showPercent val="0"/>
          <c:showBubbleSize val="0"/>
        </c:dLbls>
        <c:marker val="1"/>
        <c:smooth val="0"/>
        <c:axId val="1906855727"/>
        <c:axId val="1909112527"/>
      </c:lineChart>
      <c:catAx>
        <c:axId val="190685572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crossAx val="1909112527"/>
        <c:crosses val="autoZero"/>
        <c:auto val="1"/>
        <c:lblAlgn val="ctr"/>
        <c:lblOffset val="100"/>
        <c:noMultiLvlLbl val="0"/>
      </c:catAx>
      <c:valAx>
        <c:axId val="19091125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crossAx val="1906855727"/>
        <c:crosses val="autoZero"/>
        <c:crossBetween val="midCat"/>
      </c:valAx>
      <c:spPr>
        <a:noFill/>
        <a:ln>
          <a:noFill/>
        </a:ln>
        <a:effectLst/>
      </c:spPr>
    </c:plotArea>
    <c:legend>
      <c:legendPos val="r"/>
      <c:layout>
        <c:manualLayout>
          <c:xMode val="edge"/>
          <c:yMode val="edge"/>
          <c:x val="0.77771330282625584"/>
          <c:y val="0.11000661744477408"/>
          <c:w val="0.20561997281363567"/>
          <c:h val="0.8215350984809617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legend>
    <c:plotVisOnly val="1"/>
    <c:dispBlanksAs val="zero"/>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sv-SE"/>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70253718285221E-2"/>
          <c:y val="5.0925925925925923E-2"/>
          <c:w val="0.70495333079929312"/>
          <c:h val="0.79564082718278695"/>
        </c:manualLayout>
      </c:layout>
      <c:areaChart>
        <c:grouping val="stacked"/>
        <c:varyColors val="0"/>
        <c:ser>
          <c:idx val="0"/>
          <c:order val="0"/>
          <c:tx>
            <c:strRef>
              <c:f>Nuläget!$N$111</c:f>
              <c:strCache>
                <c:ptCount val="1"/>
                <c:pt idx="0">
                  <c:v>Hydro power</c:v>
                </c:pt>
              </c:strCache>
            </c:strRef>
          </c:tx>
          <c:spPr>
            <a:solidFill>
              <a:schemeClr val="accent5">
                <a:lumMod val="75000"/>
              </a:schemeClr>
            </a:solidFill>
            <a:ln>
              <a:no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Nuläget!$C$111:$M$111</c:f>
              <c:numCache>
                <c:formatCode>???,???</c:formatCode>
                <c:ptCount val="11"/>
                <c:pt idx="0">
                  <c:v>68.420923700524952</c:v>
                </c:pt>
                <c:pt idx="1">
                  <c:v>67.943607452239533</c:v>
                </c:pt>
                <c:pt idx="2">
                  <c:v>68.720474255147607</c:v>
                </c:pt>
                <c:pt idx="3">
                  <c:v>67.202212572290705</c:v>
                </c:pt>
                <c:pt idx="4">
                  <c:v>68.325708472723349</c:v>
                </c:pt>
                <c:pt idx="5">
                  <c:v>68.282929520130949</c:v>
                </c:pt>
                <c:pt idx="6">
                  <c:v>68.509347505003873</c:v>
                </c:pt>
                <c:pt idx="7">
                  <c:v>68.505802514709572</c:v>
                </c:pt>
                <c:pt idx="8">
                  <c:v>67.862575100349986</c:v>
                </c:pt>
                <c:pt idx="9">
                  <c:v>65.428315812225748</c:v>
                </c:pt>
                <c:pt idx="10">
                  <c:v>66.668365560678794</c:v>
                </c:pt>
              </c:numCache>
            </c:numRef>
          </c:val>
          <c:extLst>
            <c:ext xmlns:c16="http://schemas.microsoft.com/office/drawing/2014/chart" uri="{C3380CC4-5D6E-409C-BE32-E72D297353CC}">
              <c16:uniqueId val="{00000000-899D-4B89-8D7F-35BE6DF6005A}"/>
            </c:ext>
          </c:extLst>
        </c:ser>
        <c:ser>
          <c:idx val="1"/>
          <c:order val="1"/>
          <c:tx>
            <c:strRef>
              <c:f>Nuläget!$N$112</c:f>
              <c:strCache>
                <c:ptCount val="1"/>
                <c:pt idx="0">
                  <c:v>Wind power</c:v>
                </c:pt>
              </c:strCache>
            </c:strRef>
          </c:tx>
          <c:spPr>
            <a:solidFill>
              <a:schemeClr val="accent5">
                <a:lumMod val="20000"/>
                <a:lumOff val="80000"/>
              </a:schemeClr>
            </a:solidFill>
            <a:ln>
              <a:no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Nuläget!$C$112:$M$112</c:f>
              <c:numCache>
                <c:formatCode>???,???.0</c:formatCode>
                <c:ptCount val="11"/>
                <c:pt idx="0">
                  <c:v>0.90600728155339805</c:v>
                </c:pt>
                <c:pt idx="1">
                  <c:v>0.97235699026821731</c:v>
                </c:pt>
                <c:pt idx="2">
                  <c:v>1.2503304783789431</c:v>
                </c:pt>
                <c:pt idx="3">
                  <c:v>1.700679747974797</c:v>
                </c:pt>
                <c:pt idx="4">
                  <c:v>2.5438570198105079</c:v>
                </c:pt>
                <c:pt idx="5">
                  <c:v>3.8002529510961214</c:v>
                </c:pt>
                <c:pt idx="6">
                  <c:v>5.5906314916710631</c:v>
                </c:pt>
                <c:pt idx="7">
                  <c:v>7.3484810772655687</c:v>
                </c:pt>
                <c:pt idx="8">
                  <c:v>9.1840395237709576</c:v>
                </c:pt>
                <c:pt idx="9">
                  <c:v>11.07697604261892</c:v>
                </c:pt>
                <c:pt idx="10">
                  <c:v>14.116551909779806</c:v>
                </c:pt>
              </c:numCache>
            </c:numRef>
          </c:val>
          <c:extLst>
            <c:ext xmlns:c16="http://schemas.microsoft.com/office/drawing/2014/chart" uri="{C3380CC4-5D6E-409C-BE32-E72D297353CC}">
              <c16:uniqueId val="{00000001-899D-4B89-8D7F-35BE6DF6005A}"/>
            </c:ext>
          </c:extLst>
        </c:ser>
        <c:ser>
          <c:idx val="3"/>
          <c:order val="2"/>
          <c:tx>
            <c:strRef>
              <c:f>Nuläget!$N$114</c:f>
              <c:strCache>
                <c:ptCount val="1"/>
                <c:pt idx="0">
                  <c:v>Bio fuels</c:v>
                </c:pt>
              </c:strCache>
            </c:strRef>
          </c:tx>
          <c:spPr>
            <a:solidFill>
              <a:schemeClr val="accent3"/>
            </a:solidFill>
            <a:ln>
              <a:no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Nuläget!$C$114:$M$114</c:f>
              <c:numCache>
                <c:formatCode>???,???</c:formatCode>
                <c:ptCount val="11"/>
                <c:pt idx="0">
                  <c:v>6.8479229999999989</c:v>
                </c:pt>
                <c:pt idx="1">
                  <c:v>7.5031679999999996</c:v>
                </c:pt>
                <c:pt idx="2">
                  <c:v>8.4960000000000004</c:v>
                </c:pt>
                <c:pt idx="3">
                  <c:v>8.9319959999999998</c:v>
                </c:pt>
                <c:pt idx="4">
                  <c:v>10.10295</c:v>
                </c:pt>
                <c:pt idx="5">
                  <c:v>10.26</c:v>
                </c:pt>
                <c:pt idx="6">
                  <c:v>9.641</c:v>
                </c:pt>
                <c:pt idx="7">
                  <c:v>10.507000000000001</c:v>
                </c:pt>
                <c:pt idx="8">
                  <c:v>9.609</c:v>
                </c:pt>
                <c:pt idx="9">
                  <c:v>9.0069999999999997</c:v>
                </c:pt>
                <c:pt idx="10">
                  <c:v>8.9770000000000003</c:v>
                </c:pt>
              </c:numCache>
            </c:numRef>
          </c:val>
          <c:extLst>
            <c:ext xmlns:c16="http://schemas.microsoft.com/office/drawing/2014/chart" uri="{C3380CC4-5D6E-409C-BE32-E72D297353CC}">
              <c16:uniqueId val="{00000002-899D-4B89-8D7F-35BE6DF6005A}"/>
            </c:ext>
          </c:extLst>
        </c:ser>
        <c:ser>
          <c:idx val="4"/>
          <c:order val="3"/>
          <c:tx>
            <c:strRef>
              <c:f>Nuläget!$N$115</c:f>
              <c:strCache>
                <c:ptCount val="1"/>
                <c:pt idx="0">
                  <c:v>Other</c:v>
                </c:pt>
              </c:strCache>
            </c:strRef>
          </c:tx>
          <c:spPr>
            <a:solidFill>
              <a:schemeClr val="accent6">
                <a:lumMod val="75000"/>
              </a:schemeClr>
            </a:solidFill>
            <a:ln>
              <a:no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Nuläget!$C$115:$M$115</c:f>
              <c:numCache>
                <c:formatCode>???,???</c:formatCode>
                <c:ptCount val="11"/>
                <c:pt idx="0">
                  <c:v>0.64188699999998522</c:v>
                </c:pt>
                <c:pt idx="1">
                  <c:v>0.85602400000000667</c:v>
                </c:pt>
                <c:pt idx="2">
                  <c:v>1.3398330000000025</c:v>
                </c:pt>
                <c:pt idx="3">
                  <c:v>1.4051859999999941</c:v>
                </c:pt>
                <c:pt idx="4">
                  <c:v>1.3574600000000099</c:v>
                </c:pt>
                <c:pt idx="5">
                  <c:v>1.9312329999999944</c:v>
                </c:pt>
                <c:pt idx="6">
                  <c:v>1.8930000000000053</c:v>
                </c:pt>
                <c:pt idx="7">
                  <c:v>1.6819999999999926</c:v>
                </c:pt>
                <c:pt idx="8">
                  <c:v>1.7220000000000018</c:v>
                </c:pt>
                <c:pt idx="9">
                  <c:v>1.6399999999999966</c:v>
                </c:pt>
                <c:pt idx="10">
                  <c:v>1.7600000000000018</c:v>
                </c:pt>
              </c:numCache>
            </c:numRef>
          </c:val>
          <c:extLst>
            <c:ext xmlns:c16="http://schemas.microsoft.com/office/drawing/2014/chart" uri="{C3380CC4-5D6E-409C-BE32-E72D297353CC}">
              <c16:uniqueId val="{00000003-899D-4B89-8D7F-35BE6DF6005A}"/>
            </c:ext>
          </c:extLst>
        </c:ser>
        <c:ser>
          <c:idx val="2"/>
          <c:order val="4"/>
          <c:tx>
            <c:strRef>
              <c:f>Nuläget!$N$113</c:f>
              <c:strCache>
                <c:ptCount val="1"/>
                <c:pt idx="0">
                  <c:v>Solar power</c:v>
                </c:pt>
              </c:strCache>
            </c:strRef>
          </c:tx>
          <c:spPr>
            <a:solidFill>
              <a:srgbClr val="FFFF00"/>
            </a:solidFill>
            <a:ln>
              <a:noFill/>
            </a:ln>
            <a:effectLst/>
          </c:spPr>
          <c:cat>
            <c:numRef>
              <c:f>Nuläget!$C$5:$M$5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Nuläget!$C$113:$M$113</c:f>
              <c:numCache>
                <c:formatCode>???,???.000</c:formatCode>
                <c:ptCount val="11"/>
                <c:pt idx="0">
                  <c:v>2.1269999999999996E-3</c:v>
                </c:pt>
                <c:pt idx="1">
                  <c:v>2.4300000000000003E-3</c:v>
                </c:pt>
                <c:pt idx="2">
                  <c:v>3.1389999999999994E-3</c:v>
                </c:pt>
                <c:pt idx="3">
                  <c:v>4.0000000000000001E-3</c:v>
                </c:pt>
                <c:pt idx="4">
                  <c:v>6.9999999999999993E-3</c:v>
                </c:pt>
                <c:pt idx="5">
                  <c:v>8.6E-3</c:v>
                </c:pt>
                <c:pt idx="6">
                  <c:v>1.0999999999999999E-2</c:v>
                </c:pt>
                <c:pt idx="7">
                  <c:v>1.9E-2</c:v>
                </c:pt>
                <c:pt idx="8">
                  <c:v>3.4999999999999996E-2</c:v>
                </c:pt>
                <c:pt idx="9">
                  <c:v>4.7000000000000007E-2</c:v>
                </c:pt>
                <c:pt idx="10">
                  <c:v>9.6999999999999989E-2</c:v>
                </c:pt>
              </c:numCache>
            </c:numRef>
          </c:val>
          <c:extLst>
            <c:ext xmlns:c16="http://schemas.microsoft.com/office/drawing/2014/chart" uri="{C3380CC4-5D6E-409C-BE32-E72D297353CC}">
              <c16:uniqueId val="{00000004-899D-4B89-8D7F-35BE6DF6005A}"/>
            </c:ext>
          </c:extLst>
        </c:ser>
        <c:dLbls>
          <c:showLegendKey val="0"/>
          <c:showVal val="0"/>
          <c:showCatName val="0"/>
          <c:showSerName val="0"/>
          <c:showPercent val="0"/>
          <c:showBubbleSize val="0"/>
        </c:dLbls>
        <c:axId val="891426832"/>
        <c:axId val="768039264"/>
      </c:areaChart>
      <c:lineChart>
        <c:grouping val="standard"/>
        <c:varyColors val="0"/>
        <c:ser>
          <c:idx val="5"/>
          <c:order val="5"/>
          <c:tx>
            <c:strRef>
              <c:f>Nuläget!$N$117</c:f>
              <c:strCache>
                <c:ptCount val="1"/>
                <c:pt idx="0">
                  <c:v>Electricity use</c:v>
                </c:pt>
              </c:strCache>
            </c:strRef>
          </c:tx>
          <c:spPr>
            <a:ln w="28575" cap="rnd">
              <a:solidFill>
                <a:schemeClr val="tx1"/>
              </a:solidFill>
              <a:round/>
            </a:ln>
            <a:effectLst/>
          </c:spPr>
          <c:marker>
            <c:symbol val="none"/>
          </c:marker>
          <c:val>
            <c:numRef>
              <c:f>Nuläget!$C$117:$M$117</c:f>
              <c:numCache>
                <c:formatCode>0</c:formatCode>
                <c:ptCount val="11"/>
                <c:pt idx="0">
                  <c:v>150.97300000000001</c:v>
                </c:pt>
                <c:pt idx="1">
                  <c:v>149.32599999999999</c:v>
                </c:pt>
                <c:pt idx="2">
                  <c:v>150.13900000000001</c:v>
                </c:pt>
                <c:pt idx="3">
                  <c:v>147.93299999999999</c:v>
                </c:pt>
                <c:pt idx="4">
                  <c:v>141.28899999999999</c:v>
                </c:pt>
                <c:pt idx="5">
                  <c:v>150.53800000000001</c:v>
                </c:pt>
                <c:pt idx="6">
                  <c:v>143.02099999999999</c:v>
                </c:pt>
                <c:pt idx="7">
                  <c:v>146.863</c:v>
                </c:pt>
                <c:pt idx="8">
                  <c:v>143.029</c:v>
                </c:pt>
                <c:pt idx="9">
                  <c:v>137.93100000000001</c:v>
                </c:pt>
                <c:pt idx="10">
                  <c:v>139.33099999999999</c:v>
                </c:pt>
              </c:numCache>
            </c:numRef>
          </c:val>
          <c:smooth val="0"/>
          <c:extLst>
            <c:ext xmlns:c16="http://schemas.microsoft.com/office/drawing/2014/chart" uri="{C3380CC4-5D6E-409C-BE32-E72D297353CC}">
              <c16:uniqueId val="{00000005-899D-4B89-8D7F-35BE6DF6005A}"/>
            </c:ext>
          </c:extLst>
        </c:ser>
        <c:dLbls>
          <c:showLegendKey val="0"/>
          <c:showVal val="0"/>
          <c:showCatName val="0"/>
          <c:showSerName val="0"/>
          <c:showPercent val="0"/>
          <c:showBubbleSize val="0"/>
        </c:dLbls>
        <c:marker val="1"/>
        <c:smooth val="0"/>
        <c:axId val="891426832"/>
        <c:axId val="768039264"/>
      </c:lineChart>
      <c:catAx>
        <c:axId val="8914268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crossAx val="768039264"/>
        <c:crosses val="autoZero"/>
        <c:auto val="1"/>
        <c:lblAlgn val="ctr"/>
        <c:lblOffset val="100"/>
        <c:noMultiLvlLbl val="0"/>
      </c:catAx>
      <c:valAx>
        <c:axId val="76803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title>
        <c:numFmt formatCode="???,???"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crossAx val="891426832"/>
        <c:crosses val="autoZero"/>
        <c:crossBetween val="midCat"/>
      </c:valAx>
      <c:spPr>
        <a:noFill/>
        <a:ln>
          <a:noFill/>
        </a:ln>
        <a:effectLst/>
      </c:spPr>
    </c:plotArea>
    <c:legend>
      <c:legendPos val="r"/>
      <c:layout>
        <c:manualLayout>
          <c:xMode val="edge"/>
          <c:yMode val="edge"/>
          <c:x val="0.79862406533669217"/>
          <c:y val="8.5511014440288316E-2"/>
          <c:w val="0.18628140193973028"/>
          <c:h val="0.8458830475424097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v-SE"/>
        </a:p>
      </c:txPr>
    </c:legend>
    <c:plotVisOnly val="1"/>
    <c:dispBlanksAs val="zero"/>
    <c:showDLblsOverMax val="0"/>
  </c:chart>
  <c:spPr>
    <a:solidFill>
      <a:schemeClr val="bg1"/>
    </a:solidFill>
    <a:ln w="9525" cap="flat" cmpd="sng" algn="ctr">
      <a:noFill/>
      <a:round/>
    </a:ln>
    <a:effectLst/>
  </c:spPr>
  <c:txPr>
    <a:bodyPr/>
    <a:lstStyle/>
    <a:p>
      <a:pPr>
        <a:defRPr sz="1000">
          <a:latin typeface="Times New Roman" panose="02020603050405020304" pitchFamily="18" charset="0"/>
          <a:cs typeface="Times New Roman" panose="02020603050405020304" pitchFamily="18" charset="0"/>
        </a:defRPr>
      </a:pPr>
      <a:endParaRPr lang="sv-SE"/>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areaChart>
        <c:grouping val="stacked"/>
        <c:varyColors val="0"/>
        <c:ser>
          <c:idx val="4"/>
          <c:order val="0"/>
          <c:tx>
            <c:strRef>
              <c:f>Nuläget!$N$144</c:f>
              <c:strCache>
                <c:ptCount val="1"/>
                <c:pt idx="0">
                  <c:v>Electricity</c:v>
                </c:pt>
              </c:strCache>
            </c:strRef>
          </c:tx>
          <c:spPr>
            <a:solidFill>
              <a:schemeClr val="accent6">
                <a:lumMod val="75000"/>
              </a:schemeClr>
            </a:solidFill>
            <a:ln>
              <a:noFill/>
            </a:ln>
            <a:effectLst/>
          </c:spPr>
          <c:cat>
            <c:numRef>
              <c:f>Nuläget!$C$130:$M$130</c:f>
              <c:numCache>
                <c:formatCode>0_ ;\-0\ </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Nuläget!$C$144:$M$144</c:f>
              <c:numCache>
                <c:formatCode>0.0</c:formatCode>
                <c:ptCount val="11"/>
                <c:pt idx="0">
                  <c:v>2.8180000000000001</c:v>
                </c:pt>
                <c:pt idx="1">
                  <c:v>2.8849999999999998</c:v>
                </c:pt>
                <c:pt idx="2">
                  <c:v>2.4211460800000002</c:v>
                </c:pt>
                <c:pt idx="3">
                  <c:v>2.3609139099999998</c:v>
                </c:pt>
                <c:pt idx="4">
                  <c:v>2.4421648899999999</c:v>
                </c:pt>
                <c:pt idx="5">
                  <c:v>2.4052883399999998</c:v>
                </c:pt>
                <c:pt idx="6">
                  <c:v>2.6397677900000001</c:v>
                </c:pt>
                <c:pt idx="7">
                  <c:v>2.6845462200000001</c:v>
                </c:pt>
                <c:pt idx="8">
                  <c:v>2.75</c:v>
                </c:pt>
                <c:pt idx="9">
                  <c:v>2.6150000000000007</c:v>
                </c:pt>
                <c:pt idx="10">
                  <c:v>2.5950000000000002</c:v>
                </c:pt>
              </c:numCache>
            </c:numRef>
          </c:val>
          <c:extLst>
            <c:ext xmlns:c16="http://schemas.microsoft.com/office/drawing/2014/chart" uri="{C3380CC4-5D6E-409C-BE32-E72D297353CC}">
              <c16:uniqueId val="{00000000-AD54-4723-B096-AC624B42EE27}"/>
            </c:ext>
          </c:extLst>
        </c:ser>
        <c:ser>
          <c:idx val="0"/>
          <c:order val="1"/>
          <c:tx>
            <c:strRef>
              <c:f>Nuläget!$N$131</c:f>
              <c:strCache>
                <c:ptCount val="1"/>
                <c:pt idx="0">
                  <c:v>Bioethanol</c:v>
                </c:pt>
              </c:strCache>
            </c:strRef>
          </c:tx>
          <c:spPr>
            <a:solidFill>
              <a:schemeClr val="accent4">
                <a:lumMod val="60000"/>
                <a:lumOff val="40000"/>
              </a:schemeClr>
            </a:solidFill>
            <a:ln>
              <a:noFill/>
            </a:ln>
            <a:effectLst/>
          </c:spPr>
          <c:cat>
            <c:numRef>
              <c:f>Nuläget!$C$130:$M$130</c:f>
              <c:numCache>
                <c:formatCode>0_ ;\-0\ </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Nuläget!$C$131:$M$131</c:f>
              <c:numCache>
                <c:formatCode>0.0_ ;\-0.0\ </c:formatCode>
                <c:ptCount val="11"/>
                <c:pt idx="0">
                  <c:v>1.6938054211171787</c:v>
                </c:pt>
                <c:pt idx="1">
                  <c:v>1.9385818817238645</c:v>
                </c:pt>
                <c:pt idx="2">
                  <c:v>2.2293204600168868</c:v>
                </c:pt>
                <c:pt idx="3">
                  <c:v>2.4859758264992848</c:v>
                </c:pt>
                <c:pt idx="4">
                  <c:v>2.2983412353633925</c:v>
                </c:pt>
                <c:pt idx="5">
                  <c:v>2.3606050381264501</c:v>
                </c:pt>
                <c:pt idx="6">
                  <c:v>2.4476313526190667</c:v>
                </c:pt>
                <c:pt idx="7">
                  <c:v>2.3733665542076814</c:v>
                </c:pt>
                <c:pt idx="8">
                  <c:v>2.0919512</c:v>
                </c:pt>
                <c:pt idx="9">
                  <c:v>1.9266981000000003</c:v>
                </c:pt>
                <c:pt idx="10">
                  <c:v>1.6194733000000001</c:v>
                </c:pt>
              </c:numCache>
            </c:numRef>
          </c:val>
          <c:extLst>
            <c:ext xmlns:c16="http://schemas.microsoft.com/office/drawing/2014/chart" uri="{C3380CC4-5D6E-409C-BE32-E72D297353CC}">
              <c16:uniqueId val="{00000001-AD54-4723-B096-AC624B42EE27}"/>
            </c:ext>
          </c:extLst>
        </c:ser>
        <c:ser>
          <c:idx val="2"/>
          <c:order val="2"/>
          <c:tx>
            <c:strRef>
              <c:f>Nuläget!$N$136</c:f>
              <c:strCache>
                <c:ptCount val="1"/>
                <c:pt idx="0">
                  <c:v>Biodiesel, FAME</c:v>
                </c:pt>
              </c:strCache>
            </c:strRef>
          </c:tx>
          <c:spPr>
            <a:solidFill>
              <a:schemeClr val="accent5">
                <a:lumMod val="75000"/>
              </a:schemeClr>
            </a:solidFill>
            <a:ln>
              <a:noFill/>
            </a:ln>
            <a:effectLst/>
          </c:spPr>
          <c:cat>
            <c:numRef>
              <c:f>Nuläget!$C$130:$M$130</c:f>
              <c:numCache>
                <c:formatCode>0_ ;\-0\ </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Nuläget!$C$136:$M$136</c:f>
              <c:numCache>
                <c:formatCode>0.0</c:formatCode>
                <c:ptCount val="11"/>
                <c:pt idx="0">
                  <c:v>9.9082662586108969E-2</c:v>
                </c:pt>
                <c:pt idx="1">
                  <c:v>0.60715197708057034</c:v>
                </c:pt>
                <c:pt idx="2">
                  <c:v>1.2164133206879899</c:v>
                </c:pt>
                <c:pt idx="3">
                  <c:v>1.5374986547050036</c:v>
                </c:pt>
                <c:pt idx="4">
                  <c:v>1.8861956104565145</c:v>
                </c:pt>
                <c:pt idx="5">
                  <c:v>2.0636167564474941</c:v>
                </c:pt>
                <c:pt idx="6">
                  <c:v>2.2948749662786363</c:v>
                </c:pt>
                <c:pt idx="7">
                  <c:v>2.6958790270463515</c:v>
                </c:pt>
                <c:pt idx="8">
                  <c:v>2.6858471500000003</c:v>
                </c:pt>
                <c:pt idx="9">
                  <c:v>3.9524075500000002</c:v>
                </c:pt>
                <c:pt idx="10">
                  <c:v>3.8733071300000002</c:v>
                </c:pt>
              </c:numCache>
            </c:numRef>
          </c:val>
          <c:extLst>
            <c:ext xmlns:c16="http://schemas.microsoft.com/office/drawing/2014/chart" uri="{C3380CC4-5D6E-409C-BE32-E72D297353CC}">
              <c16:uniqueId val="{00000002-AD54-4723-B096-AC624B42EE27}"/>
            </c:ext>
          </c:extLst>
        </c:ser>
        <c:ser>
          <c:idx val="1"/>
          <c:order val="3"/>
          <c:tx>
            <c:strRef>
              <c:f>Nuläget!$N$135</c:f>
              <c:strCache>
                <c:ptCount val="1"/>
                <c:pt idx="0">
                  <c:v>Biodiesel, HVO</c:v>
                </c:pt>
              </c:strCache>
            </c:strRef>
          </c:tx>
          <c:spPr>
            <a:solidFill>
              <a:schemeClr val="accent5">
                <a:lumMod val="60000"/>
                <a:lumOff val="40000"/>
              </a:schemeClr>
            </a:solidFill>
            <a:ln>
              <a:noFill/>
            </a:ln>
            <a:effectLst/>
          </c:spPr>
          <c:cat>
            <c:numRef>
              <c:f>Nuläget!$C$130:$M$130</c:f>
              <c:numCache>
                <c:formatCode>0_ ;\-0\ </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Nuläget!$C$135:$M$135</c:f>
              <c:numCache>
                <c:formatCode>0.0</c:formatCode>
                <c:ptCount val="11"/>
                <c:pt idx="0">
                  <c:v>0</c:v>
                </c:pt>
                <c:pt idx="1">
                  <c:v>0</c:v>
                </c:pt>
                <c:pt idx="2">
                  <c:v>0</c:v>
                </c:pt>
                <c:pt idx="3">
                  <c:v>0</c:v>
                </c:pt>
                <c:pt idx="4">
                  <c:v>0</c:v>
                </c:pt>
                <c:pt idx="5">
                  <c:v>0</c:v>
                </c:pt>
                <c:pt idx="6">
                  <c:v>0.42431608143477884</c:v>
                </c:pt>
                <c:pt idx="7">
                  <c:v>1.0515049694181344</c:v>
                </c:pt>
                <c:pt idx="8">
                  <c:v>2.7347302400000002</c:v>
                </c:pt>
                <c:pt idx="9">
                  <c:v>4.1620865600000005</c:v>
                </c:pt>
                <c:pt idx="10">
                  <c:v>6.6522452799999998</c:v>
                </c:pt>
              </c:numCache>
            </c:numRef>
          </c:val>
          <c:extLst>
            <c:ext xmlns:c16="http://schemas.microsoft.com/office/drawing/2014/chart" uri="{C3380CC4-5D6E-409C-BE32-E72D297353CC}">
              <c16:uniqueId val="{00000003-AD54-4723-B096-AC624B42EE27}"/>
            </c:ext>
          </c:extLst>
        </c:ser>
        <c:ser>
          <c:idx val="3"/>
          <c:order val="4"/>
          <c:tx>
            <c:strRef>
              <c:f>Nuläget!$N$143</c:f>
              <c:strCache>
                <c:ptCount val="1"/>
                <c:pt idx="0">
                  <c:v>Bio gas</c:v>
                </c:pt>
              </c:strCache>
            </c:strRef>
          </c:tx>
          <c:spPr>
            <a:solidFill>
              <a:srgbClr val="92D050"/>
            </a:solidFill>
            <a:ln>
              <a:noFill/>
            </a:ln>
            <a:effectLst/>
          </c:spPr>
          <c:cat>
            <c:numRef>
              <c:f>Nuläget!$C$130:$M$130</c:f>
              <c:numCache>
                <c:formatCode>0_ ;\-0\ </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Nuläget!$C$143:$M$143</c:f>
              <c:numCache>
                <c:formatCode>0.0</c:formatCode>
                <c:ptCount val="11"/>
                <c:pt idx="0">
                  <c:v>0.15570440000000002</c:v>
                </c:pt>
                <c:pt idx="1">
                  <c:v>0.23004520000000001</c:v>
                </c:pt>
                <c:pt idx="2">
                  <c:v>0.27570309999999998</c:v>
                </c:pt>
                <c:pt idx="3">
                  <c:v>0.32727800000000001</c:v>
                </c:pt>
                <c:pt idx="4">
                  <c:v>0.40984216900000003</c:v>
                </c:pt>
                <c:pt idx="5">
                  <c:v>0.57372786910000007</c:v>
                </c:pt>
                <c:pt idx="6">
                  <c:v>0.72871315959999994</c:v>
                </c:pt>
                <c:pt idx="7">
                  <c:v>0.80864180368000027</c:v>
                </c:pt>
                <c:pt idx="8">
                  <c:v>0.87350817707329997</c:v>
                </c:pt>
                <c:pt idx="9">
                  <c:v>0.97730139990800013</c:v>
                </c:pt>
                <c:pt idx="10">
                  <c:v>1.1501290000000002</c:v>
                </c:pt>
              </c:numCache>
            </c:numRef>
          </c:val>
          <c:extLst>
            <c:ext xmlns:c16="http://schemas.microsoft.com/office/drawing/2014/chart" uri="{C3380CC4-5D6E-409C-BE32-E72D297353CC}">
              <c16:uniqueId val="{00000004-AD54-4723-B096-AC624B42EE27}"/>
            </c:ext>
          </c:extLst>
        </c:ser>
        <c:dLbls>
          <c:showLegendKey val="0"/>
          <c:showVal val="0"/>
          <c:showCatName val="0"/>
          <c:showSerName val="0"/>
          <c:showPercent val="0"/>
          <c:showBubbleSize val="0"/>
        </c:dLbls>
        <c:axId val="544315120"/>
        <c:axId val="779959248"/>
      </c:areaChart>
      <c:lineChart>
        <c:grouping val="standard"/>
        <c:varyColors val="0"/>
        <c:ser>
          <c:idx val="5"/>
          <c:order val="5"/>
          <c:tx>
            <c:strRef>
              <c:f>Nuläget!$N$145</c:f>
              <c:strCache>
                <c:ptCount val="1"/>
                <c:pt idx="0">
                  <c:v>Share of renewables</c:v>
                </c:pt>
              </c:strCache>
            </c:strRef>
          </c:tx>
          <c:spPr>
            <a:ln w="28575" cap="rnd">
              <a:solidFill>
                <a:sysClr val="windowText" lastClr="000000"/>
              </a:solidFill>
              <a:round/>
            </a:ln>
            <a:effectLst/>
          </c:spPr>
          <c:marker>
            <c:symbol val="none"/>
          </c:marker>
          <c:val>
            <c:numRef>
              <c:f>Nuläget!$C$145:$M$145</c:f>
              <c:numCache>
                <c:formatCode>0%</c:formatCode>
                <c:ptCount val="11"/>
                <c:pt idx="0">
                  <c:v>6.1644835185317146E-2</c:v>
                </c:pt>
                <c:pt idx="1">
                  <c:v>7.065412723859725E-2</c:v>
                </c:pt>
                <c:pt idx="2">
                  <c:v>7.961726247613729E-2</c:v>
                </c:pt>
                <c:pt idx="3">
                  <c:v>8.2601617074910094E-2</c:v>
                </c:pt>
                <c:pt idx="4">
                  <c:v>8.9104333588029647E-2</c:v>
                </c:pt>
                <c:pt idx="5">
                  <c:v>9.2411716881199854E-2</c:v>
                </c:pt>
                <c:pt idx="6">
                  <c:v>0.1154520477967671</c:v>
                </c:pt>
                <c:pt idx="7">
                  <c:v>0.14812560600018029</c:v>
                </c:pt>
                <c:pt idx="8">
                  <c:v>0.1915948848061392</c:v>
                </c:pt>
                <c:pt idx="9">
                  <c:v>0.21075980916956499</c:v>
                </c:pt>
                <c:pt idx="10">
                  <c:v>0.23958825230246802</c:v>
                </c:pt>
              </c:numCache>
            </c:numRef>
          </c:val>
          <c:smooth val="0"/>
          <c:extLst>
            <c:ext xmlns:c16="http://schemas.microsoft.com/office/drawing/2014/chart" uri="{C3380CC4-5D6E-409C-BE32-E72D297353CC}">
              <c16:uniqueId val="{00000005-AD54-4723-B096-AC624B42EE27}"/>
            </c:ext>
          </c:extLst>
        </c:ser>
        <c:dLbls>
          <c:showLegendKey val="0"/>
          <c:showVal val="0"/>
          <c:showCatName val="0"/>
          <c:showSerName val="0"/>
          <c:showPercent val="0"/>
          <c:showBubbleSize val="0"/>
        </c:dLbls>
        <c:marker val="1"/>
        <c:smooth val="0"/>
        <c:axId val="2116735151"/>
        <c:axId val="148039359"/>
      </c:lineChart>
      <c:catAx>
        <c:axId val="544315120"/>
        <c:scaling>
          <c:orientation val="minMax"/>
        </c:scaling>
        <c:delete val="0"/>
        <c:axPos val="b"/>
        <c:numFmt formatCode="0_ ;\-0\ " sourceLinked="1"/>
        <c:majorTickMark val="out"/>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779959248"/>
        <c:crosses val="autoZero"/>
        <c:auto val="1"/>
        <c:lblAlgn val="ctr"/>
        <c:lblOffset val="100"/>
        <c:noMultiLvlLbl val="0"/>
      </c:catAx>
      <c:valAx>
        <c:axId val="779959248"/>
        <c:scaling>
          <c:orientation val="minMax"/>
          <c:max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title>
        <c:numFmt formatCode="0_ ;\-0\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544315120"/>
        <c:crosses val="autoZero"/>
        <c:crossBetween val="midCat"/>
      </c:valAx>
      <c:valAx>
        <c:axId val="148039359"/>
        <c:scaling>
          <c:orientation val="minMax"/>
          <c:max val="0.30000000000000004"/>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rPr>
                  <a: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title>
        <c:numFmt formatCode="0%" sourceLinked="1"/>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2116735151"/>
        <c:crosses val="max"/>
        <c:crossBetween val="between"/>
      </c:valAx>
      <c:catAx>
        <c:axId val="2116735151"/>
        <c:scaling>
          <c:orientation val="minMax"/>
        </c:scaling>
        <c:delete val="1"/>
        <c:axPos val="b"/>
        <c:majorTickMark val="out"/>
        <c:minorTickMark val="none"/>
        <c:tickLblPos val="nextTo"/>
        <c:crossAx val="1480393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legend>
    <c:plotVisOnly val="1"/>
    <c:dispBlanksAs val="zero"/>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sv-SE"/>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557700487166749"/>
          <c:y val="5.1400554097404488E-2"/>
          <c:w val="0.60702156329414803"/>
          <c:h val="0.78278032954214061"/>
        </c:manualLayout>
      </c:layout>
      <c:areaChart>
        <c:grouping val="stacked"/>
        <c:varyColors val="0"/>
        <c:ser>
          <c:idx val="0"/>
          <c:order val="1"/>
          <c:tx>
            <c:strRef>
              <c:f>Scenarier!$A$39</c:f>
              <c:strCache>
                <c:ptCount val="1"/>
                <c:pt idx="0">
                  <c:v>Biofuels</c:v>
                </c:pt>
              </c:strCache>
            </c:strRef>
          </c:tx>
          <c:spPr>
            <a:solidFill>
              <a:schemeClr val="accent3"/>
            </a:solidFill>
            <a:ln>
              <a:solidFill>
                <a:schemeClr val="accent3"/>
              </a:solidFill>
            </a:ln>
          </c:spP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Scenarier!$B$25:$AK$25</c:f>
              <c:numCache>
                <c:formatCode>0.0</c:formatCode>
                <c:ptCount val="36"/>
                <c:pt idx="0">
                  <c:v>91.746160583333321</c:v>
                </c:pt>
                <c:pt idx="1">
                  <c:v>97.292702752777785</c:v>
                </c:pt>
                <c:pt idx="2">
                  <c:v>102.48442425555557</c:v>
                </c:pt>
                <c:pt idx="3">
                  <c:v>103.16365076666666</c:v>
                </c:pt>
                <c:pt idx="4">
                  <c:v>106.54503503058891</c:v>
                </c:pt>
                <c:pt idx="5">
                  <c:v>116.4886385802111</c:v>
                </c:pt>
                <c:pt idx="6">
                  <c:v>109.31452215487127</c:v>
                </c:pt>
                <c:pt idx="7">
                  <c:v>118.05246310241222</c:v>
                </c:pt>
                <c:pt idx="8">
                  <c:v>116.51867301999525</c:v>
                </c:pt>
                <c:pt idx="9">
                  <c:v>116.2044511751956</c:v>
                </c:pt>
                <c:pt idx="10">
                  <c:v>121.80912235504539</c:v>
                </c:pt>
                <c:pt idx="11" formatCode="0">
                  <c:v>124.26110302894966</c:v>
                </c:pt>
                <c:pt idx="12" formatCode="0">
                  <c:v>126.71308370285394</c:v>
                </c:pt>
                <c:pt idx="13" formatCode="0">
                  <c:v>129.16506437675821</c:v>
                </c:pt>
                <c:pt idx="14" formatCode="0">
                  <c:v>131.61704505066248</c:v>
                </c:pt>
                <c:pt idx="15" formatCode="0">
                  <c:v>134.06902572456676</c:v>
                </c:pt>
                <c:pt idx="16" formatCode="0">
                  <c:v>134.03593080544411</c:v>
                </c:pt>
                <c:pt idx="17" formatCode="0">
                  <c:v>134.00283588632149</c:v>
                </c:pt>
                <c:pt idx="18" formatCode="0">
                  <c:v>133.96974096719885</c:v>
                </c:pt>
                <c:pt idx="19" formatCode="0">
                  <c:v>133.93664604807623</c:v>
                </c:pt>
                <c:pt idx="20" formatCode="0">
                  <c:v>133.90355112895358</c:v>
                </c:pt>
                <c:pt idx="21" formatCode="0">
                  <c:v>133.42577866505556</c:v>
                </c:pt>
                <c:pt idx="22" formatCode="0">
                  <c:v>132.94800620115757</c:v>
                </c:pt>
                <c:pt idx="23" formatCode="0">
                  <c:v>132.47023373725955</c:v>
                </c:pt>
                <c:pt idx="24" formatCode="0">
                  <c:v>131.99246127336156</c:v>
                </c:pt>
                <c:pt idx="25" formatCode="0">
                  <c:v>131.51468880946354</c:v>
                </c:pt>
                <c:pt idx="26" formatCode="0">
                  <c:v>131.65458500299022</c:v>
                </c:pt>
                <c:pt idx="27" formatCode="0">
                  <c:v>131.7944811965169</c:v>
                </c:pt>
                <c:pt idx="28" formatCode="0">
                  <c:v>131.93437739004355</c:v>
                </c:pt>
                <c:pt idx="29" formatCode="0">
                  <c:v>132.07427358357023</c:v>
                </c:pt>
                <c:pt idx="30" formatCode="0">
                  <c:v>132.21416977709691</c:v>
                </c:pt>
                <c:pt idx="31" formatCode="0">
                  <c:v>132.84932831183733</c:v>
                </c:pt>
                <c:pt idx="32" formatCode="0">
                  <c:v>133.48448684657774</c:v>
                </c:pt>
                <c:pt idx="33" formatCode="0">
                  <c:v>134.11964538131812</c:v>
                </c:pt>
                <c:pt idx="34" formatCode="0">
                  <c:v>134.75480391605853</c:v>
                </c:pt>
                <c:pt idx="35" formatCode="0">
                  <c:v>135.38996245079895</c:v>
                </c:pt>
              </c:numCache>
            </c:numRef>
          </c:val>
          <c:extLst>
            <c:ext xmlns:c16="http://schemas.microsoft.com/office/drawing/2014/chart" uri="{C3380CC4-5D6E-409C-BE32-E72D297353CC}">
              <c16:uniqueId val="{00000000-BCC1-4ED4-B88D-513763A3D1AD}"/>
            </c:ext>
          </c:extLst>
        </c:ser>
        <c:ser>
          <c:idx val="2"/>
          <c:order val="2"/>
          <c:tx>
            <c:strRef>
              <c:f>Scenarier!$A$40</c:f>
              <c:strCache>
                <c:ptCount val="1"/>
                <c:pt idx="0">
                  <c:v>Hydro power</c:v>
                </c:pt>
              </c:strCache>
            </c:strRef>
          </c:tx>
          <c:spPr>
            <a:solidFill>
              <a:schemeClr val="accent1"/>
            </a:solidFill>
            <a:ln>
              <a:solidFill>
                <a:schemeClr val="accent1"/>
              </a:solidFill>
            </a:ln>
          </c:spP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Scenarier!$B$26:$AK$26</c:f>
              <c:numCache>
                <c:formatCode>0.0</c:formatCode>
                <c:ptCount val="36"/>
                <c:pt idx="0">
                  <c:v>68.420923700524966</c:v>
                </c:pt>
                <c:pt idx="1">
                  <c:v>67.943607452239533</c:v>
                </c:pt>
                <c:pt idx="2">
                  <c:v>68.720474255147607</c:v>
                </c:pt>
                <c:pt idx="3">
                  <c:v>67.202212572290705</c:v>
                </c:pt>
                <c:pt idx="4">
                  <c:v>68.325708472723363</c:v>
                </c:pt>
                <c:pt idx="5">
                  <c:v>68.282929520130963</c:v>
                </c:pt>
                <c:pt idx="6">
                  <c:v>68.509347505003888</c:v>
                </c:pt>
                <c:pt idx="7">
                  <c:v>68.505802514709572</c:v>
                </c:pt>
                <c:pt idx="8">
                  <c:v>67.862575100349986</c:v>
                </c:pt>
                <c:pt idx="9">
                  <c:v>65.428315812225748</c:v>
                </c:pt>
                <c:pt idx="10">
                  <c:v>66.668365560678794</c:v>
                </c:pt>
                <c:pt idx="11" formatCode="0">
                  <c:v>66.899799918543039</c:v>
                </c:pt>
                <c:pt idx="12" formatCode="0">
                  <c:v>67.13123427640727</c:v>
                </c:pt>
                <c:pt idx="13" formatCode="0">
                  <c:v>67.362668634271515</c:v>
                </c:pt>
                <c:pt idx="14" formatCode="0">
                  <c:v>67.594102992135745</c:v>
                </c:pt>
                <c:pt idx="15" formatCode="0">
                  <c:v>67.825537349999991</c:v>
                </c:pt>
                <c:pt idx="16" formatCode="0">
                  <c:v>67.93065734999999</c:v>
                </c:pt>
                <c:pt idx="17" formatCode="0">
                  <c:v>68.035777349999989</c:v>
                </c:pt>
                <c:pt idx="18" formatCode="0">
                  <c:v>68.140897349999975</c:v>
                </c:pt>
                <c:pt idx="19" formatCode="0">
                  <c:v>68.246017349999974</c:v>
                </c:pt>
                <c:pt idx="20" formatCode="0">
                  <c:v>68.351137349999973</c:v>
                </c:pt>
                <c:pt idx="21" formatCode="0">
                  <c:v>68.403697349999973</c:v>
                </c:pt>
                <c:pt idx="22" formatCode="0">
                  <c:v>68.456257349999973</c:v>
                </c:pt>
                <c:pt idx="23" formatCode="0">
                  <c:v>68.508817349999987</c:v>
                </c:pt>
                <c:pt idx="24" formatCode="0">
                  <c:v>68.561377349999987</c:v>
                </c:pt>
                <c:pt idx="25" formatCode="0">
                  <c:v>68.613937349999986</c:v>
                </c:pt>
                <c:pt idx="26" formatCode="0">
                  <c:v>68.613937349999986</c:v>
                </c:pt>
                <c:pt idx="27" formatCode="0">
                  <c:v>68.613937349999986</c:v>
                </c:pt>
                <c:pt idx="28" formatCode="0">
                  <c:v>68.613937349999986</c:v>
                </c:pt>
                <c:pt idx="29" formatCode="0">
                  <c:v>68.613937349999986</c:v>
                </c:pt>
                <c:pt idx="30" formatCode="0">
                  <c:v>68.613937349999986</c:v>
                </c:pt>
                <c:pt idx="31" formatCode="0">
                  <c:v>68.613937349999986</c:v>
                </c:pt>
                <c:pt idx="32" formatCode="0">
                  <c:v>68.61393735</c:v>
                </c:pt>
                <c:pt idx="33" formatCode="0">
                  <c:v>68.61393735</c:v>
                </c:pt>
                <c:pt idx="34" formatCode="0">
                  <c:v>68.613937350000015</c:v>
                </c:pt>
                <c:pt idx="35" formatCode="0">
                  <c:v>68.613937350000015</c:v>
                </c:pt>
              </c:numCache>
            </c:numRef>
          </c:val>
          <c:extLst>
            <c:ext xmlns:c16="http://schemas.microsoft.com/office/drawing/2014/chart" uri="{C3380CC4-5D6E-409C-BE32-E72D297353CC}">
              <c16:uniqueId val="{00000001-BCC1-4ED4-B88D-513763A3D1AD}"/>
            </c:ext>
          </c:extLst>
        </c:ser>
        <c:ser>
          <c:idx val="4"/>
          <c:order val="3"/>
          <c:tx>
            <c:strRef>
              <c:f>Scenarier!$A$41</c:f>
              <c:strCache>
                <c:ptCount val="1"/>
                <c:pt idx="0">
                  <c:v>Wind power</c:v>
                </c:pt>
              </c:strCache>
            </c:strRef>
          </c:tx>
          <c:spPr>
            <a:solidFill>
              <a:schemeClr val="accent5">
                <a:lumMod val="40000"/>
                <a:lumOff val="60000"/>
              </a:schemeClr>
            </a:solidFill>
            <a:ln>
              <a:solidFill>
                <a:schemeClr val="accent5">
                  <a:lumMod val="40000"/>
                  <a:lumOff val="60000"/>
                </a:schemeClr>
              </a:solidFill>
            </a:ln>
          </c:spP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Scenarier!$B$27:$AK$27</c:f>
              <c:numCache>
                <c:formatCode>0.0</c:formatCode>
                <c:ptCount val="36"/>
                <c:pt idx="0">
                  <c:v>0.90600728155339827</c:v>
                </c:pt>
                <c:pt idx="1">
                  <c:v>0.97235699026821754</c:v>
                </c:pt>
                <c:pt idx="2">
                  <c:v>1.2503304783789431</c:v>
                </c:pt>
                <c:pt idx="3">
                  <c:v>1.7006797479747973</c:v>
                </c:pt>
                <c:pt idx="4">
                  <c:v>2.5438570198105079</c:v>
                </c:pt>
                <c:pt idx="5">
                  <c:v>3.8002529510961218</c:v>
                </c:pt>
                <c:pt idx="6">
                  <c:v>5.5906314916710631</c:v>
                </c:pt>
                <c:pt idx="7">
                  <c:v>7.3484810772655695</c:v>
                </c:pt>
                <c:pt idx="8">
                  <c:v>9.1840395237709576</c:v>
                </c:pt>
                <c:pt idx="9">
                  <c:v>11.07697604261892</c:v>
                </c:pt>
                <c:pt idx="10">
                  <c:v>14.116551909779808</c:v>
                </c:pt>
                <c:pt idx="11" formatCode="0">
                  <c:v>15.057862689963038</c:v>
                </c:pt>
                <c:pt idx="12" formatCode="0">
                  <c:v>15.999173470146268</c:v>
                </c:pt>
                <c:pt idx="13" formatCode="0">
                  <c:v>16.940484250329497</c:v>
                </c:pt>
                <c:pt idx="14" formatCode="0">
                  <c:v>17.881795030512727</c:v>
                </c:pt>
                <c:pt idx="15" formatCode="0">
                  <c:v>18.823105810695957</c:v>
                </c:pt>
                <c:pt idx="16" formatCode="0">
                  <c:v>19.287345712372094</c:v>
                </c:pt>
                <c:pt idx="17" formatCode="0">
                  <c:v>19.751585614048235</c:v>
                </c:pt>
                <c:pt idx="18" formatCode="0">
                  <c:v>20.215825515724372</c:v>
                </c:pt>
                <c:pt idx="19" formatCode="0">
                  <c:v>20.680065417400513</c:v>
                </c:pt>
                <c:pt idx="20" formatCode="0">
                  <c:v>21.144305319076651</c:v>
                </c:pt>
                <c:pt idx="21" formatCode="0">
                  <c:v>23.917898699003707</c:v>
                </c:pt>
                <c:pt idx="22" formatCode="0">
                  <c:v>26.691492078930764</c:v>
                </c:pt>
                <c:pt idx="23" formatCode="0">
                  <c:v>29.465085458857821</c:v>
                </c:pt>
                <c:pt idx="24" formatCode="0">
                  <c:v>32.238678838784878</c:v>
                </c:pt>
                <c:pt idx="25" formatCode="0">
                  <c:v>35.012272218711935</c:v>
                </c:pt>
                <c:pt idx="26" formatCode="0">
                  <c:v>35.936492960525484</c:v>
                </c:pt>
                <c:pt idx="27" formatCode="0">
                  <c:v>36.860713702339041</c:v>
                </c:pt>
                <c:pt idx="28" formatCode="0">
                  <c:v>37.78493444415259</c:v>
                </c:pt>
                <c:pt idx="29" formatCode="0">
                  <c:v>38.709155185966146</c:v>
                </c:pt>
                <c:pt idx="30" formatCode="0">
                  <c:v>39.633375927779696</c:v>
                </c:pt>
                <c:pt idx="31" formatCode="0">
                  <c:v>42.855970266156568</c:v>
                </c:pt>
                <c:pt idx="32" formatCode="0">
                  <c:v>46.078564604533447</c:v>
                </c:pt>
                <c:pt idx="33" formatCode="0">
                  <c:v>49.30115894291032</c:v>
                </c:pt>
                <c:pt idx="34" formatCode="0">
                  <c:v>52.523753281287199</c:v>
                </c:pt>
                <c:pt idx="35" formatCode="0">
                  <c:v>55.746347619664071</c:v>
                </c:pt>
              </c:numCache>
            </c:numRef>
          </c:val>
          <c:extLst>
            <c:ext xmlns:c16="http://schemas.microsoft.com/office/drawing/2014/chart" uri="{C3380CC4-5D6E-409C-BE32-E72D297353CC}">
              <c16:uniqueId val="{00000002-BCC1-4ED4-B88D-513763A3D1AD}"/>
            </c:ext>
          </c:extLst>
        </c:ser>
        <c:ser>
          <c:idx val="6"/>
          <c:order val="4"/>
          <c:tx>
            <c:strRef>
              <c:f>Scenarier!$A$42</c:f>
              <c:strCache>
                <c:ptCount val="1"/>
                <c:pt idx="0">
                  <c:v>Heat pumps</c:v>
                </c:pt>
              </c:strCache>
            </c:strRef>
          </c:tx>
          <c:spPr>
            <a:solidFill>
              <a:schemeClr val="accent6"/>
            </a:solidFill>
            <a:ln>
              <a:solidFill>
                <a:schemeClr val="accent6"/>
              </a:solidFill>
            </a:ln>
          </c:spP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Scenarier!$B$28:$AK$28</c:f>
              <c:numCache>
                <c:formatCode>0.0</c:formatCode>
                <c:ptCount val="36"/>
                <c:pt idx="0">
                  <c:v>6.814249600000001</c:v>
                </c:pt>
                <c:pt idx="1">
                  <c:v>8.0525344666666676</c:v>
                </c:pt>
                <c:pt idx="2">
                  <c:v>9.1429632666666674</c:v>
                </c:pt>
                <c:pt idx="3">
                  <c:v>9.7983525333333343</c:v>
                </c:pt>
                <c:pt idx="4">
                  <c:v>10.66858666666667</c:v>
                </c:pt>
                <c:pt idx="5">
                  <c:v>10.677115333333337</c:v>
                </c:pt>
                <c:pt idx="6">
                  <c:v>13.529028267301586</c:v>
                </c:pt>
                <c:pt idx="7">
                  <c:v>14.161407227936511</c:v>
                </c:pt>
                <c:pt idx="8">
                  <c:v>14.247181571758732</c:v>
                </c:pt>
                <c:pt idx="9">
                  <c:v>14.101668295238099</c:v>
                </c:pt>
                <c:pt idx="10">
                  <c:v>13.910757184126988</c:v>
                </c:pt>
                <c:pt idx="11" formatCode="0">
                  <c:v>14.068271917650348</c:v>
                </c:pt>
                <c:pt idx="12" formatCode="0">
                  <c:v>14.22578665117371</c:v>
                </c:pt>
                <c:pt idx="13" formatCode="0">
                  <c:v>14.38330138469707</c:v>
                </c:pt>
                <c:pt idx="14" formatCode="0">
                  <c:v>14.540816118220432</c:v>
                </c:pt>
                <c:pt idx="15" formatCode="0">
                  <c:v>14.698330851743792</c:v>
                </c:pt>
                <c:pt idx="16" formatCode="0">
                  <c:v>15.189493380283308</c:v>
                </c:pt>
                <c:pt idx="17" formatCode="0">
                  <c:v>15.680655908822823</c:v>
                </c:pt>
                <c:pt idx="18" formatCode="0">
                  <c:v>16.171818437362337</c:v>
                </c:pt>
                <c:pt idx="19" formatCode="0">
                  <c:v>16.662980965901852</c:v>
                </c:pt>
                <c:pt idx="20" formatCode="0">
                  <c:v>17.154143494441367</c:v>
                </c:pt>
                <c:pt idx="21" formatCode="0">
                  <c:v>17.524836883435746</c:v>
                </c:pt>
                <c:pt idx="22" formatCode="0">
                  <c:v>17.895530272430122</c:v>
                </c:pt>
                <c:pt idx="23" formatCode="0">
                  <c:v>18.266223661424501</c:v>
                </c:pt>
                <c:pt idx="24" formatCode="0">
                  <c:v>18.636917050418877</c:v>
                </c:pt>
                <c:pt idx="25" formatCode="0">
                  <c:v>19.007610439413256</c:v>
                </c:pt>
                <c:pt idx="26" formatCode="0">
                  <c:v>19.089709378775449</c:v>
                </c:pt>
                <c:pt idx="27" formatCode="0">
                  <c:v>19.171808318137643</c:v>
                </c:pt>
                <c:pt idx="28" formatCode="0">
                  <c:v>19.25390725749984</c:v>
                </c:pt>
                <c:pt idx="29" formatCode="0">
                  <c:v>19.336006196862034</c:v>
                </c:pt>
                <c:pt idx="30" formatCode="0">
                  <c:v>19.418105136224227</c:v>
                </c:pt>
                <c:pt idx="31" formatCode="0">
                  <c:v>19.459974326457267</c:v>
                </c:pt>
                <c:pt idx="32" formatCode="0">
                  <c:v>19.501843516690307</c:v>
                </c:pt>
                <c:pt idx="33" formatCode="0">
                  <c:v>19.543712706923348</c:v>
                </c:pt>
                <c:pt idx="34" formatCode="0">
                  <c:v>19.585581897156388</c:v>
                </c:pt>
                <c:pt idx="35" formatCode="0">
                  <c:v>19.627451087389428</c:v>
                </c:pt>
              </c:numCache>
            </c:numRef>
          </c:val>
          <c:extLst>
            <c:ext xmlns:c16="http://schemas.microsoft.com/office/drawing/2014/chart" uri="{C3380CC4-5D6E-409C-BE32-E72D297353CC}">
              <c16:uniqueId val="{00000003-BCC1-4ED4-B88D-513763A3D1AD}"/>
            </c:ext>
          </c:extLst>
        </c:ser>
        <c:ser>
          <c:idx val="8"/>
          <c:order val="5"/>
          <c:tx>
            <c:strRef>
              <c:f>Scenarier!$A$43</c:f>
              <c:strCache>
                <c:ptCount val="1"/>
                <c:pt idx="0">
                  <c:v>Solar power</c:v>
                </c:pt>
              </c:strCache>
            </c:strRef>
          </c:tx>
          <c:spPr>
            <a:solidFill>
              <a:srgbClr val="FF0000"/>
            </a:solidFill>
            <a:ln>
              <a:solidFill>
                <a:srgbClr val="FF0000"/>
              </a:solidFill>
            </a:ln>
          </c:spP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Scenarier!$B$29:$AK$29</c:f>
              <c:numCache>
                <c:formatCode>0.0</c:formatCode>
                <c:ptCount val="36"/>
                <c:pt idx="0">
                  <c:v>7.0738111111111113E-2</c:v>
                </c:pt>
                <c:pt idx="1">
                  <c:v>6.9374444444444447E-2</c:v>
                </c:pt>
                <c:pt idx="2">
                  <c:v>0.10313899999999999</c:v>
                </c:pt>
                <c:pt idx="3">
                  <c:v>0.11399999999999999</c:v>
                </c:pt>
                <c:pt idx="4">
                  <c:v>0.122</c:v>
                </c:pt>
                <c:pt idx="5">
                  <c:v>0.12860000000000002</c:v>
                </c:pt>
                <c:pt idx="6">
                  <c:v>0.13905555555555557</c:v>
                </c:pt>
                <c:pt idx="7">
                  <c:v>0.1478888888888889</c:v>
                </c:pt>
                <c:pt idx="8">
                  <c:v>0.16500000000000001</c:v>
                </c:pt>
                <c:pt idx="9">
                  <c:v>0.17699999999999999</c:v>
                </c:pt>
                <c:pt idx="10">
                  <c:v>0.22811111111111113</c:v>
                </c:pt>
                <c:pt idx="11">
                  <c:v>0.20960459288888891</c:v>
                </c:pt>
                <c:pt idx="12">
                  <c:v>0.19109807466666667</c:v>
                </c:pt>
                <c:pt idx="13">
                  <c:v>0.17259155644444446</c:v>
                </c:pt>
                <c:pt idx="14">
                  <c:v>0.15408503822222225</c:v>
                </c:pt>
                <c:pt idx="15">
                  <c:v>0.13557852000000001</c:v>
                </c:pt>
                <c:pt idx="16">
                  <c:v>0.13557852000000001</c:v>
                </c:pt>
                <c:pt idx="17">
                  <c:v>0.13557852000000001</c:v>
                </c:pt>
                <c:pt idx="18">
                  <c:v>0.13557852000000001</c:v>
                </c:pt>
                <c:pt idx="19">
                  <c:v>0.13557852000000001</c:v>
                </c:pt>
                <c:pt idx="20">
                  <c:v>0.13557852000000001</c:v>
                </c:pt>
                <c:pt idx="21">
                  <c:v>1.0123196159999999</c:v>
                </c:pt>
                <c:pt idx="22">
                  <c:v>1.8890607119999998</c:v>
                </c:pt>
                <c:pt idx="23">
                  <c:v>2.765801808</c:v>
                </c:pt>
                <c:pt idx="24">
                  <c:v>3.6425429039999999</c:v>
                </c:pt>
                <c:pt idx="25">
                  <c:v>4.5192839999999999</c:v>
                </c:pt>
                <c:pt idx="26">
                  <c:v>4.5192839999999999</c:v>
                </c:pt>
                <c:pt idx="27">
                  <c:v>4.5192839999999999</c:v>
                </c:pt>
                <c:pt idx="28">
                  <c:v>4.5192839999999999</c:v>
                </c:pt>
                <c:pt idx="29">
                  <c:v>4.5192839999999999</c:v>
                </c:pt>
                <c:pt idx="30">
                  <c:v>4.5192839999999999</c:v>
                </c:pt>
                <c:pt idx="31">
                  <c:v>4.5192839999999999</c:v>
                </c:pt>
                <c:pt idx="32">
                  <c:v>4.5192839999999999</c:v>
                </c:pt>
                <c:pt idx="33">
                  <c:v>4.5192839999999999</c:v>
                </c:pt>
                <c:pt idx="34">
                  <c:v>4.5192839999999999</c:v>
                </c:pt>
                <c:pt idx="35">
                  <c:v>4.5192839999999999</c:v>
                </c:pt>
              </c:numCache>
            </c:numRef>
          </c:val>
          <c:extLst>
            <c:ext xmlns:c16="http://schemas.microsoft.com/office/drawing/2014/chart" uri="{C3380CC4-5D6E-409C-BE32-E72D297353CC}">
              <c16:uniqueId val="{00000004-BCC1-4ED4-B88D-513763A3D1AD}"/>
            </c:ext>
          </c:extLst>
        </c:ser>
        <c:dLbls>
          <c:showLegendKey val="0"/>
          <c:showVal val="0"/>
          <c:showCatName val="0"/>
          <c:showSerName val="0"/>
          <c:showPercent val="0"/>
          <c:showBubbleSize val="0"/>
        </c:dLbls>
        <c:axId val="99181312"/>
        <c:axId val="99182848"/>
      </c:areaChart>
      <c:lineChart>
        <c:grouping val="standard"/>
        <c:varyColors val="0"/>
        <c:ser>
          <c:idx val="1"/>
          <c:order val="0"/>
          <c:tx>
            <c:strRef>
              <c:f>Scenarier!$A$44</c:f>
              <c:strCache>
                <c:ptCount val="1"/>
                <c:pt idx="0">
                  <c:v>Total energy use</c:v>
                </c:pt>
              </c:strCache>
            </c:strRef>
          </c:tx>
          <c:spPr>
            <a:ln>
              <a:solidFill>
                <a:sysClr val="windowText" lastClr="000000"/>
              </a:solidFill>
            </a:ln>
          </c:spPr>
          <c:marker>
            <c:symbol val="none"/>
          </c:marker>
          <c:cat>
            <c:numRef>
              <c:f>Nuläget!$C$191:$L$191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Scenarier!$B$36:$AK$36</c:f>
              <c:numCache>
                <c:formatCode>0.0</c:formatCode>
                <c:ptCount val="36"/>
                <c:pt idx="0">
                  <c:v>413.89756823888888</c:v>
                </c:pt>
                <c:pt idx="1">
                  <c:v>408.69561494166669</c:v>
                </c:pt>
                <c:pt idx="2">
                  <c:v>411.26896007777788</c:v>
                </c:pt>
                <c:pt idx="3">
                  <c:v>401.95829352222228</c:v>
                </c:pt>
                <c:pt idx="4">
                  <c:v>390.50954503058892</c:v>
                </c:pt>
                <c:pt idx="5">
                  <c:v>422.11188758021109</c:v>
                </c:pt>
                <c:pt idx="6">
                  <c:v>404.65037981259906</c:v>
                </c:pt>
                <c:pt idx="7">
                  <c:v>406.49331477479325</c:v>
                </c:pt>
                <c:pt idx="8">
                  <c:v>396.9456783834404</c:v>
                </c:pt>
                <c:pt idx="9">
                  <c:v>389.23733284579669</c:v>
                </c:pt>
                <c:pt idx="10">
                  <c:v>394.40962398361683</c:v>
                </c:pt>
                <c:pt idx="11" formatCode="0">
                  <c:v>400.92911843053207</c:v>
                </c:pt>
                <c:pt idx="12" formatCode="0">
                  <c:v>407.44861287744732</c:v>
                </c:pt>
                <c:pt idx="13" formatCode="0">
                  <c:v>413.96810732436251</c:v>
                </c:pt>
                <c:pt idx="14" formatCode="0">
                  <c:v>420.48760177127775</c:v>
                </c:pt>
                <c:pt idx="15" formatCode="0">
                  <c:v>427.007096218193</c:v>
                </c:pt>
                <c:pt idx="16" formatCode="0">
                  <c:v>425.74553011693121</c:v>
                </c:pt>
                <c:pt idx="17" formatCode="0">
                  <c:v>424.48396401566941</c:v>
                </c:pt>
                <c:pt idx="18" formatCode="0">
                  <c:v>423.22239791440757</c:v>
                </c:pt>
                <c:pt idx="19" formatCode="0">
                  <c:v>421.96083181314577</c:v>
                </c:pt>
                <c:pt idx="20" formatCode="0">
                  <c:v>420.69926571188398</c:v>
                </c:pt>
                <c:pt idx="21" formatCode="0">
                  <c:v>419.99313408216113</c:v>
                </c:pt>
                <c:pt idx="22" formatCode="0">
                  <c:v>419.28700245243829</c:v>
                </c:pt>
                <c:pt idx="23" formatCode="0">
                  <c:v>418.58087082271538</c:v>
                </c:pt>
                <c:pt idx="24" formatCode="0">
                  <c:v>417.87473919299254</c:v>
                </c:pt>
                <c:pt idx="25" formatCode="0">
                  <c:v>417.16860756326969</c:v>
                </c:pt>
                <c:pt idx="26" formatCode="0">
                  <c:v>417.03571832513404</c:v>
                </c:pt>
                <c:pt idx="27" formatCode="0">
                  <c:v>416.90282908699834</c:v>
                </c:pt>
                <c:pt idx="28" formatCode="0">
                  <c:v>416.76993984886269</c:v>
                </c:pt>
                <c:pt idx="29" formatCode="0">
                  <c:v>416.63705061072699</c:v>
                </c:pt>
                <c:pt idx="30" formatCode="0">
                  <c:v>416.50416137259134</c:v>
                </c:pt>
                <c:pt idx="31" formatCode="0">
                  <c:v>416.83485697207595</c:v>
                </c:pt>
                <c:pt idx="32" formatCode="0">
                  <c:v>417.16555257156051</c:v>
                </c:pt>
                <c:pt idx="33" formatCode="0">
                  <c:v>417.49624817104512</c:v>
                </c:pt>
                <c:pt idx="34" formatCode="0">
                  <c:v>417.82694377052968</c:v>
                </c:pt>
                <c:pt idx="35" formatCode="0">
                  <c:v>418.15763937001429</c:v>
                </c:pt>
              </c:numCache>
            </c:numRef>
          </c:val>
          <c:smooth val="0"/>
          <c:extLst>
            <c:ext xmlns:c16="http://schemas.microsoft.com/office/drawing/2014/chart" uri="{C3380CC4-5D6E-409C-BE32-E72D297353CC}">
              <c16:uniqueId val="{00000005-BCC1-4ED4-B88D-513763A3D1AD}"/>
            </c:ext>
          </c:extLst>
        </c:ser>
        <c:dLbls>
          <c:showLegendKey val="0"/>
          <c:showVal val="0"/>
          <c:showCatName val="0"/>
          <c:showSerName val="0"/>
          <c:showPercent val="0"/>
          <c:showBubbleSize val="0"/>
        </c:dLbls>
        <c:marker val="1"/>
        <c:smooth val="0"/>
        <c:axId val="99181312"/>
        <c:axId val="99182848"/>
      </c:lineChart>
      <c:catAx>
        <c:axId val="99181312"/>
        <c:scaling>
          <c:orientation val="minMax"/>
        </c:scaling>
        <c:delete val="0"/>
        <c:axPos val="b"/>
        <c:numFmt formatCode="General" sourceLinked="1"/>
        <c:majorTickMark val="out"/>
        <c:minorTickMark val="none"/>
        <c:tickLblPos val="nextTo"/>
        <c:txPr>
          <a:bodyPr rot="-2700000"/>
          <a:lstStyle/>
          <a:p>
            <a:pPr>
              <a:defRPr/>
            </a:pPr>
            <a:endParaRPr lang="sv-SE"/>
          </a:p>
        </c:txPr>
        <c:crossAx val="99182848"/>
        <c:crosses val="autoZero"/>
        <c:auto val="1"/>
        <c:lblAlgn val="ctr"/>
        <c:lblOffset val="100"/>
        <c:tickLblSkip val="5"/>
        <c:noMultiLvlLbl val="0"/>
      </c:catAx>
      <c:valAx>
        <c:axId val="99182848"/>
        <c:scaling>
          <c:orientation val="minMax"/>
        </c:scaling>
        <c:delete val="0"/>
        <c:axPos val="l"/>
        <c:majorGridlines/>
        <c:title>
          <c:tx>
            <c:rich>
              <a:bodyPr/>
              <a:lstStyle/>
              <a:p>
                <a:pPr>
                  <a:defRPr b="0"/>
                </a:pPr>
                <a:r>
                  <a:rPr lang="en-US" b="0"/>
                  <a:t>TWh</a:t>
                </a:r>
              </a:p>
            </c:rich>
          </c:tx>
          <c:layout>
            <c:manualLayout>
              <c:xMode val="edge"/>
              <c:yMode val="edge"/>
              <c:x val="1.4561389086464059E-2"/>
              <c:y val="0.39004908355466295"/>
            </c:manualLayout>
          </c:layout>
          <c:overlay val="0"/>
        </c:title>
        <c:numFmt formatCode="0" sourceLinked="0"/>
        <c:majorTickMark val="out"/>
        <c:minorTickMark val="none"/>
        <c:tickLblPos val="nextTo"/>
        <c:crossAx val="99181312"/>
        <c:crosses val="autoZero"/>
        <c:crossBetween val="midCat"/>
      </c:valAx>
    </c:plotArea>
    <c:legend>
      <c:legendPos val="r"/>
      <c:layout>
        <c:manualLayout>
          <c:xMode val="edge"/>
          <c:yMode val="edge"/>
          <c:x val="0.73485304884727798"/>
          <c:y val="0.16431902306055085"/>
          <c:w val="0.25002414115151128"/>
          <c:h val="0.69227698483643785"/>
        </c:manualLayout>
      </c:layout>
      <c:overlay val="0"/>
    </c:legend>
    <c:plotVisOnly val="1"/>
    <c:dispBlanksAs val="zero"/>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sv-SE"/>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70253718285221E-2"/>
          <c:y val="5.0925925925925923E-2"/>
          <c:w val="0.70495333079929312"/>
          <c:h val="0.79564082718278695"/>
        </c:manualLayout>
      </c:layout>
      <c:areaChart>
        <c:grouping val="stacked"/>
        <c:varyColors val="0"/>
        <c:ser>
          <c:idx val="0"/>
          <c:order val="0"/>
          <c:tx>
            <c:strRef>
              <c:f>Scenarier!$A$73</c:f>
              <c:strCache>
                <c:ptCount val="1"/>
                <c:pt idx="0">
                  <c:v>Hydro power</c:v>
                </c:pt>
              </c:strCache>
            </c:strRef>
          </c:tx>
          <c:spPr>
            <a:solidFill>
              <a:schemeClr val="accent5">
                <a:lumMod val="75000"/>
              </a:schemeClr>
            </a:solidFill>
            <a:ln>
              <a:noFill/>
            </a:ln>
            <a:effectLst/>
          </c:spPr>
          <c:cat>
            <c:numRef>
              <c:f>Scenarier!$B$62:$AK$62</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Scenarier!$B$63:$AK$63</c:f>
              <c:numCache>
                <c:formatCode>0.0</c:formatCode>
                <c:ptCount val="36"/>
                <c:pt idx="0">
                  <c:v>68.420923700524952</c:v>
                </c:pt>
                <c:pt idx="1">
                  <c:v>67.943607452239533</c:v>
                </c:pt>
                <c:pt idx="2">
                  <c:v>68.720474255147607</c:v>
                </c:pt>
                <c:pt idx="3">
                  <c:v>67.202212572290705</c:v>
                </c:pt>
                <c:pt idx="4">
                  <c:v>68.325708472723349</c:v>
                </c:pt>
                <c:pt idx="5">
                  <c:v>68.282929520130949</c:v>
                </c:pt>
                <c:pt idx="6">
                  <c:v>68.509347505003873</c:v>
                </c:pt>
                <c:pt idx="7">
                  <c:v>68.505802514709572</c:v>
                </c:pt>
                <c:pt idx="8">
                  <c:v>67.862575100349986</c:v>
                </c:pt>
                <c:pt idx="9">
                  <c:v>65.428315812225748</c:v>
                </c:pt>
                <c:pt idx="10">
                  <c:v>66.668365560678794</c:v>
                </c:pt>
                <c:pt idx="11">
                  <c:v>66.899799918543039</c:v>
                </c:pt>
                <c:pt idx="12">
                  <c:v>67.13123427640727</c:v>
                </c:pt>
                <c:pt idx="13">
                  <c:v>67.362668634271515</c:v>
                </c:pt>
                <c:pt idx="14">
                  <c:v>67.594102992135745</c:v>
                </c:pt>
                <c:pt idx="15">
                  <c:v>67.825537349999991</c:v>
                </c:pt>
                <c:pt idx="16">
                  <c:v>67.93065734999999</c:v>
                </c:pt>
                <c:pt idx="17">
                  <c:v>68.035777349999989</c:v>
                </c:pt>
                <c:pt idx="18">
                  <c:v>68.140897349999975</c:v>
                </c:pt>
                <c:pt idx="19">
                  <c:v>68.246017349999974</c:v>
                </c:pt>
                <c:pt idx="20">
                  <c:v>68.351137349999973</c:v>
                </c:pt>
                <c:pt idx="21">
                  <c:v>68.403697349999973</c:v>
                </c:pt>
                <c:pt idx="22">
                  <c:v>68.456257349999973</c:v>
                </c:pt>
                <c:pt idx="23">
                  <c:v>68.508817349999987</c:v>
                </c:pt>
                <c:pt idx="24">
                  <c:v>68.561377349999987</c:v>
                </c:pt>
                <c:pt idx="25">
                  <c:v>68.613937349999986</c:v>
                </c:pt>
                <c:pt idx="26">
                  <c:v>68.613937349999986</c:v>
                </c:pt>
                <c:pt idx="27">
                  <c:v>68.613937349999986</c:v>
                </c:pt>
                <c:pt idx="28">
                  <c:v>68.613937349999986</c:v>
                </c:pt>
                <c:pt idx="29">
                  <c:v>68.613937349999986</c:v>
                </c:pt>
                <c:pt idx="30">
                  <c:v>68.613937349999986</c:v>
                </c:pt>
                <c:pt idx="31">
                  <c:v>68.613937349999986</c:v>
                </c:pt>
                <c:pt idx="32">
                  <c:v>68.61393735</c:v>
                </c:pt>
                <c:pt idx="33">
                  <c:v>68.61393735</c:v>
                </c:pt>
                <c:pt idx="34">
                  <c:v>68.613937350000015</c:v>
                </c:pt>
                <c:pt idx="35">
                  <c:v>68.613937350000015</c:v>
                </c:pt>
              </c:numCache>
            </c:numRef>
          </c:val>
          <c:extLst>
            <c:ext xmlns:c16="http://schemas.microsoft.com/office/drawing/2014/chart" uri="{C3380CC4-5D6E-409C-BE32-E72D297353CC}">
              <c16:uniqueId val="{00000000-8761-416B-956A-7D56F9CC2750}"/>
            </c:ext>
          </c:extLst>
        </c:ser>
        <c:ser>
          <c:idx val="1"/>
          <c:order val="1"/>
          <c:tx>
            <c:strRef>
              <c:f>Scenarier!$A$74</c:f>
              <c:strCache>
                <c:ptCount val="1"/>
                <c:pt idx="0">
                  <c:v>Wind power</c:v>
                </c:pt>
              </c:strCache>
            </c:strRef>
          </c:tx>
          <c:spPr>
            <a:solidFill>
              <a:schemeClr val="accent5">
                <a:lumMod val="20000"/>
                <a:lumOff val="80000"/>
              </a:schemeClr>
            </a:solidFill>
            <a:ln>
              <a:noFill/>
            </a:ln>
            <a:effectLst/>
          </c:spPr>
          <c:cat>
            <c:numRef>
              <c:f>Scenarier!$B$62:$AK$62</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Scenarier!$B$64:$AK$64</c:f>
              <c:numCache>
                <c:formatCode>0.0</c:formatCode>
                <c:ptCount val="36"/>
                <c:pt idx="0">
                  <c:v>0.90600728155339805</c:v>
                </c:pt>
                <c:pt idx="1">
                  <c:v>0.97235699026821731</c:v>
                </c:pt>
                <c:pt idx="2">
                  <c:v>1.2503304783789431</c:v>
                </c:pt>
                <c:pt idx="3">
                  <c:v>1.700679747974797</c:v>
                </c:pt>
                <c:pt idx="4">
                  <c:v>2.5438570198105079</c:v>
                </c:pt>
                <c:pt idx="5">
                  <c:v>3.8002529510961214</c:v>
                </c:pt>
                <c:pt idx="6">
                  <c:v>5.5906314916710631</c:v>
                </c:pt>
                <c:pt idx="7">
                  <c:v>7.3484810772655687</c:v>
                </c:pt>
                <c:pt idx="8">
                  <c:v>9.1840395237709576</c:v>
                </c:pt>
                <c:pt idx="9">
                  <c:v>11.07697604261892</c:v>
                </c:pt>
                <c:pt idx="10">
                  <c:v>14.116551909779806</c:v>
                </c:pt>
                <c:pt idx="11">
                  <c:v>15.057862689963036</c:v>
                </c:pt>
                <c:pt idx="12">
                  <c:v>15.999173470146266</c:v>
                </c:pt>
                <c:pt idx="13">
                  <c:v>16.940484250329497</c:v>
                </c:pt>
                <c:pt idx="14">
                  <c:v>17.881795030512727</c:v>
                </c:pt>
                <c:pt idx="15">
                  <c:v>18.823105810695957</c:v>
                </c:pt>
                <c:pt idx="16">
                  <c:v>19.287345712372094</c:v>
                </c:pt>
                <c:pt idx="17">
                  <c:v>19.751585614048235</c:v>
                </c:pt>
                <c:pt idx="18">
                  <c:v>20.215825515724372</c:v>
                </c:pt>
                <c:pt idx="19">
                  <c:v>20.680065417400513</c:v>
                </c:pt>
                <c:pt idx="20">
                  <c:v>21.144305319076651</c:v>
                </c:pt>
                <c:pt idx="21">
                  <c:v>23.917898699003707</c:v>
                </c:pt>
                <c:pt idx="22">
                  <c:v>26.691492078930764</c:v>
                </c:pt>
                <c:pt idx="23">
                  <c:v>29.465085458857821</c:v>
                </c:pt>
                <c:pt idx="24">
                  <c:v>32.238678838784878</c:v>
                </c:pt>
                <c:pt idx="25">
                  <c:v>35.012272218711935</c:v>
                </c:pt>
                <c:pt idx="26">
                  <c:v>35.936492960525484</c:v>
                </c:pt>
                <c:pt idx="27">
                  <c:v>36.860713702339041</c:v>
                </c:pt>
                <c:pt idx="28">
                  <c:v>37.78493444415259</c:v>
                </c:pt>
                <c:pt idx="29">
                  <c:v>38.709155185966146</c:v>
                </c:pt>
                <c:pt idx="30">
                  <c:v>39.633375927779696</c:v>
                </c:pt>
                <c:pt idx="31">
                  <c:v>42.855970266156568</c:v>
                </c:pt>
                <c:pt idx="32">
                  <c:v>46.078564604533447</c:v>
                </c:pt>
                <c:pt idx="33">
                  <c:v>49.30115894291032</c:v>
                </c:pt>
                <c:pt idx="34">
                  <c:v>52.523753281287199</c:v>
                </c:pt>
                <c:pt idx="35">
                  <c:v>55.746347619664071</c:v>
                </c:pt>
              </c:numCache>
            </c:numRef>
          </c:val>
          <c:extLst>
            <c:ext xmlns:c16="http://schemas.microsoft.com/office/drawing/2014/chart" uri="{C3380CC4-5D6E-409C-BE32-E72D297353CC}">
              <c16:uniqueId val="{00000001-8761-416B-956A-7D56F9CC2750}"/>
            </c:ext>
          </c:extLst>
        </c:ser>
        <c:ser>
          <c:idx val="3"/>
          <c:order val="2"/>
          <c:tx>
            <c:strRef>
              <c:f>Scenarier!$A$76</c:f>
              <c:strCache>
                <c:ptCount val="1"/>
                <c:pt idx="0">
                  <c:v>Bio fuels</c:v>
                </c:pt>
              </c:strCache>
            </c:strRef>
          </c:tx>
          <c:spPr>
            <a:solidFill>
              <a:schemeClr val="accent3"/>
            </a:solidFill>
            <a:ln>
              <a:noFill/>
            </a:ln>
            <a:effectLst/>
          </c:spPr>
          <c:cat>
            <c:numRef>
              <c:f>Scenarier!$B$62:$AK$62</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Scenarier!$B$66:$AK$66</c:f>
              <c:numCache>
                <c:formatCode>0.0</c:formatCode>
                <c:ptCount val="36"/>
                <c:pt idx="0">
                  <c:v>6.8479229999999989</c:v>
                </c:pt>
                <c:pt idx="1">
                  <c:v>7.5031679999999996</c:v>
                </c:pt>
                <c:pt idx="2">
                  <c:v>8.4960000000000004</c:v>
                </c:pt>
                <c:pt idx="3">
                  <c:v>8.9319959999999998</c:v>
                </c:pt>
                <c:pt idx="4">
                  <c:v>10.10295</c:v>
                </c:pt>
                <c:pt idx="5">
                  <c:v>10.26</c:v>
                </c:pt>
                <c:pt idx="6">
                  <c:v>9.641</c:v>
                </c:pt>
                <c:pt idx="7">
                  <c:v>10.507000000000001</c:v>
                </c:pt>
                <c:pt idx="8">
                  <c:v>9.609</c:v>
                </c:pt>
                <c:pt idx="9">
                  <c:v>9.0069999999999997</c:v>
                </c:pt>
                <c:pt idx="10">
                  <c:v>8.9770000000000003</c:v>
                </c:pt>
                <c:pt idx="11">
                  <c:v>9.7721880328428234</c:v>
                </c:pt>
                <c:pt idx="12">
                  <c:v>10.567376065685648</c:v>
                </c:pt>
                <c:pt idx="13">
                  <c:v>11.362564098528471</c:v>
                </c:pt>
                <c:pt idx="14">
                  <c:v>12.157752131371296</c:v>
                </c:pt>
                <c:pt idx="15">
                  <c:v>12.95294016421412</c:v>
                </c:pt>
                <c:pt idx="16">
                  <c:v>13.080710329177755</c:v>
                </c:pt>
                <c:pt idx="17">
                  <c:v>13.208480494141389</c:v>
                </c:pt>
                <c:pt idx="18">
                  <c:v>13.336250659105024</c:v>
                </c:pt>
                <c:pt idx="19">
                  <c:v>13.464020824068658</c:v>
                </c:pt>
                <c:pt idx="20">
                  <c:v>13.591790989032294</c:v>
                </c:pt>
                <c:pt idx="21">
                  <c:v>13.396778860135196</c:v>
                </c:pt>
                <c:pt idx="22">
                  <c:v>13.201766731238099</c:v>
                </c:pt>
                <c:pt idx="23">
                  <c:v>13.006754602341001</c:v>
                </c:pt>
                <c:pt idx="24">
                  <c:v>12.811742473443903</c:v>
                </c:pt>
                <c:pt idx="25">
                  <c:v>12.616730344546806</c:v>
                </c:pt>
                <c:pt idx="26">
                  <c:v>12.991584870710502</c:v>
                </c:pt>
                <c:pt idx="27">
                  <c:v>13.366439396874201</c:v>
                </c:pt>
                <c:pt idx="28">
                  <c:v>13.741293923037897</c:v>
                </c:pt>
                <c:pt idx="29">
                  <c:v>14.116148449201596</c:v>
                </c:pt>
                <c:pt idx="30">
                  <c:v>14.491002975365292</c:v>
                </c:pt>
                <c:pt idx="31">
                  <c:v>14.582731411239696</c:v>
                </c:pt>
                <c:pt idx="32">
                  <c:v>14.6744598471141</c:v>
                </c:pt>
                <c:pt idx="33">
                  <c:v>14.766188282988503</c:v>
                </c:pt>
                <c:pt idx="34">
                  <c:v>14.857916718862908</c:v>
                </c:pt>
                <c:pt idx="35">
                  <c:v>14.949645154737311</c:v>
                </c:pt>
              </c:numCache>
            </c:numRef>
          </c:val>
          <c:extLst>
            <c:ext xmlns:c16="http://schemas.microsoft.com/office/drawing/2014/chart" uri="{C3380CC4-5D6E-409C-BE32-E72D297353CC}">
              <c16:uniqueId val="{00000002-8761-416B-956A-7D56F9CC2750}"/>
            </c:ext>
          </c:extLst>
        </c:ser>
        <c:ser>
          <c:idx val="4"/>
          <c:order val="3"/>
          <c:tx>
            <c:strRef>
              <c:f>Scenarier!$A$77</c:f>
              <c:strCache>
                <c:ptCount val="1"/>
                <c:pt idx="0">
                  <c:v>Other</c:v>
                </c:pt>
              </c:strCache>
            </c:strRef>
          </c:tx>
          <c:spPr>
            <a:solidFill>
              <a:schemeClr val="accent6">
                <a:lumMod val="75000"/>
              </a:schemeClr>
            </a:solidFill>
            <a:ln>
              <a:noFill/>
            </a:ln>
            <a:effectLst/>
          </c:spPr>
          <c:cat>
            <c:numRef>
              <c:f>Scenarier!$B$62:$AK$62</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Scenarier!$B$67:$AK$67</c:f>
              <c:numCache>
                <c:formatCode>0.0</c:formatCode>
                <c:ptCount val="36"/>
                <c:pt idx="0">
                  <c:v>0.64188699999998522</c:v>
                </c:pt>
                <c:pt idx="1">
                  <c:v>0.85602400000000667</c:v>
                </c:pt>
                <c:pt idx="2">
                  <c:v>1.3398330000000025</c:v>
                </c:pt>
                <c:pt idx="3">
                  <c:v>1.4051859999999941</c:v>
                </c:pt>
                <c:pt idx="4">
                  <c:v>1.3574600000000099</c:v>
                </c:pt>
                <c:pt idx="5">
                  <c:v>1.9312329999999944</c:v>
                </c:pt>
                <c:pt idx="6">
                  <c:v>1.8930000000000053</c:v>
                </c:pt>
                <c:pt idx="7">
                  <c:v>1.6819999999999926</c:v>
                </c:pt>
                <c:pt idx="8">
                  <c:v>1.7220000000000018</c:v>
                </c:pt>
                <c:pt idx="9">
                  <c:v>1.6399999999999966</c:v>
                </c:pt>
                <c:pt idx="10">
                  <c:v>1.7600000000000018</c:v>
                </c:pt>
                <c:pt idx="11">
                  <c:v>1.6922217255097565</c:v>
                </c:pt>
                <c:pt idx="12">
                  <c:v>1.6244434510195112</c:v>
                </c:pt>
                <c:pt idx="13">
                  <c:v>1.5566651765292661</c:v>
                </c:pt>
                <c:pt idx="14">
                  <c:v>1.4888869020390207</c:v>
                </c:pt>
                <c:pt idx="15">
                  <c:v>1.4211086275487754</c:v>
                </c:pt>
                <c:pt idx="16">
                  <c:v>1.4094952390376596</c:v>
                </c:pt>
                <c:pt idx="17">
                  <c:v>1.3978818505265438</c:v>
                </c:pt>
                <c:pt idx="18">
                  <c:v>1.3862684620154282</c:v>
                </c:pt>
                <c:pt idx="19">
                  <c:v>1.3746550735043124</c:v>
                </c:pt>
                <c:pt idx="20">
                  <c:v>1.3630416849931966</c:v>
                </c:pt>
                <c:pt idx="21">
                  <c:v>1.4136341518724407</c:v>
                </c:pt>
                <c:pt idx="22">
                  <c:v>1.4642266187516848</c:v>
                </c:pt>
                <c:pt idx="23">
                  <c:v>1.5148190856309287</c:v>
                </c:pt>
                <c:pt idx="24">
                  <c:v>1.5654115525101728</c:v>
                </c:pt>
                <c:pt idx="25">
                  <c:v>1.616004019389417</c:v>
                </c:pt>
                <c:pt idx="26">
                  <c:v>1.6288320232552334</c:v>
                </c:pt>
                <c:pt idx="27">
                  <c:v>1.64166002712105</c:v>
                </c:pt>
                <c:pt idx="28">
                  <c:v>1.6544880309868664</c:v>
                </c:pt>
                <c:pt idx="29">
                  <c:v>1.667316034852683</c:v>
                </c:pt>
                <c:pt idx="30">
                  <c:v>1.6801440387184994</c:v>
                </c:pt>
                <c:pt idx="31">
                  <c:v>1.6860346518548419</c:v>
                </c:pt>
                <c:pt idx="32">
                  <c:v>1.6919252649911842</c:v>
                </c:pt>
                <c:pt idx="33">
                  <c:v>1.6978158781275268</c:v>
                </c:pt>
                <c:pt idx="34">
                  <c:v>1.7037064912638691</c:v>
                </c:pt>
                <c:pt idx="35">
                  <c:v>1.7095971044002116</c:v>
                </c:pt>
              </c:numCache>
            </c:numRef>
          </c:val>
          <c:extLst>
            <c:ext xmlns:c16="http://schemas.microsoft.com/office/drawing/2014/chart" uri="{C3380CC4-5D6E-409C-BE32-E72D297353CC}">
              <c16:uniqueId val="{00000003-8761-416B-956A-7D56F9CC2750}"/>
            </c:ext>
          </c:extLst>
        </c:ser>
        <c:ser>
          <c:idx val="2"/>
          <c:order val="4"/>
          <c:tx>
            <c:strRef>
              <c:f>Scenarier!$A$75</c:f>
              <c:strCache>
                <c:ptCount val="1"/>
                <c:pt idx="0">
                  <c:v>Solar power</c:v>
                </c:pt>
              </c:strCache>
            </c:strRef>
          </c:tx>
          <c:spPr>
            <a:solidFill>
              <a:srgbClr val="FFFF00"/>
            </a:solidFill>
            <a:ln>
              <a:noFill/>
            </a:ln>
            <a:effectLst/>
          </c:spPr>
          <c:cat>
            <c:numRef>
              <c:f>Scenarier!$B$62:$AK$62</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Scenarier!$B$65:$AK$65</c:f>
              <c:numCache>
                <c:formatCode>0.0</c:formatCode>
                <c:ptCount val="36"/>
                <c:pt idx="0">
                  <c:v>2.1269999999999996E-3</c:v>
                </c:pt>
                <c:pt idx="1">
                  <c:v>2.4300000000000003E-3</c:v>
                </c:pt>
                <c:pt idx="2">
                  <c:v>3.1389999999999994E-3</c:v>
                </c:pt>
                <c:pt idx="3">
                  <c:v>4.0000000000000001E-3</c:v>
                </c:pt>
                <c:pt idx="4">
                  <c:v>6.9999999999999993E-3</c:v>
                </c:pt>
                <c:pt idx="5">
                  <c:v>8.6E-3</c:v>
                </c:pt>
                <c:pt idx="6">
                  <c:v>1.0999999999999999E-2</c:v>
                </c:pt>
                <c:pt idx="7">
                  <c:v>1.9E-2</c:v>
                </c:pt>
                <c:pt idx="8">
                  <c:v>3.4999999999999996E-2</c:v>
                </c:pt>
                <c:pt idx="9">
                  <c:v>4.7000000000000007E-2</c:v>
                </c:pt>
                <c:pt idx="10">
                  <c:v>9.6999999999999989E-2</c:v>
                </c:pt>
                <c:pt idx="11">
                  <c:v>0.10471570399999999</c:v>
                </c:pt>
                <c:pt idx="12">
                  <c:v>0.112431408</c:v>
                </c:pt>
                <c:pt idx="13">
                  <c:v>0.120147112</c:v>
                </c:pt>
                <c:pt idx="14">
                  <c:v>0.12786281599999999</c:v>
                </c:pt>
                <c:pt idx="15">
                  <c:v>0.13557852000000001</c:v>
                </c:pt>
                <c:pt idx="16">
                  <c:v>0.13557852000000001</c:v>
                </c:pt>
                <c:pt idx="17">
                  <c:v>0.13557852000000001</c:v>
                </c:pt>
                <c:pt idx="18">
                  <c:v>0.13557852000000001</c:v>
                </c:pt>
                <c:pt idx="19">
                  <c:v>0.13557852000000001</c:v>
                </c:pt>
                <c:pt idx="20">
                  <c:v>0.13557852000000001</c:v>
                </c:pt>
                <c:pt idx="21">
                  <c:v>1.0123196159999999</c:v>
                </c:pt>
                <c:pt idx="22">
                  <c:v>1.8890607119999998</c:v>
                </c:pt>
                <c:pt idx="23">
                  <c:v>2.765801808</c:v>
                </c:pt>
                <c:pt idx="24">
                  <c:v>3.6425429039999999</c:v>
                </c:pt>
                <c:pt idx="25">
                  <c:v>4.5192839999999999</c:v>
                </c:pt>
                <c:pt idx="26">
                  <c:v>4.5192839999999999</c:v>
                </c:pt>
                <c:pt idx="27">
                  <c:v>4.5192839999999999</c:v>
                </c:pt>
                <c:pt idx="28">
                  <c:v>4.5192839999999999</c:v>
                </c:pt>
                <c:pt idx="29">
                  <c:v>4.5192839999999999</c:v>
                </c:pt>
                <c:pt idx="30">
                  <c:v>4.5192839999999999</c:v>
                </c:pt>
                <c:pt idx="31">
                  <c:v>4.5192839999999999</c:v>
                </c:pt>
                <c:pt idx="32">
                  <c:v>4.5192839999999999</c:v>
                </c:pt>
                <c:pt idx="33">
                  <c:v>4.5192839999999999</c:v>
                </c:pt>
                <c:pt idx="34">
                  <c:v>4.5192839999999999</c:v>
                </c:pt>
                <c:pt idx="35">
                  <c:v>4.5192839999999999</c:v>
                </c:pt>
              </c:numCache>
            </c:numRef>
          </c:val>
          <c:extLst>
            <c:ext xmlns:c16="http://schemas.microsoft.com/office/drawing/2014/chart" uri="{C3380CC4-5D6E-409C-BE32-E72D297353CC}">
              <c16:uniqueId val="{00000004-8761-416B-956A-7D56F9CC2750}"/>
            </c:ext>
          </c:extLst>
        </c:ser>
        <c:dLbls>
          <c:showLegendKey val="0"/>
          <c:showVal val="0"/>
          <c:showCatName val="0"/>
          <c:showSerName val="0"/>
          <c:showPercent val="0"/>
          <c:showBubbleSize val="0"/>
        </c:dLbls>
        <c:axId val="891426832"/>
        <c:axId val="768039264"/>
      </c:areaChart>
      <c:lineChart>
        <c:grouping val="standard"/>
        <c:varyColors val="0"/>
        <c:ser>
          <c:idx val="5"/>
          <c:order val="5"/>
          <c:tx>
            <c:strRef>
              <c:f>Scenarier!$A$79</c:f>
              <c:strCache>
                <c:ptCount val="1"/>
                <c:pt idx="0">
                  <c:v>Electricity use</c:v>
                </c:pt>
              </c:strCache>
            </c:strRef>
          </c:tx>
          <c:spPr>
            <a:ln w="28575" cap="rnd">
              <a:solidFill>
                <a:schemeClr val="tx1"/>
              </a:solidFill>
              <a:round/>
            </a:ln>
            <a:effectLst/>
          </c:spPr>
          <c:marker>
            <c:symbol val="none"/>
          </c:marker>
          <c:cat>
            <c:numRef>
              <c:f>Scenarier!$B$3:$AK$3</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Scenarier!$B$69:$AK$69</c:f>
              <c:numCache>
                <c:formatCode>0</c:formatCode>
                <c:ptCount val="36"/>
                <c:pt idx="0">
                  <c:v>150.97300000000001</c:v>
                </c:pt>
                <c:pt idx="1">
                  <c:v>149.32599999999999</c:v>
                </c:pt>
                <c:pt idx="2">
                  <c:v>150.13900000000001</c:v>
                </c:pt>
                <c:pt idx="3">
                  <c:v>147.93299999999999</c:v>
                </c:pt>
                <c:pt idx="4">
                  <c:v>141.28899999999999</c:v>
                </c:pt>
                <c:pt idx="5">
                  <c:v>150.53800000000001</c:v>
                </c:pt>
                <c:pt idx="6">
                  <c:v>143.02099999999999</c:v>
                </c:pt>
                <c:pt idx="7">
                  <c:v>146.863</c:v>
                </c:pt>
                <c:pt idx="8">
                  <c:v>143.029</c:v>
                </c:pt>
                <c:pt idx="9">
                  <c:v>137.93100000000001</c:v>
                </c:pt>
                <c:pt idx="10">
                  <c:v>139.33099999999999</c:v>
                </c:pt>
                <c:pt idx="11" formatCode="0.0">
                  <c:v>140.54154256427509</c:v>
                </c:pt>
                <c:pt idx="12" formatCode="0.0">
                  <c:v>141.75208512855019</c:v>
                </c:pt>
                <c:pt idx="13" formatCode="0.0">
                  <c:v>142.96262769282532</c:v>
                </c:pt>
                <c:pt idx="14" formatCode="0.0">
                  <c:v>144.17317025710042</c:v>
                </c:pt>
                <c:pt idx="15" formatCode="0.0">
                  <c:v>145.38371282137552</c:v>
                </c:pt>
                <c:pt idx="16" formatCode="0.0">
                  <c:v>144.9342117334991</c:v>
                </c:pt>
                <c:pt idx="17" formatCode="0.0">
                  <c:v>144.48471064562264</c:v>
                </c:pt>
                <c:pt idx="18" formatCode="0.0">
                  <c:v>144.03520955774621</c:v>
                </c:pt>
                <c:pt idx="19" formatCode="0.0">
                  <c:v>143.58570846986976</c:v>
                </c:pt>
                <c:pt idx="20" formatCode="0.0">
                  <c:v>143.13620738199333</c:v>
                </c:pt>
                <c:pt idx="21" formatCode="0.0">
                  <c:v>143.35534456148727</c:v>
                </c:pt>
                <c:pt idx="22" formatCode="0.0">
                  <c:v>143.57448174098121</c:v>
                </c:pt>
                <c:pt idx="23" formatCode="0.0">
                  <c:v>143.79361892047518</c:v>
                </c:pt>
                <c:pt idx="24" formatCode="0.0">
                  <c:v>144.01275609996912</c:v>
                </c:pt>
                <c:pt idx="25" formatCode="0.0">
                  <c:v>144.23189327946307</c:v>
                </c:pt>
                <c:pt idx="26" formatCode="0.0">
                  <c:v>144.52388519104682</c:v>
                </c:pt>
                <c:pt idx="27" formatCode="0.0">
                  <c:v>144.81587710263057</c:v>
                </c:pt>
                <c:pt idx="28" formatCode="0.0">
                  <c:v>145.10786901421429</c:v>
                </c:pt>
                <c:pt idx="29" formatCode="0.0">
                  <c:v>145.39986092579804</c:v>
                </c:pt>
                <c:pt idx="30" formatCode="0.0">
                  <c:v>145.69185283738179</c:v>
                </c:pt>
                <c:pt idx="31" formatCode="0.0">
                  <c:v>145.68852506094382</c:v>
                </c:pt>
                <c:pt idx="32" formatCode="0.0">
                  <c:v>145.68519728450585</c:v>
                </c:pt>
                <c:pt idx="33" formatCode="0.0">
                  <c:v>145.68186950806788</c:v>
                </c:pt>
                <c:pt idx="34" formatCode="0.0">
                  <c:v>145.67854173162991</c:v>
                </c:pt>
                <c:pt idx="35" formatCode="0.0">
                  <c:v>145.67521395519194</c:v>
                </c:pt>
              </c:numCache>
            </c:numRef>
          </c:val>
          <c:smooth val="0"/>
          <c:extLst>
            <c:ext xmlns:c16="http://schemas.microsoft.com/office/drawing/2014/chart" uri="{C3380CC4-5D6E-409C-BE32-E72D297353CC}">
              <c16:uniqueId val="{00000005-8761-416B-956A-7D56F9CC2750}"/>
            </c:ext>
          </c:extLst>
        </c:ser>
        <c:dLbls>
          <c:showLegendKey val="0"/>
          <c:showVal val="0"/>
          <c:showCatName val="0"/>
          <c:showSerName val="0"/>
          <c:showPercent val="0"/>
          <c:showBubbleSize val="0"/>
        </c:dLbls>
        <c:marker val="1"/>
        <c:smooth val="0"/>
        <c:axId val="891426832"/>
        <c:axId val="768039264"/>
      </c:lineChart>
      <c:catAx>
        <c:axId val="8914268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768039264"/>
        <c:crosses val="autoZero"/>
        <c:auto val="1"/>
        <c:lblAlgn val="ctr"/>
        <c:lblOffset val="100"/>
        <c:tickLblSkip val="5"/>
        <c:noMultiLvlLbl val="0"/>
      </c:catAx>
      <c:valAx>
        <c:axId val="76803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891426832"/>
        <c:crosses val="autoZero"/>
        <c:crossBetween val="midCat"/>
      </c:valAx>
      <c:spPr>
        <a:noFill/>
        <a:ln>
          <a:noFill/>
        </a:ln>
        <a:effectLst/>
      </c:spPr>
    </c:plotArea>
    <c:legend>
      <c:legendPos val="r"/>
      <c:layout>
        <c:manualLayout>
          <c:xMode val="edge"/>
          <c:yMode val="edge"/>
          <c:x val="0.79862406533669217"/>
          <c:y val="8.5511014440288316E-2"/>
          <c:w val="0.18628140193973028"/>
          <c:h val="0.8458830475424097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legend>
    <c:plotVisOnly val="1"/>
    <c:dispBlanksAs val="zero"/>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sv-SE"/>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areaChart>
        <c:grouping val="stacked"/>
        <c:varyColors val="0"/>
        <c:ser>
          <c:idx val="0"/>
          <c:order val="0"/>
          <c:tx>
            <c:strRef>
              <c:f>Scenarier!$A$107</c:f>
              <c:strCache>
                <c:ptCount val="1"/>
                <c:pt idx="0">
                  <c:v>Electricity</c:v>
                </c:pt>
              </c:strCache>
            </c:strRef>
          </c:tx>
          <c:spPr>
            <a:solidFill>
              <a:schemeClr val="accent6">
                <a:lumMod val="75000"/>
              </a:schemeClr>
            </a:solidFill>
            <a:ln>
              <a:solidFill>
                <a:schemeClr val="accent6">
                  <a:lumMod val="75000"/>
                </a:schemeClr>
              </a:solidFill>
            </a:ln>
            <a:effectLst/>
          </c:spP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Scenarier!$B$95:$AK$95</c:f>
              <c:numCache>
                <c:formatCode>0.0</c:formatCode>
                <c:ptCount val="36"/>
                <c:pt idx="0">
                  <c:v>2.8180000000000001</c:v>
                </c:pt>
                <c:pt idx="1">
                  <c:v>2.8849999999999998</c:v>
                </c:pt>
                <c:pt idx="2">
                  <c:v>2.4211460800000002</c:v>
                </c:pt>
                <c:pt idx="3">
                  <c:v>2.3609139099999998</c:v>
                </c:pt>
                <c:pt idx="4">
                  <c:v>2.4421648899999999</c:v>
                </c:pt>
                <c:pt idx="5">
                  <c:v>2.4052883399999998</c:v>
                </c:pt>
                <c:pt idx="6">
                  <c:v>2.6397677900000001</c:v>
                </c:pt>
                <c:pt idx="7">
                  <c:v>2.6845462200000001</c:v>
                </c:pt>
                <c:pt idx="8">
                  <c:v>2.75</c:v>
                </c:pt>
                <c:pt idx="9">
                  <c:v>2.6150000000000007</c:v>
                </c:pt>
                <c:pt idx="10">
                  <c:v>2.5950000000000002</c:v>
                </c:pt>
                <c:pt idx="11">
                  <c:v>2.665789851237411</c:v>
                </c:pt>
                <c:pt idx="12">
                  <c:v>2.7365797024748217</c:v>
                </c:pt>
                <c:pt idx="13">
                  <c:v>2.8073695537122325</c:v>
                </c:pt>
                <c:pt idx="14">
                  <c:v>2.8781594049496433</c:v>
                </c:pt>
                <c:pt idx="15">
                  <c:v>2.9489492561870541</c:v>
                </c:pt>
                <c:pt idx="16">
                  <c:v>3.0084290871459887</c:v>
                </c:pt>
                <c:pt idx="17">
                  <c:v>3.0679089181049233</c:v>
                </c:pt>
                <c:pt idx="18">
                  <c:v>3.1273887490638574</c:v>
                </c:pt>
                <c:pt idx="19">
                  <c:v>3.1868685800227921</c:v>
                </c:pt>
                <c:pt idx="20">
                  <c:v>3.2463484109817267</c:v>
                </c:pt>
                <c:pt idx="21">
                  <c:v>3.3133106999202129</c:v>
                </c:pt>
                <c:pt idx="22">
                  <c:v>3.3802729888586995</c:v>
                </c:pt>
                <c:pt idx="23">
                  <c:v>3.4472352777971857</c:v>
                </c:pt>
                <c:pt idx="24">
                  <c:v>3.5141975667356724</c:v>
                </c:pt>
                <c:pt idx="25">
                  <c:v>3.5811598556741586</c:v>
                </c:pt>
                <c:pt idx="26">
                  <c:v>3.6527502321892018</c:v>
                </c:pt>
                <c:pt idx="27">
                  <c:v>3.7243406087042454</c:v>
                </c:pt>
                <c:pt idx="28">
                  <c:v>3.7959309852192886</c:v>
                </c:pt>
                <c:pt idx="29">
                  <c:v>3.8675213617343323</c:v>
                </c:pt>
                <c:pt idx="30">
                  <c:v>3.9391117382493754</c:v>
                </c:pt>
                <c:pt idx="31">
                  <c:v>4.0152320881022892</c:v>
                </c:pt>
                <c:pt idx="32">
                  <c:v>4.0913524379552024</c:v>
                </c:pt>
                <c:pt idx="33">
                  <c:v>4.1674727878081157</c:v>
                </c:pt>
                <c:pt idx="34">
                  <c:v>4.2435931376610299</c:v>
                </c:pt>
                <c:pt idx="35">
                  <c:v>4.3197134875139431</c:v>
                </c:pt>
              </c:numCache>
            </c:numRef>
          </c:val>
          <c:extLst>
            <c:ext xmlns:c16="http://schemas.microsoft.com/office/drawing/2014/chart" uri="{C3380CC4-5D6E-409C-BE32-E72D297353CC}">
              <c16:uniqueId val="{00000000-A920-42C3-99DB-A26B579CF11D}"/>
            </c:ext>
          </c:extLst>
        </c:ser>
        <c:ser>
          <c:idx val="1"/>
          <c:order val="1"/>
          <c:tx>
            <c:strRef>
              <c:f>Scenarier!$A$103</c:f>
              <c:strCache>
                <c:ptCount val="1"/>
                <c:pt idx="0">
                  <c:v>Bioethanol</c:v>
                </c:pt>
              </c:strCache>
            </c:strRef>
          </c:tx>
          <c:spPr>
            <a:solidFill>
              <a:schemeClr val="accent4">
                <a:lumMod val="60000"/>
                <a:lumOff val="40000"/>
              </a:schemeClr>
            </a:solidFill>
            <a:ln>
              <a:solidFill>
                <a:schemeClr val="accent4">
                  <a:lumMod val="60000"/>
                  <a:lumOff val="40000"/>
                </a:schemeClr>
              </a:solidFill>
            </a:ln>
            <a:effectLst/>
          </c:spP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Scenarier!$B$96:$AK$96</c:f>
              <c:numCache>
                <c:formatCode>0.0</c:formatCode>
                <c:ptCount val="36"/>
                <c:pt idx="0">
                  <c:v>1.6938054211171787</c:v>
                </c:pt>
                <c:pt idx="1">
                  <c:v>1.9385818817238645</c:v>
                </c:pt>
                <c:pt idx="2">
                  <c:v>2.2293204600168868</c:v>
                </c:pt>
                <c:pt idx="3">
                  <c:v>2.4859758264992848</c:v>
                </c:pt>
                <c:pt idx="4">
                  <c:v>2.2983412353633925</c:v>
                </c:pt>
                <c:pt idx="5">
                  <c:v>2.3606050381264501</c:v>
                </c:pt>
                <c:pt idx="6">
                  <c:v>2.4476313526190667</c:v>
                </c:pt>
                <c:pt idx="7">
                  <c:v>2.3733665542076814</c:v>
                </c:pt>
                <c:pt idx="8">
                  <c:v>2.0919512</c:v>
                </c:pt>
                <c:pt idx="9">
                  <c:v>1.9266981000000003</c:v>
                </c:pt>
                <c:pt idx="10">
                  <c:v>1.6194733000000001</c:v>
                </c:pt>
                <c:pt idx="11">
                  <c:v>1.5105007958170986</c:v>
                </c:pt>
                <c:pt idx="12">
                  <c:v>1.4015282916341973</c:v>
                </c:pt>
                <c:pt idx="13">
                  <c:v>1.2925557874512958</c:v>
                </c:pt>
                <c:pt idx="14">
                  <c:v>1.1835832832683946</c:v>
                </c:pt>
                <c:pt idx="15">
                  <c:v>1.0746107790854931</c:v>
                </c:pt>
                <c:pt idx="16">
                  <c:v>1.0032247904945433</c:v>
                </c:pt>
                <c:pt idx="17">
                  <c:v>0.93183880190359358</c:v>
                </c:pt>
                <c:pt idx="18">
                  <c:v>0.86045281331264378</c:v>
                </c:pt>
                <c:pt idx="19">
                  <c:v>0.78906682472169409</c:v>
                </c:pt>
                <c:pt idx="20">
                  <c:v>0.71768083613074429</c:v>
                </c:pt>
                <c:pt idx="21">
                  <c:v>0.67491442643513211</c:v>
                </c:pt>
                <c:pt idx="22">
                  <c:v>0.63214801673951992</c:v>
                </c:pt>
                <c:pt idx="23">
                  <c:v>0.58938160704390774</c:v>
                </c:pt>
                <c:pt idx="24">
                  <c:v>0.54661519734829567</c:v>
                </c:pt>
                <c:pt idx="25">
                  <c:v>0.50384878765268348</c:v>
                </c:pt>
                <c:pt idx="26">
                  <c:v>0.492821094554039</c:v>
                </c:pt>
                <c:pt idx="27">
                  <c:v>0.48179340145539445</c:v>
                </c:pt>
                <c:pt idx="28">
                  <c:v>0.47076570835674997</c:v>
                </c:pt>
                <c:pt idx="29">
                  <c:v>0.45973801525810543</c:v>
                </c:pt>
                <c:pt idx="30">
                  <c:v>0.44871032215946094</c:v>
                </c:pt>
                <c:pt idx="31">
                  <c:v>0.44535353795684007</c:v>
                </c:pt>
                <c:pt idx="32">
                  <c:v>0.44199675375421915</c:v>
                </c:pt>
                <c:pt idx="33">
                  <c:v>0.43863996955159829</c:v>
                </c:pt>
                <c:pt idx="34">
                  <c:v>0.43528318534897736</c:v>
                </c:pt>
                <c:pt idx="35">
                  <c:v>0.4319264011463565</c:v>
                </c:pt>
              </c:numCache>
            </c:numRef>
          </c:val>
          <c:extLst>
            <c:ext xmlns:c16="http://schemas.microsoft.com/office/drawing/2014/chart" uri="{C3380CC4-5D6E-409C-BE32-E72D297353CC}">
              <c16:uniqueId val="{00000001-A920-42C3-99DB-A26B579CF11D}"/>
            </c:ext>
          </c:extLst>
        </c:ser>
        <c:ser>
          <c:idx val="2"/>
          <c:order val="2"/>
          <c:tx>
            <c:strRef>
              <c:f>Scenarier!$A$105</c:f>
              <c:strCache>
                <c:ptCount val="1"/>
                <c:pt idx="0">
                  <c:v>Biodiesel, FAME</c:v>
                </c:pt>
              </c:strCache>
            </c:strRef>
          </c:tx>
          <c:spPr>
            <a:solidFill>
              <a:schemeClr val="accent5">
                <a:lumMod val="75000"/>
              </a:schemeClr>
            </a:solidFill>
            <a:ln>
              <a:solidFill>
                <a:schemeClr val="accent5">
                  <a:lumMod val="75000"/>
                </a:schemeClr>
              </a:solidFill>
            </a:ln>
            <a:effectLst/>
          </c:spP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Scenarier!$B$97:$AK$97</c:f>
              <c:numCache>
                <c:formatCode>0.0</c:formatCode>
                <c:ptCount val="36"/>
                <c:pt idx="0">
                  <c:v>9.9082662586108969E-2</c:v>
                </c:pt>
                <c:pt idx="1">
                  <c:v>0.60715197708057034</c:v>
                </c:pt>
                <c:pt idx="2">
                  <c:v>1.2164133206879899</c:v>
                </c:pt>
                <c:pt idx="3">
                  <c:v>1.5374986547050036</c:v>
                </c:pt>
                <c:pt idx="4">
                  <c:v>1.8861956104565145</c:v>
                </c:pt>
                <c:pt idx="5">
                  <c:v>2.0636167564474941</c:v>
                </c:pt>
                <c:pt idx="6">
                  <c:v>2.2948749662786363</c:v>
                </c:pt>
                <c:pt idx="7">
                  <c:v>2.6958790270463515</c:v>
                </c:pt>
                <c:pt idx="8">
                  <c:v>2.6858471500000003</c:v>
                </c:pt>
                <c:pt idx="9">
                  <c:v>3.9524075500000002</c:v>
                </c:pt>
                <c:pt idx="10">
                  <c:v>3.8733071300000002</c:v>
                </c:pt>
                <c:pt idx="11">
                  <c:v>4.0992864788762144</c:v>
                </c:pt>
                <c:pt idx="12">
                  <c:v>4.3252658277524283</c:v>
                </c:pt>
                <c:pt idx="13">
                  <c:v>4.5512451766286421</c:v>
                </c:pt>
                <c:pt idx="14">
                  <c:v>4.7772245255048569</c:v>
                </c:pt>
                <c:pt idx="15">
                  <c:v>5.0032038743810707</c:v>
                </c:pt>
                <c:pt idx="16">
                  <c:v>5.0183730112406231</c:v>
                </c:pt>
                <c:pt idx="17">
                  <c:v>5.0335421481001754</c:v>
                </c:pt>
                <c:pt idx="18">
                  <c:v>5.0487112849597278</c:v>
                </c:pt>
                <c:pt idx="19">
                  <c:v>5.0638804218192801</c:v>
                </c:pt>
                <c:pt idx="20">
                  <c:v>5.0790495586788325</c:v>
                </c:pt>
                <c:pt idx="21">
                  <c:v>5.0736713044111044</c:v>
                </c:pt>
                <c:pt idx="22">
                  <c:v>5.0682930501433754</c:v>
                </c:pt>
                <c:pt idx="23">
                  <c:v>5.0629147958756473</c:v>
                </c:pt>
                <c:pt idx="24">
                  <c:v>5.0575365416079183</c:v>
                </c:pt>
                <c:pt idx="25">
                  <c:v>5.0521582873401902</c:v>
                </c:pt>
                <c:pt idx="26">
                  <c:v>5.0398594769196272</c:v>
                </c:pt>
                <c:pt idx="27">
                  <c:v>5.0275606664990642</c:v>
                </c:pt>
                <c:pt idx="28">
                  <c:v>5.0152618560785021</c:v>
                </c:pt>
                <c:pt idx="29">
                  <c:v>5.002963045657939</c:v>
                </c:pt>
                <c:pt idx="30">
                  <c:v>4.990664235237376</c:v>
                </c:pt>
                <c:pt idx="31">
                  <c:v>4.9840963750796208</c:v>
                </c:pt>
                <c:pt idx="32">
                  <c:v>4.9775285149218647</c:v>
                </c:pt>
                <c:pt idx="33">
                  <c:v>4.9709606547641094</c:v>
                </c:pt>
                <c:pt idx="34">
                  <c:v>4.9643927946063533</c:v>
                </c:pt>
                <c:pt idx="35">
                  <c:v>4.9578249344485981</c:v>
                </c:pt>
              </c:numCache>
            </c:numRef>
          </c:val>
          <c:extLst>
            <c:ext xmlns:c16="http://schemas.microsoft.com/office/drawing/2014/chart" uri="{C3380CC4-5D6E-409C-BE32-E72D297353CC}">
              <c16:uniqueId val="{00000002-A920-42C3-99DB-A26B579CF11D}"/>
            </c:ext>
          </c:extLst>
        </c:ser>
        <c:ser>
          <c:idx val="3"/>
          <c:order val="3"/>
          <c:tx>
            <c:strRef>
              <c:f>Scenarier!$A$104</c:f>
              <c:strCache>
                <c:ptCount val="1"/>
                <c:pt idx="0">
                  <c:v>Biodiesel, HVO</c:v>
                </c:pt>
              </c:strCache>
            </c:strRef>
          </c:tx>
          <c:spPr>
            <a:solidFill>
              <a:schemeClr val="accent5">
                <a:lumMod val="40000"/>
                <a:lumOff val="60000"/>
              </a:schemeClr>
            </a:solidFill>
            <a:ln>
              <a:solidFill>
                <a:schemeClr val="accent5">
                  <a:lumMod val="40000"/>
                  <a:lumOff val="60000"/>
                </a:schemeClr>
              </a:solidFill>
            </a:ln>
            <a:effectLst/>
          </c:spP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Scenarier!$B$98:$AK$98</c:f>
              <c:numCache>
                <c:formatCode>0.0</c:formatCode>
                <c:ptCount val="36"/>
                <c:pt idx="0">
                  <c:v>0</c:v>
                </c:pt>
                <c:pt idx="1">
                  <c:v>0</c:v>
                </c:pt>
                <c:pt idx="2">
                  <c:v>0</c:v>
                </c:pt>
                <c:pt idx="3">
                  <c:v>0</c:v>
                </c:pt>
                <c:pt idx="4">
                  <c:v>0</c:v>
                </c:pt>
                <c:pt idx="5">
                  <c:v>0</c:v>
                </c:pt>
                <c:pt idx="6">
                  <c:v>0.42431608143477884</c:v>
                </c:pt>
                <c:pt idx="7">
                  <c:v>1.0515049694181344</c:v>
                </c:pt>
                <c:pt idx="8">
                  <c:v>2.7347302400000002</c:v>
                </c:pt>
                <c:pt idx="9">
                  <c:v>4.1620865600000005</c:v>
                </c:pt>
                <c:pt idx="10">
                  <c:v>6.6522452799999998</c:v>
                </c:pt>
                <c:pt idx="11">
                  <c:v>8.291749160557405</c:v>
                </c:pt>
                <c:pt idx="12">
                  <c:v>9.9312530411148092</c:v>
                </c:pt>
                <c:pt idx="13">
                  <c:v>11.570756921672213</c:v>
                </c:pt>
                <c:pt idx="14">
                  <c:v>13.21026080222962</c:v>
                </c:pt>
                <c:pt idx="15">
                  <c:v>14.849764682787022</c:v>
                </c:pt>
                <c:pt idx="16">
                  <c:v>14.894378632714542</c:v>
                </c:pt>
                <c:pt idx="17">
                  <c:v>14.938992582642062</c:v>
                </c:pt>
                <c:pt idx="18">
                  <c:v>14.98360653256958</c:v>
                </c:pt>
                <c:pt idx="19">
                  <c:v>15.028220482497099</c:v>
                </c:pt>
                <c:pt idx="20">
                  <c:v>15.072834432424619</c:v>
                </c:pt>
                <c:pt idx="21">
                  <c:v>15.057016448262468</c:v>
                </c:pt>
                <c:pt idx="22">
                  <c:v>15.041198464100317</c:v>
                </c:pt>
                <c:pt idx="23">
                  <c:v>15.025380479938164</c:v>
                </c:pt>
                <c:pt idx="24">
                  <c:v>15.009562495776013</c:v>
                </c:pt>
                <c:pt idx="25">
                  <c:v>14.993744511613862</c:v>
                </c:pt>
                <c:pt idx="26">
                  <c:v>14.957572479061758</c:v>
                </c:pt>
                <c:pt idx="27">
                  <c:v>14.921400446509654</c:v>
                </c:pt>
                <c:pt idx="28">
                  <c:v>14.885228413957552</c:v>
                </c:pt>
                <c:pt idx="29">
                  <c:v>14.849056381405449</c:v>
                </c:pt>
                <c:pt idx="30">
                  <c:v>14.812884348853345</c:v>
                </c:pt>
                <c:pt idx="31">
                  <c:v>14.793567614689625</c:v>
                </c:pt>
                <c:pt idx="32">
                  <c:v>14.774250880525907</c:v>
                </c:pt>
                <c:pt idx="33">
                  <c:v>14.754934146362187</c:v>
                </c:pt>
                <c:pt idx="34">
                  <c:v>14.735617412198469</c:v>
                </c:pt>
                <c:pt idx="35">
                  <c:v>14.716300678034749</c:v>
                </c:pt>
              </c:numCache>
            </c:numRef>
          </c:val>
          <c:extLst>
            <c:ext xmlns:c16="http://schemas.microsoft.com/office/drawing/2014/chart" uri="{C3380CC4-5D6E-409C-BE32-E72D297353CC}">
              <c16:uniqueId val="{00000003-A920-42C3-99DB-A26B579CF11D}"/>
            </c:ext>
          </c:extLst>
        </c:ser>
        <c:ser>
          <c:idx val="4"/>
          <c:order val="4"/>
          <c:tx>
            <c:strRef>
              <c:f>Scenarier!$A$106</c:f>
              <c:strCache>
                <c:ptCount val="1"/>
                <c:pt idx="0">
                  <c:v>Bio gas</c:v>
                </c:pt>
              </c:strCache>
            </c:strRef>
          </c:tx>
          <c:spPr>
            <a:solidFill>
              <a:srgbClr val="92D050"/>
            </a:solidFill>
            <a:ln>
              <a:solidFill>
                <a:srgbClr val="92D050"/>
              </a:solidFill>
            </a:ln>
            <a:effectLst/>
          </c:spP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Scenarier!$B$99:$AK$99</c:f>
              <c:numCache>
                <c:formatCode>0.0</c:formatCode>
                <c:ptCount val="36"/>
                <c:pt idx="0">
                  <c:v>0.15570440000000002</c:v>
                </c:pt>
                <c:pt idx="1">
                  <c:v>0.23004520000000001</c:v>
                </c:pt>
                <c:pt idx="2">
                  <c:v>0.27570309999999998</c:v>
                </c:pt>
                <c:pt idx="3">
                  <c:v>0.32727800000000001</c:v>
                </c:pt>
                <c:pt idx="4">
                  <c:v>0.40984216900000003</c:v>
                </c:pt>
                <c:pt idx="5">
                  <c:v>0.57372786910000007</c:v>
                </c:pt>
                <c:pt idx="6">
                  <c:v>0.72871315959999994</c:v>
                </c:pt>
                <c:pt idx="7">
                  <c:v>0.80864180368000027</c:v>
                </c:pt>
                <c:pt idx="8">
                  <c:v>0.87350817707329997</c:v>
                </c:pt>
                <c:pt idx="9">
                  <c:v>0.97730139990800013</c:v>
                </c:pt>
                <c:pt idx="10">
                  <c:v>1.1501290000000002</c:v>
                </c:pt>
                <c:pt idx="11">
                  <c:v>1.1509284955781738</c:v>
                </c:pt>
                <c:pt idx="12">
                  <c:v>1.1517279911563474</c:v>
                </c:pt>
                <c:pt idx="13">
                  <c:v>1.1525274867345208</c:v>
                </c:pt>
                <c:pt idx="14">
                  <c:v>1.1533269823126944</c:v>
                </c:pt>
                <c:pt idx="15">
                  <c:v>1.154126477890868</c:v>
                </c:pt>
                <c:pt idx="16">
                  <c:v>1.1572195448272611</c:v>
                </c:pt>
                <c:pt idx="17">
                  <c:v>1.160312611763654</c:v>
                </c:pt>
                <c:pt idx="18">
                  <c:v>1.1634056787000471</c:v>
                </c:pt>
                <c:pt idx="19">
                  <c:v>1.16649874563644</c:v>
                </c:pt>
                <c:pt idx="20">
                  <c:v>1.1695918125728331</c:v>
                </c:pt>
                <c:pt idx="21">
                  <c:v>1.173411332353604</c:v>
                </c:pt>
                <c:pt idx="22">
                  <c:v>1.1772308521343751</c:v>
                </c:pt>
                <c:pt idx="23">
                  <c:v>1.1810503719151459</c:v>
                </c:pt>
                <c:pt idx="24">
                  <c:v>1.1848698916959171</c:v>
                </c:pt>
                <c:pt idx="25">
                  <c:v>1.1886894114766879</c:v>
                </c:pt>
                <c:pt idx="26">
                  <c:v>1.1896582005391163</c:v>
                </c:pt>
                <c:pt idx="27">
                  <c:v>1.1906269896015447</c:v>
                </c:pt>
                <c:pt idx="28">
                  <c:v>1.1915957786639728</c:v>
                </c:pt>
                <c:pt idx="29">
                  <c:v>1.1925645677264012</c:v>
                </c:pt>
                <c:pt idx="30">
                  <c:v>1.1935333567888295</c:v>
                </c:pt>
                <c:pt idx="31">
                  <c:v>1.1961097723889436</c:v>
                </c:pt>
                <c:pt idx="32">
                  <c:v>1.1986861879890578</c:v>
                </c:pt>
                <c:pt idx="33">
                  <c:v>1.2012626035891718</c:v>
                </c:pt>
                <c:pt idx="34">
                  <c:v>1.203839019189286</c:v>
                </c:pt>
                <c:pt idx="35">
                  <c:v>1.2064154347894001</c:v>
                </c:pt>
              </c:numCache>
            </c:numRef>
          </c:val>
          <c:extLst>
            <c:ext xmlns:c16="http://schemas.microsoft.com/office/drawing/2014/chart" uri="{C3380CC4-5D6E-409C-BE32-E72D297353CC}">
              <c16:uniqueId val="{00000004-A920-42C3-99DB-A26B579CF11D}"/>
            </c:ext>
          </c:extLst>
        </c:ser>
        <c:dLbls>
          <c:showLegendKey val="0"/>
          <c:showVal val="0"/>
          <c:showCatName val="0"/>
          <c:showSerName val="0"/>
          <c:showPercent val="0"/>
          <c:showBubbleSize val="0"/>
        </c:dLbls>
        <c:axId val="41244271"/>
        <c:axId val="170957791"/>
      </c:areaChart>
      <c:lineChart>
        <c:grouping val="standard"/>
        <c:varyColors val="0"/>
        <c:ser>
          <c:idx val="5"/>
          <c:order val="5"/>
          <c:tx>
            <c:strRef>
              <c:f>Scenarier!$A$108</c:f>
              <c:strCache>
                <c:ptCount val="1"/>
                <c:pt idx="0">
                  <c:v>Share of renewables</c:v>
                </c:pt>
              </c:strCache>
            </c:strRef>
          </c:tx>
          <c:spPr>
            <a:ln w="28575" cap="rnd">
              <a:solidFill>
                <a:sysClr val="windowText" lastClr="000000"/>
              </a:solidFill>
              <a:round/>
            </a:ln>
            <a:effectLst/>
          </c:spPr>
          <c:marker>
            <c:symbol val="none"/>
          </c:marker>
          <c:cat>
            <c:numRef>
              <c:f>Scenarier!$B$94:$AK$94</c:f>
              <c:numCache>
                <c:formatCode>General</c:formatCode>
                <c:ptCount val="3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pt idx="21">
                  <c:v>2026</c:v>
                </c:pt>
                <c:pt idx="22">
                  <c:v>2027</c:v>
                </c:pt>
                <c:pt idx="23">
                  <c:v>2028</c:v>
                </c:pt>
                <c:pt idx="24">
                  <c:v>2029</c:v>
                </c:pt>
                <c:pt idx="25">
                  <c:v>2030</c:v>
                </c:pt>
                <c:pt idx="26">
                  <c:v>2031</c:v>
                </c:pt>
                <c:pt idx="27">
                  <c:v>2032</c:v>
                </c:pt>
                <c:pt idx="28">
                  <c:v>2033</c:v>
                </c:pt>
                <c:pt idx="29">
                  <c:v>2034</c:v>
                </c:pt>
                <c:pt idx="30">
                  <c:v>2035</c:v>
                </c:pt>
                <c:pt idx="31">
                  <c:v>2036</c:v>
                </c:pt>
                <c:pt idx="32">
                  <c:v>2037</c:v>
                </c:pt>
                <c:pt idx="33">
                  <c:v>2038</c:v>
                </c:pt>
                <c:pt idx="34">
                  <c:v>2039</c:v>
                </c:pt>
                <c:pt idx="35">
                  <c:v>2040</c:v>
                </c:pt>
              </c:numCache>
            </c:numRef>
          </c:cat>
          <c:val>
            <c:numRef>
              <c:f>Scenarier!$B$100:$AK$100</c:f>
              <c:numCache>
                <c:formatCode>0.0%</c:formatCode>
                <c:ptCount val="36"/>
                <c:pt idx="0">
                  <c:v>6.1644835185317146E-2</c:v>
                </c:pt>
                <c:pt idx="1">
                  <c:v>7.065412723859725E-2</c:v>
                </c:pt>
                <c:pt idx="2">
                  <c:v>7.961726247613729E-2</c:v>
                </c:pt>
                <c:pt idx="3">
                  <c:v>8.2601617074910094E-2</c:v>
                </c:pt>
                <c:pt idx="4">
                  <c:v>8.9104333588029647E-2</c:v>
                </c:pt>
                <c:pt idx="5">
                  <c:v>9.2411716881199854E-2</c:v>
                </c:pt>
                <c:pt idx="6">
                  <c:v>0.1154520477967671</c:v>
                </c:pt>
                <c:pt idx="7">
                  <c:v>0.14812560600018029</c:v>
                </c:pt>
                <c:pt idx="8">
                  <c:v>0.1915948848061392</c:v>
                </c:pt>
                <c:pt idx="9">
                  <c:v>0.21075980916956499</c:v>
                </c:pt>
                <c:pt idx="10">
                  <c:v>0.23958825230246802</c:v>
                </c:pt>
                <c:pt idx="11" formatCode="0%">
                  <c:v>0.27376872725689461</c:v>
                </c:pt>
                <c:pt idx="12" formatCode="0%">
                  <c:v>0.30794920221132116</c:v>
                </c:pt>
                <c:pt idx="13" formatCode="0%">
                  <c:v>0.34212967716574771</c:v>
                </c:pt>
                <c:pt idx="14" formatCode="0%">
                  <c:v>0.37631015212017427</c:v>
                </c:pt>
                <c:pt idx="15">
                  <c:v>0.41049062707460082</c:v>
                </c:pt>
                <c:pt idx="16" formatCode="0%">
                  <c:v>0.41614064198259099</c:v>
                </c:pt>
                <c:pt idx="17" formatCode="0%">
                  <c:v>0.42179065689058109</c:v>
                </c:pt>
                <c:pt idx="18" formatCode="0%">
                  <c:v>0.42744067179857126</c:v>
                </c:pt>
                <c:pt idx="19" formatCode="0%">
                  <c:v>0.43309068670656137</c:v>
                </c:pt>
                <c:pt idx="20">
                  <c:v>0.43874070161455153</c:v>
                </c:pt>
                <c:pt idx="21" formatCode="0%">
                  <c:v>0.44383981399654254</c:v>
                </c:pt>
                <c:pt idx="22" formatCode="0%">
                  <c:v>0.44893892637853355</c:v>
                </c:pt>
                <c:pt idx="23" formatCode="0%">
                  <c:v>0.45403803876052456</c:v>
                </c:pt>
                <c:pt idx="24" formatCode="0%">
                  <c:v>0.45913715114251558</c:v>
                </c:pt>
                <c:pt idx="25">
                  <c:v>0.46423626352450659</c:v>
                </c:pt>
                <c:pt idx="26" formatCode="0%">
                  <c:v>0.46733075858092971</c:v>
                </c:pt>
                <c:pt idx="27" formatCode="0%">
                  <c:v>0.47042525363735282</c:v>
                </c:pt>
                <c:pt idx="28" formatCode="0%">
                  <c:v>0.47351974869377589</c:v>
                </c:pt>
                <c:pt idx="29" formatCode="0%">
                  <c:v>0.47661424375019901</c:v>
                </c:pt>
                <c:pt idx="30">
                  <c:v>0.47970873880662213</c:v>
                </c:pt>
                <c:pt idx="31" formatCode="0%">
                  <c:v>0.48354402960437326</c:v>
                </c:pt>
                <c:pt idx="32" formatCode="0%">
                  <c:v>0.48737932040212439</c:v>
                </c:pt>
                <c:pt idx="33" formatCode="0%">
                  <c:v>0.49121461119987558</c:v>
                </c:pt>
                <c:pt idx="34" formatCode="0%">
                  <c:v>0.49504990199762672</c:v>
                </c:pt>
                <c:pt idx="35">
                  <c:v>0.49888519279537785</c:v>
                </c:pt>
              </c:numCache>
            </c:numRef>
          </c:val>
          <c:smooth val="0"/>
          <c:extLst>
            <c:ext xmlns:c16="http://schemas.microsoft.com/office/drawing/2014/chart" uri="{C3380CC4-5D6E-409C-BE32-E72D297353CC}">
              <c16:uniqueId val="{00000005-A920-42C3-99DB-A26B579CF11D}"/>
            </c:ext>
          </c:extLst>
        </c:ser>
        <c:dLbls>
          <c:showLegendKey val="0"/>
          <c:showVal val="0"/>
          <c:showCatName val="0"/>
          <c:showSerName val="0"/>
          <c:showPercent val="0"/>
          <c:showBubbleSize val="0"/>
        </c:dLbls>
        <c:marker val="1"/>
        <c:smooth val="0"/>
        <c:axId val="2116742639"/>
        <c:axId val="1935572911"/>
      </c:lineChart>
      <c:catAx>
        <c:axId val="4124427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170957791"/>
        <c:crosses val="autoZero"/>
        <c:auto val="1"/>
        <c:lblAlgn val="ctr"/>
        <c:lblOffset val="100"/>
        <c:tickLblSkip val="5"/>
        <c:tickMarkSkip val="5"/>
        <c:noMultiLvlLbl val="0"/>
      </c:catAx>
      <c:valAx>
        <c:axId val="170957791"/>
        <c:scaling>
          <c:orientation val="minMax"/>
          <c:max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41244271"/>
        <c:crosses val="autoZero"/>
        <c:crossBetween val="midCat"/>
      </c:valAx>
      <c:valAx>
        <c:axId val="1935572911"/>
        <c:scaling>
          <c:orientation val="minMax"/>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rPr>
                  <a: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crossAx val="2116742639"/>
        <c:crosses val="max"/>
        <c:crossBetween val="between"/>
      </c:valAx>
      <c:catAx>
        <c:axId val="2116742639"/>
        <c:scaling>
          <c:orientation val="minMax"/>
        </c:scaling>
        <c:delete val="1"/>
        <c:axPos val="b"/>
        <c:numFmt formatCode="General" sourceLinked="1"/>
        <c:majorTickMark val="out"/>
        <c:minorTickMark val="none"/>
        <c:tickLblPos val="nextTo"/>
        <c:crossAx val="19355729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sv-SE"/>
        </a:p>
      </c:txPr>
    </c:legend>
    <c:plotVisOnly val="1"/>
    <c:dispBlanksAs val="zero"/>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sv-SE"/>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'4.3 iii) Figur 4'!$A$8</c:f>
              <c:strCache>
                <c:ptCount val="1"/>
                <c:pt idx="0">
                  <c:v>Residential and service sector</c:v>
                </c:pt>
              </c:strCache>
            </c:strRef>
          </c:tx>
          <c:spPr>
            <a:ln w="28575" cap="rnd">
              <a:solidFill>
                <a:schemeClr val="accent1">
                  <a:lumMod val="60000"/>
                  <a:lumOff val="40000"/>
                </a:schemeClr>
              </a:solidFill>
              <a:round/>
            </a:ln>
            <a:effectLst/>
          </c:spPr>
          <c:marker>
            <c:symbol val="none"/>
          </c:marker>
          <c:cat>
            <c:numRef>
              <c:f>'4.3 iii) Figur 4'!$B$7:$I$7</c:f>
              <c:numCache>
                <c:formatCode>General</c:formatCode>
                <c:ptCount val="6"/>
                <c:pt idx="0">
                  <c:v>2014</c:v>
                </c:pt>
                <c:pt idx="1">
                  <c:v>2020</c:v>
                </c:pt>
                <c:pt idx="2">
                  <c:v>2025</c:v>
                </c:pt>
                <c:pt idx="3">
                  <c:v>2030</c:v>
                </c:pt>
                <c:pt idx="4">
                  <c:v>2035</c:v>
                </c:pt>
                <c:pt idx="5">
                  <c:v>2040</c:v>
                </c:pt>
              </c:numCache>
              <c:extLst/>
            </c:numRef>
          </c:cat>
          <c:val>
            <c:numRef>
              <c:f>'4.3 iii) Figur 4'!$B$8:$I$8</c:f>
              <c:numCache>
                <c:formatCode>0</c:formatCode>
                <c:ptCount val="6"/>
                <c:pt idx="0">
                  <c:v>140.28249999999997</c:v>
                </c:pt>
                <c:pt idx="1">
                  <c:v>146.80704874488325</c:v>
                </c:pt>
                <c:pt idx="2">
                  <c:v>141.99779453823996</c:v>
                </c:pt>
                <c:pt idx="3">
                  <c:v>138.54095372037258</c:v>
                </c:pt>
                <c:pt idx="4">
                  <c:v>138.43819367798585</c:v>
                </c:pt>
                <c:pt idx="5">
                  <c:v>139.94860892009481</c:v>
                </c:pt>
              </c:numCache>
              <c:extLst/>
            </c:numRef>
          </c:val>
          <c:smooth val="0"/>
          <c:extLst>
            <c:ext xmlns:c16="http://schemas.microsoft.com/office/drawing/2014/chart" uri="{C3380CC4-5D6E-409C-BE32-E72D297353CC}">
              <c16:uniqueId val="{00000000-8CB7-479B-A95D-C3A659FB25B4}"/>
            </c:ext>
          </c:extLst>
        </c:ser>
        <c:ser>
          <c:idx val="1"/>
          <c:order val="1"/>
          <c:tx>
            <c:strRef>
              <c:f>'4.3 iii) Figur 4'!$A$9</c:f>
              <c:strCache>
                <c:ptCount val="1"/>
                <c:pt idx="0">
                  <c:v>Transport (domestic)</c:v>
                </c:pt>
              </c:strCache>
            </c:strRef>
          </c:tx>
          <c:spPr>
            <a:ln w="28575" cap="rnd">
              <a:solidFill>
                <a:srgbClr val="FFC000"/>
              </a:solidFill>
              <a:round/>
            </a:ln>
            <a:effectLst/>
          </c:spPr>
          <c:marker>
            <c:symbol val="none"/>
          </c:marker>
          <c:cat>
            <c:numRef>
              <c:f>'4.3 iii) Figur 4'!$B$7:$I$7</c:f>
              <c:numCache>
                <c:formatCode>General</c:formatCode>
                <c:ptCount val="6"/>
                <c:pt idx="0">
                  <c:v>2014</c:v>
                </c:pt>
                <c:pt idx="1">
                  <c:v>2020</c:v>
                </c:pt>
                <c:pt idx="2">
                  <c:v>2025</c:v>
                </c:pt>
                <c:pt idx="3">
                  <c:v>2030</c:v>
                </c:pt>
                <c:pt idx="4">
                  <c:v>2035</c:v>
                </c:pt>
                <c:pt idx="5">
                  <c:v>2040</c:v>
                </c:pt>
              </c:numCache>
              <c:extLst/>
            </c:numRef>
          </c:cat>
          <c:val>
            <c:numRef>
              <c:f>'4.3 iii) Figur 4'!$B$9:$I$9</c:f>
              <c:numCache>
                <c:formatCode>0</c:formatCode>
                <c:ptCount val="6"/>
                <c:pt idx="0">
                  <c:v>85.389709650483596</c:v>
                </c:pt>
                <c:pt idx="1">
                  <c:v>85.694820818395314</c:v>
                </c:pt>
                <c:pt idx="2">
                  <c:v>81.345733287809665</c:v>
                </c:pt>
                <c:pt idx="3">
                  <c:v>78.381801227581022</c:v>
                </c:pt>
                <c:pt idx="4">
                  <c:v>76.772535440064061</c:v>
                </c:pt>
                <c:pt idx="5">
                  <c:v>76.160004305586654</c:v>
                </c:pt>
              </c:numCache>
              <c:extLst/>
            </c:numRef>
          </c:val>
          <c:smooth val="0"/>
          <c:extLst>
            <c:ext xmlns:c16="http://schemas.microsoft.com/office/drawing/2014/chart" uri="{C3380CC4-5D6E-409C-BE32-E72D297353CC}">
              <c16:uniqueId val="{00000001-8CB7-479B-A95D-C3A659FB25B4}"/>
            </c:ext>
          </c:extLst>
        </c:ser>
        <c:ser>
          <c:idx val="2"/>
          <c:order val="2"/>
          <c:tx>
            <c:strRef>
              <c:f>'4.3 iii) Figur 4'!$A$10</c:f>
              <c:strCache>
                <c:ptCount val="1"/>
                <c:pt idx="0">
                  <c:v>Industry</c:v>
                </c:pt>
              </c:strCache>
            </c:strRef>
          </c:tx>
          <c:spPr>
            <a:ln w="28575" cap="rnd">
              <a:solidFill>
                <a:srgbClr val="92D050"/>
              </a:solidFill>
              <a:round/>
            </a:ln>
            <a:effectLst/>
          </c:spPr>
          <c:marker>
            <c:symbol val="none"/>
          </c:marker>
          <c:cat>
            <c:numRef>
              <c:f>'4.3 iii) Figur 4'!$B$7:$I$7</c:f>
              <c:numCache>
                <c:formatCode>General</c:formatCode>
                <c:ptCount val="6"/>
                <c:pt idx="0">
                  <c:v>2014</c:v>
                </c:pt>
                <c:pt idx="1">
                  <c:v>2020</c:v>
                </c:pt>
                <c:pt idx="2">
                  <c:v>2025</c:v>
                </c:pt>
                <c:pt idx="3">
                  <c:v>2030</c:v>
                </c:pt>
                <c:pt idx="4">
                  <c:v>2035</c:v>
                </c:pt>
                <c:pt idx="5">
                  <c:v>2040</c:v>
                </c:pt>
              </c:numCache>
              <c:extLst/>
            </c:numRef>
          </c:cat>
          <c:val>
            <c:numRef>
              <c:f>'4.3 iii) Figur 4'!$B$10:$I$10</c:f>
              <c:numCache>
                <c:formatCode>0</c:formatCode>
                <c:ptCount val="6"/>
                <c:pt idx="0">
                  <c:v>142.56222222222226</c:v>
                </c:pt>
                <c:pt idx="1">
                  <c:v>146.71557772211136</c:v>
                </c:pt>
                <c:pt idx="2">
                  <c:v>146.74972925058239</c:v>
                </c:pt>
                <c:pt idx="3">
                  <c:v>146.7836578559745</c:v>
                </c:pt>
                <c:pt idx="4">
                  <c:v>146.69163100794756</c:v>
                </c:pt>
                <c:pt idx="5">
                  <c:v>146.96854660794818</c:v>
                </c:pt>
              </c:numCache>
              <c:extLst/>
            </c:numRef>
          </c:val>
          <c:smooth val="0"/>
          <c:extLst>
            <c:ext xmlns:c16="http://schemas.microsoft.com/office/drawing/2014/chart" uri="{C3380CC4-5D6E-409C-BE32-E72D297353CC}">
              <c16:uniqueId val="{00000002-8CB7-479B-A95D-C3A659FB25B4}"/>
            </c:ext>
          </c:extLst>
        </c:ser>
        <c:dLbls>
          <c:showLegendKey val="0"/>
          <c:showVal val="0"/>
          <c:showCatName val="0"/>
          <c:showSerName val="0"/>
          <c:showPercent val="0"/>
          <c:showBubbleSize val="0"/>
        </c:dLbls>
        <c:smooth val="0"/>
        <c:axId val="1225405663"/>
        <c:axId val="1498683791"/>
      </c:lineChart>
      <c:catAx>
        <c:axId val="1225405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sv-SE"/>
          </a:p>
        </c:txPr>
        <c:crossAx val="1498683791"/>
        <c:crosses val="autoZero"/>
        <c:auto val="1"/>
        <c:lblAlgn val="ctr"/>
        <c:lblOffset val="100"/>
        <c:noMultiLvlLbl val="0"/>
      </c:catAx>
      <c:valAx>
        <c:axId val="1498683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r>
                  <a:rPr lang="sv-SE"/>
                  <a:t>TWh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sv-SE"/>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sv-SE"/>
          </a:p>
        </c:txPr>
        <c:crossAx val="1225405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sv-SE"/>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765845758641872"/>
          <c:y val="9.5897037533985388E-2"/>
          <c:w val="0.68130693769661776"/>
          <c:h val="0.79702694113908412"/>
        </c:manualLayout>
      </c:layout>
      <c:areaChart>
        <c:grouping val="stacked"/>
        <c:varyColors val="0"/>
        <c:ser>
          <c:idx val="0"/>
          <c:order val="0"/>
          <c:tx>
            <c:strRef>
              <c:f>'1.2'!$B$6</c:f>
              <c:strCache>
                <c:ptCount val="1"/>
                <c:pt idx="0">
                  <c:v>Biofuel</c:v>
                </c:pt>
              </c:strCache>
            </c:strRef>
          </c:tx>
          <c:spPr>
            <a:solidFill>
              <a:srgbClr val="92D050">
                <a:alpha val="80000"/>
              </a:srgb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'1.2'!$B$7:$B$52</c:f>
              <c:numCache>
                <c:formatCode>0</c:formatCode>
                <c:ptCount val="11"/>
                <c:pt idx="0">
                  <c:v>105.37014884444446</c:v>
                </c:pt>
                <c:pt idx="1">
                  <c:v>109.29060075555556</c:v>
                </c:pt>
                <c:pt idx="2">
                  <c:v>113.7407031</c:v>
                </c:pt>
                <c:pt idx="3">
                  <c:v>115.74922244444444</c:v>
                </c:pt>
                <c:pt idx="4">
                  <c:v>118.98416666666665</c:v>
                </c:pt>
                <c:pt idx="5">
                  <c:v>127.4525</c:v>
                </c:pt>
                <c:pt idx="6">
                  <c:v>123.19</c:v>
                </c:pt>
                <c:pt idx="7">
                  <c:v>128.80916666666667</c:v>
                </c:pt>
                <c:pt idx="8">
                  <c:v>129.83805555555554</c:v>
                </c:pt>
                <c:pt idx="9">
                  <c:v>130.33305555555555</c:v>
                </c:pt>
                <c:pt idx="10">
                  <c:v>133.54361111111109</c:v>
                </c:pt>
              </c:numCache>
            </c:numRef>
          </c:val>
          <c:extLst>
            <c:ext xmlns:c16="http://schemas.microsoft.com/office/drawing/2014/chart" uri="{C3380CC4-5D6E-409C-BE32-E72D297353CC}">
              <c16:uniqueId val="{00000000-82C9-493B-BE89-11F2D6D88137}"/>
            </c:ext>
          </c:extLst>
        </c:ser>
        <c:ser>
          <c:idx val="1"/>
          <c:order val="1"/>
          <c:tx>
            <c:strRef>
              <c:f>'1.2'!$C$6</c:f>
              <c:strCache>
                <c:ptCount val="1"/>
                <c:pt idx="0">
                  <c:v>Coal and coke</c:v>
                </c:pt>
              </c:strCache>
            </c:strRef>
          </c:tx>
          <c:spPr>
            <a:solidFill>
              <a:schemeClr val="bg2">
                <a:lumMod val="25000"/>
                <a:alpha val="81000"/>
              </a:scheme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'1.2'!$C$7:$C$52</c:f>
              <c:numCache>
                <c:formatCode>0</c:formatCode>
                <c:ptCount val="11"/>
                <c:pt idx="0">
                  <c:v>25.483611111111109</c:v>
                </c:pt>
                <c:pt idx="1">
                  <c:v>26.674444444444443</c:v>
                </c:pt>
                <c:pt idx="2">
                  <c:v>25.939166666666669</c:v>
                </c:pt>
                <c:pt idx="3">
                  <c:v>23.093333333333337</c:v>
                </c:pt>
                <c:pt idx="4">
                  <c:v>17.237500000000001</c:v>
                </c:pt>
                <c:pt idx="5">
                  <c:v>23.807500000000001</c:v>
                </c:pt>
                <c:pt idx="6">
                  <c:v>23.129722222222224</c:v>
                </c:pt>
                <c:pt idx="7">
                  <c:v>21.270555555555553</c:v>
                </c:pt>
                <c:pt idx="8">
                  <c:v>21.890833333333333</c:v>
                </c:pt>
                <c:pt idx="9">
                  <c:v>21.248888888888885</c:v>
                </c:pt>
                <c:pt idx="10">
                  <c:v>18.876111111111108</c:v>
                </c:pt>
              </c:numCache>
            </c:numRef>
          </c:val>
          <c:extLst>
            <c:ext xmlns:c16="http://schemas.microsoft.com/office/drawing/2014/chart" uri="{C3380CC4-5D6E-409C-BE32-E72D297353CC}">
              <c16:uniqueId val="{00000001-82C9-493B-BE89-11F2D6D88137}"/>
            </c:ext>
          </c:extLst>
        </c:ser>
        <c:ser>
          <c:idx val="2"/>
          <c:order val="2"/>
          <c:tx>
            <c:strRef>
              <c:f>'1.2'!$D$6</c:f>
              <c:strCache>
                <c:ptCount val="1"/>
                <c:pt idx="0">
                  <c:v>Crude oil and petroleum products</c:v>
                </c:pt>
              </c:strCache>
            </c:strRef>
          </c:tx>
          <c:spPr>
            <a:solidFill>
              <a:schemeClr val="accent6">
                <a:lumMod val="75000"/>
                <a:alpha val="80000"/>
              </a:scheme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'1.2'!$D$7:$D$52</c:f>
              <c:numCache>
                <c:formatCode>0</c:formatCode>
                <c:ptCount val="11"/>
                <c:pt idx="0">
                  <c:v>164.13499999999999</c:v>
                </c:pt>
                <c:pt idx="1">
                  <c:v>162.43805555555559</c:v>
                </c:pt>
                <c:pt idx="2">
                  <c:v>148.37305555555554</c:v>
                </c:pt>
                <c:pt idx="3">
                  <c:v>154.09861111111107</c:v>
                </c:pt>
                <c:pt idx="4">
                  <c:v>143.51888888888888</c:v>
                </c:pt>
                <c:pt idx="5">
                  <c:v>156.80583333333331</c:v>
                </c:pt>
                <c:pt idx="6">
                  <c:v>150.0094444444444</c:v>
                </c:pt>
                <c:pt idx="7">
                  <c:v>142.90249999999997</c:v>
                </c:pt>
                <c:pt idx="8">
                  <c:v>133.74694444444444</c:v>
                </c:pt>
                <c:pt idx="9">
                  <c:v>133.73361111111114</c:v>
                </c:pt>
                <c:pt idx="10">
                  <c:v>119.25055555555556</c:v>
                </c:pt>
              </c:numCache>
            </c:numRef>
          </c:val>
          <c:extLst>
            <c:ext xmlns:c16="http://schemas.microsoft.com/office/drawing/2014/chart" uri="{C3380CC4-5D6E-409C-BE32-E72D297353CC}">
              <c16:uniqueId val="{00000002-82C9-493B-BE89-11F2D6D88137}"/>
            </c:ext>
          </c:extLst>
        </c:ser>
        <c:ser>
          <c:idx val="3"/>
          <c:order val="3"/>
          <c:tx>
            <c:strRef>
              <c:f>'1.2'!$E$6</c:f>
              <c:strCache>
                <c:ptCount val="1"/>
                <c:pt idx="0">
                  <c:v>Natural gas, gasworks gas</c:v>
                </c:pt>
              </c:strCache>
            </c:strRef>
          </c:tx>
          <c:spPr>
            <a:solidFill>
              <a:schemeClr val="accent2">
                <a:lumMod val="60000"/>
                <a:lumOff val="40000"/>
                <a:alpha val="80000"/>
              </a:scheme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'1.2'!$E$7:$E$52</c:f>
              <c:numCache>
                <c:formatCode>0</c:formatCode>
                <c:ptCount val="11"/>
                <c:pt idx="0">
                  <c:v>9.7524999999999995</c:v>
                </c:pt>
                <c:pt idx="1">
                  <c:v>10.209722222222222</c:v>
                </c:pt>
                <c:pt idx="2">
                  <c:v>10.536666666666665</c:v>
                </c:pt>
                <c:pt idx="3">
                  <c:v>9.5669444444444434</c:v>
                </c:pt>
                <c:pt idx="4">
                  <c:v>12.772222222222222</c:v>
                </c:pt>
                <c:pt idx="5">
                  <c:v>17.186666666666667</c:v>
                </c:pt>
                <c:pt idx="6">
                  <c:v>13.574166666666667</c:v>
                </c:pt>
                <c:pt idx="7">
                  <c:v>11.834444444444443</c:v>
                </c:pt>
                <c:pt idx="8">
                  <c:v>11.373888888888889</c:v>
                </c:pt>
                <c:pt idx="9">
                  <c:v>9.3375000000000004</c:v>
                </c:pt>
                <c:pt idx="10">
                  <c:v>10.373055555555554</c:v>
                </c:pt>
              </c:numCache>
            </c:numRef>
          </c:val>
          <c:extLst>
            <c:ext xmlns:c16="http://schemas.microsoft.com/office/drawing/2014/chart" uri="{C3380CC4-5D6E-409C-BE32-E72D297353CC}">
              <c16:uniqueId val="{00000003-82C9-493B-BE89-11F2D6D88137}"/>
            </c:ext>
          </c:extLst>
        </c:ser>
        <c:ser>
          <c:idx val="4"/>
          <c:order val="4"/>
          <c:tx>
            <c:strRef>
              <c:f>'1.2'!$F$6</c:f>
              <c:strCache>
                <c:ptCount val="1"/>
                <c:pt idx="0">
                  <c:v>Other fuels</c:v>
                </c:pt>
              </c:strCache>
            </c:strRef>
          </c:tx>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'1.2'!$F$7:$F$52</c:f>
              <c:numCache>
                <c:formatCode>0</c:formatCode>
                <c:ptCount val="11"/>
                <c:pt idx="0">
                  <c:v>12.680555555555555</c:v>
                </c:pt>
                <c:pt idx="1">
                  <c:v>12.013333333333334</c:v>
                </c:pt>
                <c:pt idx="2">
                  <c:v>13.467499999999999</c:v>
                </c:pt>
                <c:pt idx="3">
                  <c:v>14.190555555555555</c:v>
                </c:pt>
                <c:pt idx="4">
                  <c:v>12.403888888888888</c:v>
                </c:pt>
                <c:pt idx="5">
                  <c:v>14.371666666666666</c:v>
                </c:pt>
                <c:pt idx="6">
                  <c:v>14.130833333333332</c:v>
                </c:pt>
                <c:pt idx="7">
                  <c:v>13.129722222222222</c:v>
                </c:pt>
                <c:pt idx="8">
                  <c:v>14.568333333333332</c:v>
                </c:pt>
                <c:pt idx="9">
                  <c:v>14.284444444444443</c:v>
                </c:pt>
                <c:pt idx="10">
                  <c:v>13.781388888888889</c:v>
                </c:pt>
              </c:numCache>
            </c:numRef>
          </c:val>
          <c:extLst>
            <c:ext xmlns:c16="http://schemas.microsoft.com/office/drawing/2014/chart" uri="{C3380CC4-5D6E-409C-BE32-E72D297353CC}">
              <c16:uniqueId val="{00000004-82C9-493B-BE89-11F2D6D88137}"/>
            </c:ext>
          </c:extLst>
        </c:ser>
        <c:ser>
          <c:idx val="5"/>
          <c:order val="5"/>
          <c:tx>
            <c:strRef>
              <c:f>'1.2'!$G$6</c:f>
              <c:strCache>
                <c:ptCount val="1"/>
                <c:pt idx="0">
                  <c:v>Nuclear fuel</c:v>
                </c:pt>
              </c:strCache>
            </c:strRef>
          </c:tx>
          <c:spPr>
            <a:solidFill>
              <a:srgbClr val="FFC000">
                <a:alpha val="80000"/>
              </a:srgb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'1.2'!$G$7:$G$52</c:f>
              <c:numCache>
                <c:formatCode>0</c:formatCode>
                <c:ptCount val="11"/>
                <c:pt idx="0">
                  <c:v>209.62027777777777</c:v>
                </c:pt>
                <c:pt idx="1">
                  <c:v>193.84722222222223</c:v>
                </c:pt>
                <c:pt idx="2">
                  <c:v>191.40083333333334</c:v>
                </c:pt>
                <c:pt idx="3">
                  <c:v>183.60805555555555</c:v>
                </c:pt>
                <c:pt idx="4">
                  <c:v>149.42833333333334</c:v>
                </c:pt>
                <c:pt idx="5">
                  <c:v>166.44694444444443</c:v>
                </c:pt>
                <c:pt idx="6">
                  <c:v>171.125</c:v>
                </c:pt>
                <c:pt idx="7">
                  <c:v>187.50333333333333</c:v>
                </c:pt>
                <c:pt idx="8">
                  <c:v>189.17166666666665</c:v>
                </c:pt>
                <c:pt idx="9">
                  <c:v>181.75833333333335</c:v>
                </c:pt>
                <c:pt idx="10">
                  <c:v>155.35083333333336</c:v>
                </c:pt>
              </c:numCache>
            </c:numRef>
          </c:val>
          <c:extLst>
            <c:ext xmlns:c16="http://schemas.microsoft.com/office/drawing/2014/chart" uri="{C3380CC4-5D6E-409C-BE32-E72D297353CC}">
              <c16:uniqueId val="{00000005-82C9-493B-BE89-11F2D6D88137}"/>
            </c:ext>
          </c:extLst>
        </c:ser>
        <c:ser>
          <c:idx val="6"/>
          <c:order val="6"/>
          <c:tx>
            <c:strRef>
              <c:f>'1.2'!$H$6</c:f>
              <c:strCache>
                <c:ptCount val="1"/>
                <c:pt idx="0">
                  <c:v>Primary heat</c:v>
                </c:pt>
              </c:strCache>
            </c:strRef>
          </c:tx>
          <c:spPr>
            <a:solidFill>
              <a:srgbClr val="FFFF00">
                <a:alpha val="80000"/>
              </a:srgb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'1.2'!$H$7:$H$52</c:f>
              <c:numCache>
                <c:formatCode>0</c:formatCode>
                <c:ptCount val="11"/>
                <c:pt idx="0">
                  <c:v>6.1936111111111112</c:v>
                </c:pt>
                <c:pt idx="1">
                  <c:v>5.8388888888888886</c:v>
                </c:pt>
                <c:pt idx="2">
                  <c:v>5.7886111111111109</c:v>
                </c:pt>
                <c:pt idx="3">
                  <c:v>5.6974999999999998</c:v>
                </c:pt>
                <c:pt idx="4">
                  <c:v>5.1944444444444446</c:v>
                </c:pt>
                <c:pt idx="5">
                  <c:v>5.4238888888888885</c:v>
                </c:pt>
                <c:pt idx="6">
                  <c:v>5.0566666666666666</c:v>
                </c:pt>
                <c:pt idx="7">
                  <c:v>5.7927777777777774</c:v>
                </c:pt>
                <c:pt idx="8">
                  <c:v>4.4608333333333334</c:v>
                </c:pt>
                <c:pt idx="9">
                  <c:v>5.0291666666666668</c:v>
                </c:pt>
                <c:pt idx="10">
                  <c:v>4.9258333333333333</c:v>
                </c:pt>
              </c:numCache>
            </c:numRef>
          </c:val>
          <c:extLst>
            <c:ext xmlns:c16="http://schemas.microsoft.com/office/drawing/2014/chart" uri="{C3380CC4-5D6E-409C-BE32-E72D297353CC}">
              <c16:uniqueId val="{00000006-82C9-493B-BE89-11F2D6D88137}"/>
            </c:ext>
          </c:extLst>
        </c:ser>
        <c:ser>
          <c:idx val="7"/>
          <c:order val="7"/>
          <c:tx>
            <c:strRef>
              <c:f>'1.2'!$I$6</c:f>
              <c:strCache>
                <c:ptCount val="1"/>
                <c:pt idx="0">
                  <c:v>Hydropower</c:v>
                </c:pt>
              </c:strCache>
            </c:strRef>
          </c:tx>
          <c:spPr>
            <a:solidFill>
              <a:srgbClr val="0070C0">
                <a:alpha val="80000"/>
              </a:srgb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'1.2'!$I$7:$I$52</c:f>
              <c:numCache>
                <c:formatCode>0</c:formatCode>
                <c:ptCount val="11"/>
                <c:pt idx="0">
                  <c:v>72.403333333333322</c:v>
                </c:pt>
                <c:pt idx="1">
                  <c:v>61.615555555555552</c:v>
                </c:pt>
                <c:pt idx="2">
                  <c:v>66.169722222222219</c:v>
                </c:pt>
                <c:pt idx="3">
                  <c:v>69.279444444444437</c:v>
                </c:pt>
                <c:pt idx="4">
                  <c:v>65.539444444444442</c:v>
                </c:pt>
                <c:pt idx="5">
                  <c:v>67.175555555555547</c:v>
                </c:pt>
                <c:pt idx="6">
                  <c:v>67.063333333333333</c:v>
                </c:pt>
                <c:pt idx="7">
                  <c:v>78.939444444444433</c:v>
                </c:pt>
                <c:pt idx="8">
                  <c:v>61.361111111111107</c:v>
                </c:pt>
                <c:pt idx="9">
                  <c:v>63.763055555555553</c:v>
                </c:pt>
                <c:pt idx="10">
                  <c:v>75.3125</c:v>
                </c:pt>
              </c:numCache>
            </c:numRef>
          </c:val>
          <c:extLst>
            <c:ext xmlns:c16="http://schemas.microsoft.com/office/drawing/2014/chart" uri="{C3380CC4-5D6E-409C-BE32-E72D297353CC}">
              <c16:uniqueId val="{00000007-82C9-493B-BE89-11F2D6D88137}"/>
            </c:ext>
          </c:extLst>
        </c:ser>
        <c:ser>
          <c:idx val="8"/>
          <c:order val="8"/>
          <c:tx>
            <c:strRef>
              <c:f>'1.2'!$J$6</c:f>
              <c:strCache>
                <c:ptCount val="1"/>
                <c:pt idx="0">
                  <c:v>Windpower</c:v>
                </c:pt>
              </c:strCache>
            </c:strRef>
          </c:tx>
          <c:spPr>
            <a:solidFill>
              <a:schemeClr val="accent5">
                <a:alpha val="80000"/>
              </a:schemeClr>
            </a:solidFill>
          </c:spPr>
          <c:cat>
            <c:numRef>
              <c:f>'1.2'!$A$7:$A$52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'1.2'!$J$7:$J$52</c:f>
              <c:numCache>
                <c:formatCode>0</c:formatCode>
                <c:ptCount val="11"/>
                <c:pt idx="0">
                  <c:v>0.93944444444444442</c:v>
                </c:pt>
                <c:pt idx="1">
                  <c:v>0.98833333333333329</c:v>
                </c:pt>
                <c:pt idx="2">
                  <c:v>1.4316666666666666</c:v>
                </c:pt>
                <c:pt idx="3">
                  <c:v>2.0005555555555556</c:v>
                </c:pt>
                <c:pt idx="4">
                  <c:v>2.490277777777778</c:v>
                </c:pt>
                <c:pt idx="5">
                  <c:v>3.4863888888888885</c:v>
                </c:pt>
                <c:pt idx="6">
                  <c:v>6.1102777777777773</c:v>
                </c:pt>
                <c:pt idx="7">
                  <c:v>7.165277777777777</c:v>
                </c:pt>
                <c:pt idx="8">
                  <c:v>9.8422222222222224</c:v>
                </c:pt>
                <c:pt idx="9">
                  <c:v>11.234166666666667</c:v>
                </c:pt>
                <c:pt idx="10">
                  <c:v>16.267777777777777</c:v>
                </c:pt>
              </c:numCache>
            </c:numRef>
          </c:val>
          <c:extLst>
            <c:ext xmlns:c16="http://schemas.microsoft.com/office/drawing/2014/chart" uri="{C3380CC4-5D6E-409C-BE32-E72D297353CC}">
              <c16:uniqueId val="{00000008-82C9-493B-BE89-11F2D6D88137}"/>
            </c:ext>
          </c:extLst>
        </c:ser>
        <c:dLbls>
          <c:showLegendKey val="0"/>
          <c:showVal val="0"/>
          <c:showCatName val="0"/>
          <c:showSerName val="0"/>
          <c:showPercent val="0"/>
          <c:showBubbleSize val="0"/>
        </c:dLbls>
        <c:axId val="162656256"/>
        <c:axId val="162657792"/>
      </c:areaChart>
      <c:catAx>
        <c:axId val="162656256"/>
        <c:scaling>
          <c:orientation val="minMax"/>
        </c:scaling>
        <c:delete val="0"/>
        <c:axPos val="b"/>
        <c:numFmt formatCode="General" sourceLinked="1"/>
        <c:majorTickMark val="out"/>
        <c:minorTickMark val="none"/>
        <c:tickLblPos val="nextTo"/>
        <c:txPr>
          <a:bodyPr rot="-2700000"/>
          <a:lstStyle/>
          <a:p>
            <a:pPr>
              <a:defRPr/>
            </a:pPr>
            <a:endParaRPr lang="sv-SE"/>
          </a:p>
        </c:txPr>
        <c:crossAx val="162657792"/>
        <c:crosses val="autoZero"/>
        <c:auto val="1"/>
        <c:lblAlgn val="ctr"/>
        <c:lblOffset val="100"/>
        <c:noMultiLvlLbl val="0"/>
      </c:catAx>
      <c:valAx>
        <c:axId val="162657792"/>
        <c:scaling>
          <c:orientation val="minMax"/>
        </c:scaling>
        <c:delete val="0"/>
        <c:axPos val="l"/>
        <c:majorGridlines/>
        <c:title>
          <c:tx>
            <c:rich>
              <a:bodyPr/>
              <a:lstStyle/>
              <a:p>
                <a:pPr>
                  <a:defRPr b="0"/>
                </a:pPr>
                <a:r>
                  <a:rPr lang="en-US" b="0"/>
                  <a:t>TWh</a:t>
                </a:r>
              </a:p>
            </c:rich>
          </c:tx>
          <c:layout>
            <c:manualLayout>
              <c:xMode val="edge"/>
              <c:yMode val="edge"/>
              <c:x val="3.6730945821854912E-3"/>
              <c:y val="0.47195155538293132"/>
            </c:manualLayout>
          </c:layout>
          <c:overlay val="0"/>
        </c:title>
        <c:numFmt formatCode="0" sourceLinked="1"/>
        <c:majorTickMark val="none"/>
        <c:minorTickMark val="none"/>
        <c:tickLblPos val="nextTo"/>
        <c:crossAx val="162656256"/>
        <c:crosses val="autoZero"/>
        <c:crossBetween val="midCat"/>
      </c:valAx>
    </c:plotArea>
    <c:legend>
      <c:legendPos val="r"/>
      <c:layout>
        <c:manualLayout>
          <c:xMode val="edge"/>
          <c:yMode val="edge"/>
          <c:x val="0.82341943620683777"/>
          <c:y val="0.1125557078644522"/>
          <c:w val="0.17311736032995875"/>
          <c:h val="0.77934202556664223"/>
        </c:manualLayout>
      </c:layout>
      <c:overlay val="0"/>
    </c:legend>
    <c:plotVisOnly val="1"/>
    <c:dispBlanksAs val="zero"/>
    <c:showDLblsOverMax val="0"/>
  </c:chart>
  <c:spPr>
    <a:ln>
      <a:no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Blad1!$B$2</c:f>
              <c:strCache>
                <c:ptCount val="1"/>
                <c:pt idx="0">
                  <c:v>Biomass</c:v>
                </c:pt>
              </c:strCache>
            </c:strRef>
          </c:tx>
          <c:spPr>
            <a:solidFill>
              <a:schemeClr val="accent1"/>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Blad1!$B$3:$B$8</c:f>
              <c:numCache>
                <c:formatCode>0</c:formatCode>
                <c:ptCount val="6"/>
                <c:pt idx="0" formatCode="#,##0">
                  <c:v>130.06555555555553</c:v>
                </c:pt>
                <c:pt idx="1">
                  <c:v>150.78295379967668</c:v>
                </c:pt>
                <c:pt idx="2">
                  <c:v>151.08113648978872</c:v>
                </c:pt>
                <c:pt idx="3">
                  <c:v>148.29664921955253</c:v>
                </c:pt>
                <c:pt idx="4">
                  <c:v>149.82250596922043</c:v>
                </c:pt>
                <c:pt idx="5">
                  <c:v>153.09923950254273</c:v>
                </c:pt>
              </c:numCache>
            </c:numRef>
          </c:val>
          <c:extLst>
            <c:ext xmlns:c16="http://schemas.microsoft.com/office/drawing/2014/chart" uri="{C3380CC4-5D6E-409C-BE32-E72D297353CC}">
              <c16:uniqueId val="{00000000-75D7-4FF8-88DD-1CFD34AE325E}"/>
            </c:ext>
          </c:extLst>
        </c:ser>
        <c:ser>
          <c:idx val="1"/>
          <c:order val="1"/>
          <c:tx>
            <c:strRef>
              <c:f>Blad1!$C$2</c:f>
              <c:strCache>
                <c:ptCount val="1"/>
                <c:pt idx="0">
                  <c:v>Coal and coke</c:v>
                </c:pt>
              </c:strCache>
            </c:strRef>
          </c:tx>
          <c:spPr>
            <a:solidFill>
              <a:schemeClr val="accent2"/>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Blad1!$C$3:$C$8</c:f>
              <c:numCache>
                <c:formatCode>0</c:formatCode>
                <c:ptCount val="6"/>
                <c:pt idx="0" formatCode="#,##0">
                  <c:v>21.248888888888885</c:v>
                </c:pt>
                <c:pt idx="1">
                  <c:v>19.701784029143585</c:v>
                </c:pt>
                <c:pt idx="2">
                  <c:v>19.563878895421663</c:v>
                </c:pt>
                <c:pt idx="3">
                  <c:v>19.178231018349944</c:v>
                </c:pt>
                <c:pt idx="4">
                  <c:v>18.888424121593673</c:v>
                </c:pt>
                <c:pt idx="5">
                  <c:v>18.599061487835385</c:v>
                </c:pt>
              </c:numCache>
            </c:numRef>
          </c:val>
          <c:extLst>
            <c:ext xmlns:c16="http://schemas.microsoft.com/office/drawing/2014/chart" uri="{C3380CC4-5D6E-409C-BE32-E72D297353CC}">
              <c16:uniqueId val="{00000001-75D7-4FF8-88DD-1CFD34AE325E}"/>
            </c:ext>
          </c:extLst>
        </c:ser>
        <c:ser>
          <c:idx val="2"/>
          <c:order val="2"/>
          <c:tx>
            <c:strRef>
              <c:f>Blad1!$D$2</c:f>
              <c:strCache>
                <c:ptCount val="1"/>
                <c:pt idx="0">
                  <c:v>Crude oil and petroleum products</c:v>
                </c:pt>
              </c:strCache>
            </c:strRef>
          </c:tx>
          <c:spPr>
            <a:solidFill>
              <a:schemeClr val="accent3"/>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Blad1!$D$3:$D$8</c:f>
              <c:numCache>
                <c:formatCode>0</c:formatCode>
                <c:ptCount val="6"/>
                <c:pt idx="0" formatCode="#,##0">
                  <c:v>133.90972222222229</c:v>
                </c:pt>
                <c:pt idx="1">
                  <c:v>121.85795501102459</c:v>
                </c:pt>
                <c:pt idx="2">
                  <c:v>115.25838654480951</c:v>
                </c:pt>
                <c:pt idx="3">
                  <c:v>111.0780572659562</c:v>
                </c:pt>
                <c:pt idx="4">
                  <c:v>108.41620374059943</c:v>
                </c:pt>
                <c:pt idx="5">
                  <c:v>107.04874040052081</c:v>
                </c:pt>
              </c:numCache>
            </c:numRef>
          </c:val>
          <c:extLst>
            <c:ext xmlns:c16="http://schemas.microsoft.com/office/drawing/2014/chart" uri="{C3380CC4-5D6E-409C-BE32-E72D297353CC}">
              <c16:uniqueId val="{00000002-75D7-4FF8-88DD-1CFD34AE325E}"/>
            </c:ext>
          </c:extLst>
        </c:ser>
        <c:ser>
          <c:idx val="3"/>
          <c:order val="3"/>
          <c:tx>
            <c:strRef>
              <c:f>Blad1!$E$2</c:f>
              <c:strCache>
                <c:ptCount val="1"/>
                <c:pt idx="0">
                  <c:v>Natural gas, gasworks gas</c:v>
                </c:pt>
              </c:strCache>
            </c:strRef>
          </c:tx>
          <c:spPr>
            <a:solidFill>
              <a:schemeClr val="accent4"/>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Blad1!$E$3:$E$8</c:f>
              <c:numCache>
                <c:formatCode>0</c:formatCode>
                <c:ptCount val="6"/>
                <c:pt idx="0" formatCode="#,##0">
                  <c:v>9.3375000000000004</c:v>
                </c:pt>
                <c:pt idx="1">
                  <c:v>10.057473538830411</c:v>
                </c:pt>
                <c:pt idx="2">
                  <c:v>9.9059283992026863</c:v>
                </c:pt>
                <c:pt idx="3">
                  <c:v>8.4851850127020594</c:v>
                </c:pt>
                <c:pt idx="4">
                  <c:v>6.3050879464353198</c:v>
                </c:pt>
                <c:pt idx="5">
                  <c:v>6.066825202125413</c:v>
                </c:pt>
              </c:numCache>
            </c:numRef>
          </c:val>
          <c:extLst>
            <c:ext xmlns:c16="http://schemas.microsoft.com/office/drawing/2014/chart" uri="{C3380CC4-5D6E-409C-BE32-E72D297353CC}">
              <c16:uniqueId val="{00000003-75D7-4FF8-88DD-1CFD34AE325E}"/>
            </c:ext>
          </c:extLst>
        </c:ser>
        <c:ser>
          <c:idx val="4"/>
          <c:order val="4"/>
          <c:tx>
            <c:strRef>
              <c:f>Blad1!$F$2</c:f>
              <c:strCache>
                <c:ptCount val="1"/>
                <c:pt idx="0">
                  <c:v>Other fuels</c:v>
                </c:pt>
              </c:strCache>
            </c:strRef>
          </c:tx>
          <c:spPr>
            <a:solidFill>
              <a:schemeClr val="accent5"/>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Blad1!$F$3:$F$8</c:f>
              <c:numCache>
                <c:formatCode>0</c:formatCode>
                <c:ptCount val="6"/>
                <c:pt idx="0" formatCode="#,##0.0">
                  <c:v>13.944166666666666</c:v>
                </c:pt>
                <c:pt idx="1">
                  <c:v>14.719259823988368</c:v>
                </c:pt>
                <c:pt idx="2">
                  <c:v>15.295903422288752</c:v>
                </c:pt>
                <c:pt idx="3">
                  <c:v>15.21816006279025</c:v>
                </c:pt>
                <c:pt idx="4">
                  <c:v>15.064367518626126</c:v>
                </c:pt>
                <c:pt idx="5">
                  <c:v>15.00585090474153</c:v>
                </c:pt>
              </c:numCache>
            </c:numRef>
          </c:val>
          <c:extLst>
            <c:ext xmlns:c16="http://schemas.microsoft.com/office/drawing/2014/chart" uri="{C3380CC4-5D6E-409C-BE32-E72D297353CC}">
              <c16:uniqueId val="{00000004-75D7-4FF8-88DD-1CFD34AE325E}"/>
            </c:ext>
          </c:extLst>
        </c:ser>
        <c:ser>
          <c:idx val="5"/>
          <c:order val="5"/>
          <c:tx>
            <c:strRef>
              <c:f>Blad1!$G$2</c:f>
              <c:strCache>
                <c:ptCount val="1"/>
                <c:pt idx="0">
                  <c:v>Nuclear fuel</c:v>
                </c:pt>
              </c:strCache>
            </c:strRef>
          </c:tx>
          <c:spPr>
            <a:solidFill>
              <a:schemeClr val="accent6"/>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Blad1!$G$3:$G$8</c:f>
              <c:numCache>
                <c:formatCode>0</c:formatCode>
                <c:ptCount val="6"/>
                <c:pt idx="0" formatCode="#,##0">
                  <c:v>181.75833333333335</c:v>
                </c:pt>
                <c:pt idx="1">
                  <c:v>140.67061762758809</c:v>
                </c:pt>
                <c:pt idx="2">
                  <c:v>140.67061762758809</c:v>
                </c:pt>
                <c:pt idx="3">
                  <c:v>140.67061762758809</c:v>
                </c:pt>
                <c:pt idx="4">
                  <c:v>140.67061762758806</c:v>
                </c:pt>
                <c:pt idx="5">
                  <c:v>77.683773913742684</c:v>
                </c:pt>
              </c:numCache>
            </c:numRef>
          </c:val>
          <c:extLst>
            <c:ext xmlns:c16="http://schemas.microsoft.com/office/drawing/2014/chart" uri="{C3380CC4-5D6E-409C-BE32-E72D297353CC}">
              <c16:uniqueId val="{00000005-75D7-4FF8-88DD-1CFD34AE325E}"/>
            </c:ext>
          </c:extLst>
        </c:ser>
        <c:ser>
          <c:idx val="6"/>
          <c:order val="6"/>
          <c:tx>
            <c:strRef>
              <c:f>Blad1!$H$2</c:f>
              <c:strCache>
                <c:ptCount val="1"/>
                <c:pt idx="0">
                  <c:v>Hydropower</c:v>
                </c:pt>
              </c:strCache>
            </c:strRef>
          </c:tx>
          <c:spPr>
            <a:solidFill>
              <a:schemeClr val="accent1">
                <a:lumMod val="60000"/>
              </a:schemeClr>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Blad1!$H$3:$H$8</c:f>
              <c:numCache>
                <c:formatCode>0</c:formatCode>
                <c:ptCount val="6"/>
                <c:pt idx="0" formatCode="#,##0">
                  <c:v>63.763055555555553</c:v>
                </c:pt>
                <c:pt idx="1">
                  <c:v>68.234761336933943</c:v>
                </c:pt>
                <c:pt idx="2">
                  <c:v>68.763532533741738</c:v>
                </c:pt>
                <c:pt idx="3">
                  <c:v>69.027918132145658</c:v>
                </c:pt>
                <c:pt idx="4">
                  <c:v>69.027918132145658</c:v>
                </c:pt>
                <c:pt idx="5">
                  <c:v>69.027918132145686</c:v>
                </c:pt>
              </c:numCache>
            </c:numRef>
          </c:val>
          <c:extLst>
            <c:ext xmlns:c16="http://schemas.microsoft.com/office/drawing/2014/chart" uri="{C3380CC4-5D6E-409C-BE32-E72D297353CC}">
              <c16:uniqueId val="{00000006-75D7-4FF8-88DD-1CFD34AE325E}"/>
            </c:ext>
          </c:extLst>
        </c:ser>
        <c:ser>
          <c:idx val="7"/>
          <c:order val="7"/>
          <c:tx>
            <c:strRef>
              <c:f>Blad1!$I$2</c:f>
              <c:strCache>
                <c:ptCount val="1"/>
                <c:pt idx="0">
                  <c:v>Windpower</c:v>
                </c:pt>
              </c:strCache>
            </c:strRef>
          </c:tx>
          <c:spPr>
            <a:solidFill>
              <a:schemeClr val="accent2">
                <a:lumMod val="60000"/>
              </a:schemeClr>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Blad1!$I$3:$I$8</c:f>
              <c:numCache>
                <c:formatCode>0</c:formatCode>
                <c:ptCount val="6"/>
                <c:pt idx="0" formatCode="#,##0">
                  <c:v>11.234166666666667</c:v>
                </c:pt>
                <c:pt idx="1">
                  <c:v>18.823105810695957</c:v>
                </c:pt>
                <c:pt idx="2">
                  <c:v>21.144305319076651</c:v>
                </c:pt>
                <c:pt idx="3">
                  <c:v>35.012272218711935</c:v>
                </c:pt>
                <c:pt idx="4">
                  <c:v>39.633375927779696</c:v>
                </c:pt>
                <c:pt idx="5">
                  <c:v>55.746347619664071</c:v>
                </c:pt>
              </c:numCache>
            </c:numRef>
          </c:val>
          <c:extLst>
            <c:ext xmlns:c16="http://schemas.microsoft.com/office/drawing/2014/chart" uri="{C3380CC4-5D6E-409C-BE32-E72D297353CC}">
              <c16:uniqueId val="{00000007-75D7-4FF8-88DD-1CFD34AE325E}"/>
            </c:ext>
          </c:extLst>
        </c:ser>
        <c:ser>
          <c:idx val="8"/>
          <c:order val="8"/>
          <c:tx>
            <c:strRef>
              <c:f>Blad1!$J$2</c:f>
              <c:strCache>
                <c:ptCount val="1"/>
                <c:pt idx="0">
                  <c:v>Solarpower</c:v>
                </c:pt>
              </c:strCache>
            </c:strRef>
          </c:tx>
          <c:spPr>
            <a:solidFill>
              <a:schemeClr val="accent3">
                <a:lumMod val="60000"/>
              </a:schemeClr>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Blad1!$J$3:$J$8</c:f>
              <c:numCache>
                <c:formatCode>0.0</c:formatCode>
                <c:ptCount val="6"/>
                <c:pt idx="1">
                  <c:v>0.13557852000000001</c:v>
                </c:pt>
                <c:pt idx="2">
                  <c:v>0.13557852000000001</c:v>
                </c:pt>
                <c:pt idx="3">
                  <c:v>4.5192839999999999</c:v>
                </c:pt>
                <c:pt idx="4">
                  <c:v>4.5192839999999999</c:v>
                </c:pt>
                <c:pt idx="5">
                  <c:v>4.5192839999999999</c:v>
                </c:pt>
              </c:numCache>
            </c:numRef>
          </c:val>
          <c:extLst>
            <c:ext xmlns:c16="http://schemas.microsoft.com/office/drawing/2014/chart" uri="{C3380CC4-5D6E-409C-BE32-E72D297353CC}">
              <c16:uniqueId val="{00000008-75D7-4FF8-88DD-1CFD34AE325E}"/>
            </c:ext>
          </c:extLst>
        </c:ser>
        <c:ser>
          <c:idx val="9"/>
          <c:order val="9"/>
          <c:tx>
            <c:strRef>
              <c:f>Blad1!$K$2</c:f>
              <c:strCache>
                <c:ptCount val="1"/>
                <c:pt idx="0">
                  <c:v>Heat pumps for district heating</c:v>
                </c:pt>
              </c:strCache>
            </c:strRef>
          </c:tx>
          <c:spPr>
            <a:solidFill>
              <a:schemeClr val="accent4">
                <a:lumMod val="60000"/>
              </a:schemeClr>
            </a:solidFill>
            <a:ln>
              <a:noFill/>
            </a:ln>
            <a:effectLst/>
          </c:spPr>
          <c:invertIfNegative val="0"/>
          <c:cat>
            <c:numRef>
              <c:f>Blad1!$A$3:$A$8</c:f>
              <c:numCache>
                <c:formatCode>General</c:formatCode>
                <c:ptCount val="6"/>
                <c:pt idx="0">
                  <c:v>2014</c:v>
                </c:pt>
                <c:pt idx="1">
                  <c:v>2020</c:v>
                </c:pt>
                <c:pt idx="2">
                  <c:v>2025</c:v>
                </c:pt>
                <c:pt idx="3">
                  <c:v>2030</c:v>
                </c:pt>
                <c:pt idx="4">
                  <c:v>2035</c:v>
                </c:pt>
                <c:pt idx="5">
                  <c:v>2040</c:v>
                </c:pt>
              </c:numCache>
            </c:numRef>
          </c:cat>
          <c:val>
            <c:numRef>
              <c:f>Blad1!$K$3:$K$8</c:f>
              <c:numCache>
                <c:formatCode>0.0</c:formatCode>
                <c:ptCount val="6"/>
                <c:pt idx="0" formatCode="#,##0.0">
                  <c:v>5.0291666666666668</c:v>
                </c:pt>
                <c:pt idx="1">
                  <c:v>2.8316163682864453</c:v>
                </c:pt>
                <c:pt idx="2">
                  <c:v>1.7724047046186902</c:v>
                </c:pt>
                <c:pt idx="3">
                  <c:v>1.3597333333333337</c:v>
                </c:pt>
                <c:pt idx="4">
                  <c:v>2.3213231059332111</c:v>
                </c:pt>
                <c:pt idx="5">
                  <c:v>2.1076998728390546</c:v>
                </c:pt>
              </c:numCache>
            </c:numRef>
          </c:val>
          <c:extLst>
            <c:ext xmlns:c16="http://schemas.microsoft.com/office/drawing/2014/chart" uri="{C3380CC4-5D6E-409C-BE32-E72D297353CC}">
              <c16:uniqueId val="{00000009-75D7-4FF8-88DD-1CFD34AE325E}"/>
            </c:ext>
          </c:extLst>
        </c:ser>
        <c:dLbls>
          <c:showLegendKey val="0"/>
          <c:showVal val="0"/>
          <c:showCatName val="0"/>
          <c:showSerName val="0"/>
          <c:showPercent val="0"/>
          <c:showBubbleSize val="0"/>
        </c:dLbls>
        <c:gapWidth val="150"/>
        <c:overlap val="100"/>
        <c:axId val="2128967231"/>
        <c:axId val="2123139503"/>
      </c:barChart>
      <c:catAx>
        <c:axId val="2128967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2123139503"/>
        <c:crosses val="autoZero"/>
        <c:auto val="1"/>
        <c:lblAlgn val="ctr"/>
        <c:lblOffset val="100"/>
        <c:noMultiLvlLbl val="0"/>
      </c:catAx>
      <c:valAx>
        <c:axId val="21231395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2128967231"/>
        <c:crosses val="autoZero"/>
        <c:crossBetween val="between"/>
      </c:valAx>
      <c:spPr>
        <a:noFill/>
        <a:ln>
          <a:noFill/>
        </a:ln>
        <a:effectLst/>
      </c:spPr>
    </c:plotArea>
    <c:legend>
      <c:legendPos val="b"/>
      <c:layout>
        <c:manualLayout>
          <c:xMode val="edge"/>
          <c:yMode val="edge"/>
          <c:x val="8.2006803805394768E-2"/>
          <c:y val="0.67237115662166358"/>
          <c:w val="0.85622930736896741"/>
          <c:h val="0.258373172103487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'[Statistik Energimyndigheten - Nationell energi- och klimatplan (002).xlsx]Elhandel'!$J$4</c:f>
              <c:strCache>
                <c:ptCount val="1"/>
                <c:pt idx="0">
                  <c:v>2 000 kWh</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'[Statistik Energimyndigheten - Nationell energi- och klimatplan (002).xlsx]Elhandel'!$I$5:$I$8</c:f>
              <c:numCache>
                <c:formatCode>General</c:formatCode>
                <c:ptCount val="4"/>
                <c:pt idx="0">
                  <c:v>2014</c:v>
                </c:pt>
                <c:pt idx="1">
                  <c:v>2015</c:v>
                </c:pt>
                <c:pt idx="2">
                  <c:v>2016</c:v>
                </c:pt>
                <c:pt idx="3">
                  <c:v>2017</c:v>
                </c:pt>
              </c:numCache>
            </c:numRef>
          </c:cat>
          <c:val>
            <c:numRef>
              <c:f>'[Statistik Energimyndigheten - Nationell energi- och klimatplan (002).xlsx]Elhandel'!$J$5:$J$8</c:f>
              <c:numCache>
                <c:formatCode>0</c:formatCode>
                <c:ptCount val="4"/>
                <c:pt idx="0">
                  <c:v>1026.48</c:v>
                </c:pt>
                <c:pt idx="1">
                  <c:v>888</c:v>
                </c:pt>
                <c:pt idx="2">
                  <c:v>978.88</c:v>
                </c:pt>
                <c:pt idx="3">
                  <c:v>991.76</c:v>
                </c:pt>
              </c:numCache>
            </c:numRef>
          </c:val>
          <c:smooth val="0"/>
          <c:extLst>
            <c:ext xmlns:c16="http://schemas.microsoft.com/office/drawing/2014/chart" uri="{C3380CC4-5D6E-409C-BE32-E72D297353CC}">
              <c16:uniqueId val="{00000000-02DF-42B1-A566-90AEE340F70E}"/>
            </c:ext>
          </c:extLst>
        </c:ser>
        <c:ser>
          <c:idx val="1"/>
          <c:order val="1"/>
          <c:tx>
            <c:strRef>
              <c:f>'[Statistik Energimyndigheten - Nationell energi- och klimatplan (002).xlsx]Elhandel'!$K$4</c:f>
              <c:strCache>
                <c:ptCount val="1"/>
                <c:pt idx="0">
                  <c:v>20 000 kWh</c:v>
                </c:pt>
              </c:strCache>
            </c:strRef>
          </c:tx>
          <c:spPr>
            <a:ln w="28575" cap="rnd">
              <a:solidFill>
                <a:schemeClr val="accent2"/>
              </a:solidFill>
              <a:round/>
            </a:ln>
            <a:effectLst/>
          </c:spPr>
          <c:marker>
            <c:symbol val="none"/>
          </c:marker>
          <c:dPt>
            <c:idx val="2"/>
            <c:marker>
              <c:symbol val="none"/>
            </c:marker>
            <c:bubble3D val="0"/>
            <c:spPr>
              <a:ln w="25400" cap="rnd">
                <a:solidFill>
                  <a:schemeClr val="accent2"/>
                </a:solidFill>
                <a:round/>
              </a:ln>
              <a:effectLst/>
            </c:spPr>
            <c:extLst>
              <c:ext xmlns:c16="http://schemas.microsoft.com/office/drawing/2014/chart" uri="{C3380CC4-5D6E-409C-BE32-E72D297353CC}">
                <c16:uniqueId val="{00000002-02DF-42B1-A566-90AEE340F7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'[Statistik Energimyndigheten - Nationell energi- och klimatplan (002).xlsx]Elhandel'!$I$5:$I$8</c:f>
              <c:numCache>
                <c:formatCode>General</c:formatCode>
                <c:ptCount val="4"/>
                <c:pt idx="0">
                  <c:v>2014</c:v>
                </c:pt>
                <c:pt idx="1">
                  <c:v>2015</c:v>
                </c:pt>
                <c:pt idx="2">
                  <c:v>2016</c:v>
                </c:pt>
                <c:pt idx="3">
                  <c:v>2017</c:v>
                </c:pt>
              </c:numCache>
            </c:numRef>
          </c:cat>
          <c:val>
            <c:numRef>
              <c:f>'[Statistik Energimyndigheten - Nationell energi- och klimatplan (002).xlsx]Elhandel'!$K$5:$K$8</c:f>
              <c:numCache>
                <c:formatCode>0</c:formatCode>
                <c:ptCount val="4"/>
                <c:pt idx="0" formatCode="General">
                  <c:v>7740</c:v>
                </c:pt>
                <c:pt idx="1">
                  <c:v>6414.4</c:v>
                </c:pt>
                <c:pt idx="2">
                  <c:v>7428.8</c:v>
                </c:pt>
                <c:pt idx="3" formatCode="General">
                  <c:v>7540</c:v>
                </c:pt>
              </c:numCache>
            </c:numRef>
          </c:val>
          <c:smooth val="0"/>
          <c:extLst>
            <c:ext xmlns:c16="http://schemas.microsoft.com/office/drawing/2014/chart" uri="{C3380CC4-5D6E-409C-BE32-E72D297353CC}">
              <c16:uniqueId val="{00000003-02DF-42B1-A566-90AEE340F70E}"/>
            </c:ext>
          </c:extLst>
        </c:ser>
        <c:dLbls>
          <c:showLegendKey val="0"/>
          <c:showVal val="0"/>
          <c:showCatName val="0"/>
          <c:showSerName val="0"/>
          <c:showPercent val="0"/>
          <c:showBubbleSize val="0"/>
        </c:dLbls>
        <c:smooth val="0"/>
        <c:axId val="172747080"/>
        <c:axId val="172749040"/>
      </c:lineChart>
      <c:catAx>
        <c:axId val="172747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72749040"/>
        <c:crosses val="autoZero"/>
        <c:auto val="1"/>
        <c:lblAlgn val="ctr"/>
        <c:lblOffset val="100"/>
        <c:noMultiLvlLbl val="0"/>
      </c:catAx>
      <c:valAx>
        <c:axId val="172749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SEK/year</a:t>
                </a:r>
              </a:p>
            </c:rich>
          </c:tx>
          <c:layout>
            <c:manualLayout>
              <c:xMode val="edge"/>
              <c:yMode val="edge"/>
              <c:x val="3.0555555555555555E-2"/>
              <c:y val="0.3337073490813648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72747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strRef>
              <c:f>'[Statistik Energimyndigheten - Nationell energi- och klimatplan (002).xlsx]Elnät'!$A$12</c:f>
              <c:strCache>
                <c:ptCount val="1"/>
                <c:pt idx="0">
                  <c:v>Apartment 16A, 2 000 kWh/year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'[Statistik Energimyndigheten - Nationell energi- och klimatplan (002).xlsx]Elnät'!$B$11:$E$11</c:f>
              <c:numCache>
                <c:formatCode>General</c:formatCode>
                <c:ptCount val="4"/>
                <c:pt idx="0">
                  <c:v>2014</c:v>
                </c:pt>
                <c:pt idx="1">
                  <c:v>2015</c:v>
                </c:pt>
                <c:pt idx="2">
                  <c:v>2016</c:v>
                </c:pt>
                <c:pt idx="3">
                  <c:v>2017</c:v>
                </c:pt>
              </c:numCache>
            </c:numRef>
          </c:cat>
          <c:val>
            <c:numRef>
              <c:f>'[Statistik Energimyndigheten - Nationell energi- och klimatplan (002).xlsx]Elnät'!$B$12:$E$12</c:f>
              <c:numCache>
                <c:formatCode>0</c:formatCode>
                <c:ptCount val="4"/>
                <c:pt idx="0">
                  <c:v>1302.056906130576</c:v>
                </c:pt>
                <c:pt idx="1">
                  <c:v>1324.1512469831055</c:v>
                </c:pt>
                <c:pt idx="2">
                  <c:v>1368.8404177178807</c:v>
                </c:pt>
                <c:pt idx="3">
                  <c:v>1393.5</c:v>
                </c:pt>
              </c:numCache>
            </c:numRef>
          </c:val>
          <c:smooth val="0"/>
          <c:extLst>
            <c:ext xmlns:c16="http://schemas.microsoft.com/office/drawing/2014/chart" uri="{C3380CC4-5D6E-409C-BE32-E72D297353CC}">
              <c16:uniqueId val="{00000000-AEFB-4D92-B54A-3046347252FD}"/>
            </c:ext>
          </c:extLst>
        </c:ser>
        <c:ser>
          <c:idx val="2"/>
          <c:order val="1"/>
          <c:tx>
            <c:strRef>
              <c:f>'[Statistik Energimyndigheten - Nationell energi- och klimatplan (002).xlsx]Elnät'!$A$13</c:f>
              <c:strCache>
                <c:ptCount val="1"/>
                <c:pt idx="0">
                  <c:v>House 20A, 20 000 kWh/year</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'[Statistik Energimyndigheten - Nationell energi- och klimatplan (002).xlsx]Elnät'!$B$11:$E$11</c:f>
              <c:numCache>
                <c:formatCode>General</c:formatCode>
                <c:ptCount val="4"/>
                <c:pt idx="0">
                  <c:v>2014</c:v>
                </c:pt>
                <c:pt idx="1">
                  <c:v>2015</c:v>
                </c:pt>
                <c:pt idx="2">
                  <c:v>2016</c:v>
                </c:pt>
                <c:pt idx="3">
                  <c:v>2017</c:v>
                </c:pt>
              </c:numCache>
            </c:numRef>
          </c:cat>
          <c:val>
            <c:numRef>
              <c:f>'[Statistik Energimyndigheten - Nationell energi- och klimatplan (002).xlsx]Elnät'!$B$13:$E$13</c:f>
              <c:numCache>
                <c:formatCode>0</c:formatCode>
                <c:ptCount val="4"/>
                <c:pt idx="0">
                  <c:v>6049.4155239410393</c:v>
                </c:pt>
                <c:pt idx="1">
                  <c:v>6109.8954143201936</c:v>
                </c:pt>
                <c:pt idx="2">
                  <c:v>6219.0982978315715</c:v>
                </c:pt>
                <c:pt idx="3">
                  <c:v>6303.5</c:v>
                </c:pt>
              </c:numCache>
            </c:numRef>
          </c:val>
          <c:smooth val="0"/>
          <c:extLst>
            <c:ext xmlns:c16="http://schemas.microsoft.com/office/drawing/2014/chart" uri="{C3380CC4-5D6E-409C-BE32-E72D297353CC}">
              <c16:uniqueId val="{00000001-AEFB-4D92-B54A-3046347252FD}"/>
            </c:ext>
          </c:extLst>
        </c:ser>
        <c:ser>
          <c:idx val="3"/>
          <c:order val="2"/>
          <c:tx>
            <c:strRef>
              <c:f>'[Statistik Energimyndigheten - Nationell energi- och klimatplan (002).xlsx]Elnät'!$A$14</c:f>
              <c:strCache>
                <c:ptCount val="1"/>
                <c:pt idx="0">
                  <c:v>House 25A, 30 000 kWh/year</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'[Statistik Energimyndigheten - Nationell energi- och klimatplan (002).xlsx]Elnät'!$B$11:$E$11</c:f>
              <c:numCache>
                <c:formatCode>General</c:formatCode>
                <c:ptCount val="4"/>
                <c:pt idx="0">
                  <c:v>2014</c:v>
                </c:pt>
                <c:pt idx="1">
                  <c:v>2015</c:v>
                </c:pt>
                <c:pt idx="2">
                  <c:v>2016</c:v>
                </c:pt>
                <c:pt idx="3">
                  <c:v>2017</c:v>
                </c:pt>
              </c:numCache>
            </c:numRef>
          </c:cat>
          <c:val>
            <c:numRef>
              <c:f>'[Statistik Energimyndigheten - Nationell energi- och klimatplan (002).xlsx]Elnät'!$B$14:$E$14</c:f>
              <c:numCache>
                <c:formatCode>0</c:formatCode>
                <c:ptCount val="4"/>
                <c:pt idx="0">
                  <c:v>8280.3477953691508</c:v>
                </c:pt>
                <c:pt idx="1">
                  <c:v>8534.4408688656476</c:v>
                </c:pt>
                <c:pt idx="2">
                  <c:v>8611.0201833104475</c:v>
                </c:pt>
                <c:pt idx="3">
                  <c:v>8624.5</c:v>
                </c:pt>
              </c:numCache>
            </c:numRef>
          </c:val>
          <c:smooth val="0"/>
          <c:extLst>
            <c:ext xmlns:c16="http://schemas.microsoft.com/office/drawing/2014/chart" uri="{C3380CC4-5D6E-409C-BE32-E72D297353CC}">
              <c16:uniqueId val="{00000002-AEFB-4D92-B54A-3046347252FD}"/>
            </c:ext>
          </c:extLst>
        </c:ser>
        <c:dLbls>
          <c:dLblPos val="t"/>
          <c:showLegendKey val="0"/>
          <c:showVal val="1"/>
          <c:showCatName val="0"/>
          <c:showSerName val="0"/>
          <c:showPercent val="0"/>
          <c:showBubbleSize val="0"/>
        </c:dLbls>
        <c:marker val="1"/>
        <c:smooth val="0"/>
        <c:axId val="818025344"/>
        <c:axId val="812296784"/>
      </c:lineChart>
      <c:catAx>
        <c:axId val="818025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812296784"/>
        <c:crosses val="autoZero"/>
        <c:auto val="1"/>
        <c:lblAlgn val="ctr"/>
        <c:lblOffset val="100"/>
        <c:noMultiLvlLbl val="0"/>
      </c:catAx>
      <c:valAx>
        <c:axId val="812296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SEK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818025344"/>
        <c:crosses val="autoZero"/>
        <c:crossBetween val="between"/>
      </c:valAx>
      <c:spPr>
        <a:noFill/>
        <a:ln>
          <a:noFill/>
        </a:ln>
        <a:effectLst/>
      </c:spPr>
    </c:plotArea>
    <c:legend>
      <c:legendPos val="b"/>
      <c:layout>
        <c:manualLayout>
          <c:xMode val="edge"/>
          <c:yMode val="edge"/>
          <c:x val="2.6471128608923877E-2"/>
          <c:y val="0.82291557305336838"/>
          <c:w val="0.9526132983377078"/>
          <c:h val="0.149306649168853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[gpnsi.xlsx]Worksheet!$B$1</c:f>
              <c:strCache>
                <c:ptCount val="1"/>
                <c:pt idx="0">
                  <c:v>Gaspoint Nordic Spot Index (EUR/MWh)</c:v>
                </c:pt>
              </c:strCache>
            </c:strRef>
          </c:tx>
          <c:spPr>
            <a:ln w="28575" cap="rnd">
              <a:solidFill>
                <a:schemeClr val="accent1"/>
              </a:solidFill>
              <a:round/>
            </a:ln>
            <a:effectLst/>
          </c:spPr>
          <c:marker>
            <c:symbol val="none"/>
          </c:marker>
          <c:cat>
            <c:strRef>
              <c:f>[gpnsi.xlsx]Worksheet!$A$2:$A$125</c:f>
              <c:strCache>
                <c:ptCount val="124"/>
                <c:pt idx="0">
                  <c:v>2017-07-23</c:v>
                </c:pt>
                <c:pt idx="1">
                  <c:v>2017-07-24</c:v>
                </c:pt>
                <c:pt idx="2">
                  <c:v>2017-07-25</c:v>
                </c:pt>
                <c:pt idx="3">
                  <c:v>2017-07-26</c:v>
                </c:pt>
                <c:pt idx="4">
                  <c:v>2017-07-27</c:v>
                </c:pt>
                <c:pt idx="5">
                  <c:v>2017-07-28</c:v>
                </c:pt>
                <c:pt idx="6">
                  <c:v>2017-07-29</c:v>
                </c:pt>
                <c:pt idx="7">
                  <c:v>2017-07-30</c:v>
                </c:pt>
                <c:pt idx="8">
                  <c:v>2017-07-31</c:v>
                </c:pt>
                <c:pt idx="9">
                  <c:v>2017-08-01</c:v>
                </c:pt>
                <c:pt idx="10">
                  <c:v>2017-08-02</c:v>
                </c:pt>
                <c:pt idx="11">
                  <c:v>2017-08-03</c:v>
                </c:pt>
                <c:pt idx="12">
                  <c:v>2017-08-04</c:v>
                </c:pt>
                <c:pt idx="13">
                  <c:v>2017-08-05</c:v>
                </c:pt>
                <c:pt idx="14">
                  <c:v>2017-08-06</c:v>
                </c:pt>
                <c:pt idx="15">
                  <c:v>2017-08-07</c:v>
                </c:pt>
                <c:pt idx="16">
                  <c:v>2017-08-08</c:v>
                </c:pt>
                <c:pt idx="17">
                  <c:v>2017-08-09</c:v>
                </c:pt>
                <c:pt idx="18">
                  <c:v>2017-08-10</c:v>
                </c:pt>
                <c:pt idx="19">
                  <c:v>2017-08-11</c:v>
                </c:pt>
                <c:pt idx="20">
                  <c:v>2017-08-12</c:v>
                </c:pt>
                <c:pt idx="21">
                  <c:v>2017-08-13</c:v>
                </c:pt>
                <c:pt idx="22">
                  <c:v>2017-08-14</c:v>
                </c:pt>
                <c:pt idx="23">
                  <c:v>2017-08-15</c:v>
                </c:pt>
                <c:pt idx="24">
                  <c:v>2017-08-16</c:v>
                </c:pt>
                <c:pt idx="25">
                  <c:v>2017-08-17</c:v>
                </c:pt>
                <c:pt idx="26">
                  <c:v>2017-08-18</c:v>
                </c:pt>
                <c:pt idx="27">
                  <c:v>2017-08-19</c:v>
                </c:pt>
                <c:pt idx="28">
                  <c:v>2017-08-20</c:v>
                </c:pt>
                <c:pt idx="29">
                  <c:v>2017-08-21</c:v>
                </c:pt>
                <c:pt idx="30">
                  <c:v>2017-08-22</c:v>
                </c:pt>
                <c:pt idx="31">
                  <c:v>2017-08-23</c:v>
                </c:pt>
                <c:pt idx="32">
                  <c:v>2017-08-24</c:v>
                </c:pt>
                <c:pt idx="33">
                  <c:v>2017-08-25</c:v>
                </c:pt>
                <c:pt idx="34">
                  <c:v>2017-08-26</c:v>
                </c:pt>
                <c:pt idx="35">
                  <c:v>2017-08-27</c:v>
                </c:pt>
                <c:pt idx="36">
                  <c:v>2017-08-28</c:v>
                </c:pt>
                <c:pt idx="37">
                  <c:v>2017-08-29</c:v>
                </c:pt>
                <c:pt idx="38">
                  <c:v>2017-08-30</c:v>
                </c:pt>
                <c:pt idx="39">
                  <c:v>2017-08-31</c:v>
                </c:pt>
                <c:pt idx="40">
                  <c:v>2017-09-01</c:v>
                </c:pt>
                <c:pt idx="41">
                  <c:v>2017-09-02</c:v>
                </c:pt>
                <c:pt idx="42">
                  <c:v>2017-09-03</c:v>
                </c:pt>
                <c:pt idx="43">
                  <c:v>2017-09-04</c:v>
                </c:pt>
                <c:pt idx="44">
                  <c:v>2017-09-05</c:v>
                </c:pt>
                <c:pt idx="45">
                  <c:v>2017-09-06</c:v>
                </c:pt>
                <c:pt idx="46">
                  <c:v>2017-09-07</c:v>
                </c:pt>
                <c:pt idx="47">
                  <c:v>2017-09-08</c:v>
                </c:pt>
                <c:pt idx="48">
                  <c:v>2017-09-09</c:v>
                </c:pt>
                <c:pt idx="49">
                  <c:v>2017-09-10</c:v>
                </c:pt>
                <c:pt idx="50">
                  <c:v>2017-09-11</c:v>
                </c:pt>
                <c:pt idx="51">
                  <c:v>2017-09-12</c:v>
                </c:pt>
                <c:pt idx="52">
                  <c:v>2017-09-13</c:v>
                </c:pt>
                <c:pt idx="53">
                  <c:v>2017-09-14</c:v>
                </c:pt>
                <c:pt idx="54">
                  <c:v>2017-09-15</c:v>
                </c:pt>
                <c:pt idx="55">
                  <c:v>2017-09-16</c:v>
                </c:pt>
                <c:pt idx="56">
                  <c:v>2017-09-17</c:v>
                </c:pt>
                <c:pt idx="57">
                  <c:v>2017-09-18</c:v>
                </c:pt>
                <c:pt idx="58">
                  <c:v>2017-09-19</c:v>
                </c:pt>
                <c:pt idx="59">
                  <c:v>2017-09-20</c:v>
                </c:pt>
                <c:pt idx="60">
                  <c:v>2017-09-21</c:v>
                </c:pt>
                <c:pt idx="61">
                  <c:v>2017-09-22</c:v>
                </c:pt>
                <c:pt idx="62">
                  <c:v>2017-09-23</c:v>
                </c:pt>
                <c:pt idx="63">
                  <c:v>2017-09-24</c:v>
                </c:pt>
                <c:pt idx="64">
                  <c:v>2017-09-25</c:v>
                </c:pt>
                <c:pt idx="65">
                  <c:v>2017-09-26</c:v>
                </c:pt>
                <c:pt idx="66">
                  <c:v>2017-09-27</c:v>
                </c:pt>
                <c:pt idx="67">
                  <c:v>2017-09-28</c:v>
                </c:pt>
                <c:pt idx="68">
                  <c:v>2017-09-29</c:v>
                </c:pt>
                <c:pt idx="69">
                  <c:v>2017-09-30</c:v>
                </c:pt>
                <c:pt idx="70">
                  <c:v>2017-10-01</c:v>
                </c:pt>
                <c:pt idx="71">
                  <c:v>2017-10-02</c:v>
                </c:pt>
                <c:pt idx="72">
                  <c:v>2017-10-03</c:v>
                </c:pt>
                <c:pt idx="73">
                  <c:v>2017-10-04</c:v>
                </c:pt>
                <c:pt idx="74">
                  <c:v>2017-10-05</c:v>
                </c:pt>
                <c:pt idx="75">
                  <c:v>2017-10-06</c:v>
                </c:pt>
                <c:pt idx="76">
                  <c:v>2017-10-07</c:v>
                </c:pt>
                <c:pt idx="77">
                  <c:v>2017-10-08</c:v>
                </c:pt>
                <c:pt idx="78">
                  <c:v>2017-10-09</c:v>
                </c:pt>
                <c:pt idx="79">
                  <c:v>2017-10-10</c:v>
                </c:pt>
                <c:pt idx="80">
                  <c:v>2017-10-11</c:v>
                </c:pt>
                <c:pt idx="81">
                  <c:v>2017-10-12</c:v>
                </c:pt>
                <c:pt idx="82">
                  <c:v>2017-10-13</c:v>
                </c:pt>
                <c:pt idx="83">
                  <c:v>2017-10-14</c:v>
                </c:pt>
                <c:pt idx="84">
                  <c:v>2017-10-15</c:v>
                </c:pt>
                <c:pt idx="85">
                  <c:v>2017-10-16</c:v>
                </c:pt>
                <c:pt idx="86">
                  <c:v>2017-10-17</c:v>
                </c:pt>
                <c:pt idx="87">
                  <c:v>2017-10-18</c:v>
                </c:pt>
                <c:pt idx="88">
                  <c:v>2017-10-19</c:v>
                </c:pt>
                <c:pt idx="89">
                  <c:v>2017-10-20</c:v>
                </c:pt>
                <c:pt idx="90">
                  <c:v>2017-10-21</c:v>
                </c:pt>
                <c:pt idx="91">
                  <c:v>2017-10-22</c:v>
                </c:pt>
                <c:pt idx="92">
                  <c:v>2017-10-23</c:v>
                </c:pt>
                <c:pt idx="93">
                  <c:v>2017-10-24</c:v>
                </c:pt>
                <c:pt idx="94">
                  <c:v>2017-10-25</c:v>
                </c:pt>
                <c:pt idx="95">
                  <c:v>2017-10-26</c:v>
                </c:pt>
                <c:pt idx="96">
                  <c:v>2017-10-27</c:v>
                </c:pt>
                <c:pt idx="97">
                  <c:v>2017-10-28</c:v>
                </c:pt>
                <c:pt idx="98">
                  <c:v>2017-10-29</c:v>
                </c:pt>
                <c:pt idx="99">
                  <c:v>2017-10-30</c:v>
                </c:pt>
                <c:pt idx="100">
                  <c:v>2017-10-31</c:v>
                </c:pt>
                <c:pt idx="101">
                  <c:v>2017-11-01</c:v>
                </c:pt>
                <c:pt idx="102">
                  <c:v>2017-11-02</c:v>
                </c:pt>
                <c:pt idx="103">
                  <c:v>2017-11-03</c:v>
                </c:pt>
                <c:pt idx="104">
                  <c:v>2017-11-04</c:v>
                </c:pt>
                <c:pt idx="105">
                  <c:v>2017-11-05</c:v>
                </c:pt>
                <c:pt idx="106">
                  <c:v>2017-11-06</c:v>
                </c:pt>
                <c:pt idx="107">
                  <c:v>2017-11-07</c:v>
                </c:pt>
                <c:pt idx="108">
                  <c:v>2017-11-08</c:v>
                </c:pt>
                <c:pt idx="109">
                  <c:v>2017-11-09</c:v>
                </c:pt>
                <c:pt idx="110">
                  <c:v>2017-11-10</c:v>
                </c:pt>
                <c:pt idx="111">
                  <c:v>2017-11-11</c:v>
                </c:pt>
                <c:pt idx="112">
                  <c:v>2017-11-12</c:v>
                </c:pt>
                <c:pt idx="113">
                  <c:v>2017-11-13</c:v>
                </c:pt>
                <c:pt idx="114">
                  <c:v>2017-11-14</c:v>
                </c:pt>
                <c:pt idx="115">
                  <c:v>2017-11-15</c:v>
                </c:pt>
                <c:pt idx="116">
                  <c:v>2017-11-16</c:v>
                </c:pt>
                <c:pt idx="117">
                  <c:v>2017-11-17</c:v>
                </c:pt>
                <c:pt idx="118">
                  <c:v>2017-11-18</c:v>
                </c:pt>
                <c:pt idx="119">
                  <c:v>2017-11-19</c:v>
                </c:pt>
                <c:pt idx="120">
                  <c:v>2017-11-20</c:v>
                </c:pt>
                <c:pt idx="121">
                  <c:v>2017-11-21</c:v>
                </c:pt>
                <c:pt idx="122">
                  <c:v>2017-11-22</c:v>
                </c:pt>
                <c:pt idx="123">
                  <c:v>2017-11-23</c:v>
                </c:pt>
              </c:strCache>
            </c:strRef>
          </c:cat>
          <c:val>
            <c:numRef>
              <c:f>[gpnsi.xlsx]Worksheet!$B$2:$B$125</c:f>
              <c:numCache>
                <c:formatCode>0.000</c:formatCode>
                <c:ptCount val="124"/>
                <c:pt idx="0">
                  <c:v>14.131</c:v>
                </c:pt>
                <c:pt idx="1">
                  <c:v>14.125</c:v>
                </c:pt>
                <c:pt idx="2">
                  <c:v>14.003</c:v>
                </c:pt>
                <c:pt idx="3">
                  <c:v>13.859</c:v>
                </c:pt>
                <c:pt idx="4">
                  <c:v>14.111000000000001</c:v>
                </c:pt>
                <c:pt idx="5">
                  <c:v>14.164999999999999</c:v>
                </c:pt>
                <c:pt idx="6">
                  <c:v>13.882</c:v>
                </c:pt>
                <c:pt idx="7">
                  <c:v>13.882</c:v>
                </c:pt>
                <c:pt idx="8">
                  <c:v>13.919</c:v>
                </c:pt>
                <c:pt idx="9">
                  <c:v>14.106</c:v>
                </c:pt>
                <c:pt idx="10">
                  <c:v>13.865</c:v>
                </c:pt>
                <c:pt idx="11">
                  <c:v>13.773999999999999</c:v>
                </c:pt>
                <c:pt idx="12">
                  <c:v>13.82</c:v>
                </c:pt>
                <c:pt idx="13">
                  <c:v>13.906000000000001</c:v>
                </c:pt>
                <c:pt idx="14">
                  <c:v>13.906000000000001</c:v>
                </c:pt>
                <c:pt idx="15">
                  <c:v>13.926</c:v>
                </c:pt>
                <c:pt idx="16">
                  <c:v>14.474</c:v>
                </c:pt>
                <c:pt idx="17">
                  <c:v>14.821</c:v>
                </c:pt>
                <c:pt idx="18">
                  <c:v>14.999000000000001</c:v>
                </c:pt>
                <c:pt idx="19">
                  <c:v>15.27</c:v>
                </c:pt>
                <c:pt idx="20">
                  <c:v>15.246</c:v>
                </c:pt>
                <c:pt idx="21">
                  <c:v>15.246</c:v>
                </c:pt>
                <c:pt idx="22">
                  <c:v>15.249000000000001</c:v>
                </c:pt>
                <c:pt idx="23">
                  <c:v>15.145</c:v>
                </c:pt>
                <c:pt idx="24">
                  <c:v>15.03</c:v>
                </c:pt>
                <c:pt idx="25">
                  <c:v>15</c:v>
                </c:pt>
                <c:pt idx="26">
                  <c:v>15.379</c:v>
                </c:pt>
                <c:pt idx="27">
                  <c:v>15.382999999999999</c:v>
                </c:pt>
                <c:pt idx="28">
                  <c:v>15.382999999999999</c:v>
                </c:pt>
                <c:pt idx="29">
                  <c:v>15.377000000000001</c:v>
                </c:pt>
                <c:pt idx="30">
                  <c:v>15.407</c:v>
                </c:pt>
                <c:pt idx="31">
                  <c:v>15.298</c:v>
                </c:pt>
                <c:pt idx="32">
                  <c:v>15.641999999999999</c:v>
                </c:pt>
                <c:pt idx="33">
                  <c:v>15.731999999999999</c:v>
                </c:pt>
                <c:pt idx="34">
                  <c:v>15.487</c:v>
                </c:pt>
                <c:pt idx="35">
                  <c:v>15.487</c:v>
                </c:pt>
                <c:pt idx="36">
                  <c:v>15.487</c:v>
                </c:pt>
                <c:pt idx="37">
                  <c:v>15.545</c:v>
                </c:pt>
                <c:pt idx="38">
                  <c:v>15.692</c:v>
                </c:pt>
                <c:pt idx="39">
                  <c:v>15.977</c:v>
                </c:pt>
                <c:pt idx="40">
                  <c:v>16.041</c:v>
                </c:pt>
                <c:pt idx="41">
                  <c:v>15.906000000000001</c:v>
                </c:pt>
                <c:pt idx="42">
                  <c:v>15.906000000000001</c:v>
                </c:pt>
                <c:pt idx="43">
                  <c:v>15.909000000000001</c:v>
                </c:pt>
                <c:pt idx="44">
                  <c:v>15.577</c:v>
                </c:pt>
                <c:pt idx="45">
                  <c:v>15.919</c:v>
                </c:pt>
                <c:pt idx="46">
                  <c:v>16.268999999999998</c:v>
                </c:pt>
                <c:pt idx="47">
                  <c:v>16.177</c:v>
                </c:pt>
                <c:pt idx="48">
                  <c:v>16.178999999999998</c:v>
                </c:pt>
                <c:pt idx="49">
                  <c:v>16.178999999999998</c:v>
                </c:pt>
                <c:pt idx="50">
                  <c:v>16.222999999999999</c:v>
                </c:pt>
                <c:pt idx="51">
                  <c:v>16.550999999999998</c:v>
                </c:pt>
                <c:pt idx="52">
                  <c:v>16.533999999999999</c:v>
                </c:pt>
                <c:pt idx="53">
                  <c:v>16.782</c:v>
                </c:pt>
                <c:pt idx="54">
                  <c:v>17.027000000000001</c:v>
                </c:pt>
                <c:pt idx="55">
                  <c:v>16.766999999999999</c:v>
                </c:pt>
                <c:pt idx="56">
                  <c:v>16.768000000000001</c:v>
                </c:pt>
                <c:pt idx="57">
                  <c:v>16.817</c:v>
                </c:pt>
                <c:pt idx="58">
                  <c:v>16.837</c:v>
                </c:pt>
                <c:pt idx="59">
                  <c:v>16.751999999999999</c:v>
                </c:pt>
                <c:pt idx="60">
                  <c:v>16.556000000000001</c:v>
                </c:pt>
                <c:pt idx="61">
                  <c:v>16.236999999999998</c:v>
                </c:pt>
                <c:pt idx="62">
                  <c:v>15.884</c:v>
                </c:pt>
                <c:pt idx="63">
                  <c:v>15.884</c:v>
                </c:pt>
                <c:pt idx="64">
                  <c:v>15.989000000000001</c:v>
                </c:pt>
                <c:pt idx="65">
                  <c:v>16.289000000000001</c:v>
                </c:pt>
                <c:pt idx="66">
                  <c:v>16.623999999999999</c:v>
                </c:pt>
                <c:pt idx="67">
                  <c:v>16.556000000000001</c:v>
                </c:pt>
                <c:pt idx="68">
                  <c:v>16.896999999999998</c:v>
                </c:pt>
                <c:pt idx="69">
                  <c:v>16.306999999999999</c:v>
                </c:pt>
                <c:pt idx="70">
                  <c:v>16.306999999999999</c:v>
                </c:pt>
                <c:pt idx="71">
                  <c:v>16.427</c:v>
                </c:pt>
                <c:pt idx="72">
                  <c:v>16.265999999999998</c:v>
                </c:pt>
                <c:pt idx="73">
                  <c:v>16.579999999999998</c:v>
                </c:pt>
                <c:pt idx="74">
                  <c:v>17.202999999999999</c:v>
                </c:pt>
                <c:pt idx="75">
                  <c:v>17.527999999999999</c:v>
                </c:pt>
                <c:pt idx="76">
                  <c:v>17.545000000000002</c:v>
                </c:pt>
                <c:pt idx="77">
                  <c:v>17.544</c:v>
                </c:pt>
                <c:pt idx="78">
                  <c:v>17.526</c:v>
                </c:pt>
                <c:pt idx="79">
                  <c:v>17.677</c:v>
                </c:pt>
                <c:pt idx="80">
                  <c:v>17.442</c:v>
                </c:pt>
                <c:pt idx="81">
                  <c:v>17</c:v>
                </c:pt>
                <c:pt idx="82">
                  <c:v>16.581</c:v>
                </c:pt>
                <c:pt idx="83">
                  <c:v>16.437999999999999</c:v>
                </c:pt>
                <c:pt idx="84">
                  <c:v>16.437999999999999</c:v>
                </c:pt>
                <c:pt idx="85">
                  <c:v>16.609000000000002</c:v>
                </c:pt>
                <c:pt idx="86">
                  <c:v>16.582000000000001</c:v>
                </c:pt>
                <c:pt idx="87">
                  <c:v>16.359000000000002</c:v>
                </c:pt>
                <c:pt idx="88">
                  <c:v>16.695</c:v>
                </c:pt>
                <c:pt idx="89">
                  <c:v>16.643999999999998</c:v>
                </c:pt>
                <c:pt idx="90">
                  <c:v>16.442</c:v>
                </c:pt>
                <c:pt idx="91">
                  <c:v>16.442</c:v>
                </c:pt>
                <c:pt idx="92">
                  <c:v>16.672999999999998</c:v>
                </c:pt>
                <c:pt idx="93">
                  <c:v>16.763999999999999</c:v>
                </c:pt>
                <c:pt idx="94">
                  <c:v>16.7</c:v>
                </c:pt>
                <c:pt idx="95">
                  <c:v>16.981000000000002</c:v>
                </c:pt>
                <c:pt idx="96">
                  <c:v>16.661000000000001</c:v>
                </c:pt>
                <c:pt idx="97">
                  <c:v>16.835999999999999</c:v>
                </c:pt>
                <c:pt idx="98">
                  <c:v>16.835999999999999</c:v>
                </c:pt>
                <c:pt idx="99">
                  <c:v>16.981999999999999</c:v>
                </c:pt>
                <c:pt idx="100">
                  <c:v>17.684000000000001</c:v>
                </c:pt>
                <c:pt idx="101">
                  <c:v>17.425999999999998</c:v>
                </c:pt>
                <c:pt idx="102">
                  <c:v>17.437000000000001</c:v>
                </c:pt>
                <c:pt idx="103">
                  <c:v>17.507999999999999</c:v>
                </c:pt>
                <c:pt idx="104">
                  <c:v>17.062999999999999</c:v>
                </c:pt>
                <c:pt idx="105">
                  <c:v>17.062999999999999</c:v>
                </c:pt>
                <c:pt idx="106">
                  <c:v>17.349</c:v>
                </c:pt>
                <c:pt idx="107">
                  <c:v>17.998000000000001</c:v>
                </c:pt>
                <c:pt idx="108">
                  <c:v>18.372</c:v>
                </c:pt>
                <c:pt idx="109">
                  <c:v>18.308</c:v>
                </c:pt>
                <c:pt idx="110">
                  <c:v>18.268999999999998</c:v>
                </c:pt>
                <c:pt idx="111">
                  <c:v>18.276</c:v>
                </c:pt>
                <c:pt idx="112">
                  <c:v>18.276</c:v>
                </c:pt>
                <c:pt idx="113">
                  <c:v>18.379000000000001</c:v>
                </c:pt>
                <c:pt idx="114">
                  <c:v>18.774000000000001</c:v>
                </c:pt>
                <c:pt idx="115">
                  <c:v>18.324999999999999</c:v>
                </c:pt>
                <c:pt idx="116">
                  <c:v>17.782</c:v>
                </c:pt>
                <c:pt idx="117">
                  <c:v>18.138999999999999</c:v>
                </c:pt>
                <c:pt idx="118">
                  <c:v>17.794</c:v>
                </c:pt>
                <c:pt idx="119">
                  <c:v>17.818000000000001</c:v>
                </c:pt>
                <c:pt idx="120">
                  <c:v>17.925999999999998</c:v>
                </c:pt>
                <c:pt idx="121">
                  <c:v>18.343</c:v>
                </c:pt>
                <c:pt idx="122">
                  <c:v>18.602</c:v>
                </c:pt>
                <c:pt idx="123">
                  <c:v>18.564</c:v>
                </c:pt>
              </c:numCache>
            </c:numRef>
          </c:val>
          <c:smooth val="0"/>
          <c:extLst>
            <c:ext xmlns:c16="http://schemas.microsoft.com/office/drawing/2014/chart" uri="{C3380CC4-5D6E-409C-BE32-E72D297353CC}">
              <c16:uniqueId val="{00000000-04DE-45EF-9313-E733357DA3E8}"/>
            </c:ext>
          </c:extLst>
        </c:ser>
        <c:dLbls>
          <c:showLegendKey val="0"/>
          <c:showVal val="0"/>
          <c:showCatName val="0"/>
          <c:showSerName val="0"/>
          <c:showPercent val="0"/>
          <c:showBubbleSize val="0"/>
        </c:dLbls>
        <c:smooth val="0"/>
        <c:axId val="615556064"/>
        <c:axId val="493236848"/>
      </c:lineChart>
      <c:catAx>
        <c:axId val="615556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493236848"/>
        <c:crosses val="autoZero"/>
        <c:auto val="1"/>
        <c:lblAlgn val="ctr"/>
        <c:lblOffset val="100"/>
        <c:noMultiLvlLbl val="0"/>
      </c:catAx>
      <c:valAx>
        <c:axId val="4932368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615556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867912469954592E-2"/>
          <c:y val="3.2234476861206465E-2"/>
          <c:w val="0.87804371316166696"/>
          <c:h val="0.79683972911963885"/>
        </c:manualLayout>
      </c:layout>
      <c:lineChart>
        <c:grouping val="standard"/>
        <c:varyColors val="0"/>
        <c:ser>
          <c:idx val="0"/>
          <c:order val="0"/>
          <c:tx>
            <c:strRef>
              <c:f>Elpris!$B$3</c:f>
              <c:strCache>
                <c:ptCount val="1"/>
                <c:pt idx="0">
                  <c:v>System price</c:v>
                </c:pt>
              </c:strCache>
            </c:strRef>
          </c:tx>
          <c:spPr>
            <a:ln w="22225" cap="rnd">
              <a:solidFill>
                <a:schemeClr val="tx1">
                  <a:lumMod val="75000"/>
                  <a:lumOff val="25000"/>
                </a:schemeClr>
              </a:solidFill>
              <a:round/>
            </a:ln>
            <a:effectLst/>
          </c:spPr>
          <c:marker>
            <c:symbol val="none"/>
          </c:marker>
          <c:dPt>
            <c:idx val="15"/>
            <c:marker>
              <c:symbol val="none"/>
            </c:marker>
            <c:bubble3D val="0"/>
            <c:spPr>
              <a:ln w="22225" cap="rnd">
                <a:solidFill>
                  <a:schemeClr val="tx1">
                    <a:lumMod val="75000"/>
                    <a:lumOff val="25000"/>
                  </a:schemeClr>
                </a:solidFill>
                <a:prstDash val="sysDash"/>
                <a:round/>
              </a:ln>
              <a:effectLst/>
            </c:spPr>
            <c:extLst>
              <c:ext xmlns:c16="http://schemas.microsoft.com/office/drawing/2014/chart" uri="{C3380CC4-5D6E-409C-BE32-E72D297353CC}">
                <c16:uniqueId val="{00000001-2A28-4A4D-9094-2F385A47473E}"/>
              </c:ext>
            </c:extLst>
          </c:dPt>
          <c:dPt>
            <c:idx val="16"/>
            <c:marker>
              <c:symbol val="none"/>
            </c:marker>
            <c:bubble3D val="0"/>
            <c:spPr>
              <a:ln w="22225" cap="rnd">
                <a:solidFill>
                  <a:schemeClr val="tx1">
                    <a:lumMod val="75000"/>
                    <a:lumOff val="25000"/>
                  </a:schemeClr>
                </a:solidFill>
                <a:prstDash val="sysDash"/>
                <a:round/>
              </a:ln>
              <a:effectLst/>
            </c:spPr>
            <c:extLst>
              <c:ext xmlns:c16="http://schemas.microsoft.com/office/drawing/2014/chart" uri="{C3380CC4-5D6E-409C-BE32-E72D297353CC}">
                <c16:uniqueId val="{00000003-2A28-4A4D-9094-2F385A47473E}"/>
              </c:ext>
            </c:extLst>
          </c:dPt>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Elpris!$B$4:$B$54</c:f>
              <c:numCache>
                <c:formatCode>0</c:formatCode>
                <c:ptCount val="51"/>
                <c:pt idx="0">
                  <c:v>120</c:v>
                </c:pt>
                <c:pt idx="1">
                  <c:v>211</c:v>
                </c:pt>
                <c:pt idx="2">
                  <c:v>252</c:v>
                </c:pt>
                <c:pt idx="3">
                  <c:v>333</c:v>
                </c:pt>
                <c:pt idx="4">
                  <c:v>256</c:v>
                </c:pt>
                <c:pt idx="5">
                  <c:v>276</c:v>
                </c:pt>
                <c:pt idx="6">
                  <c:v>445</c:v>
                </c:pt>
                <c:pt idx="7">
                  <c:v>280</c:v>
                </c:pt>
                <c:pt idx="8">
                  <c:v>492</c:v>
                </c:pt>
                <c:pt idx="9">
                  <c:v>393</c:v>
                </c:pt>
                <c:pt idx="10">
                  <c:v>543</c:v>
                </c:pt>
                <c:pt idx="11">
                  <c:v>431</c:v>
                </c:pt>
                <c:pt idx="12">
                  <c:v>282</c:v>
                </c:pt>
                <c:pt idx="13">
                  <c:v>341</c:v>
                </c:pt>
                <c:pt idx="14">
                  <c:v>288</c:v>
                </c:pt>
                <c:pt idx="15">
                  <c:v>206</c:v>
                </c:pt>
                <c:pt idx="16">
                  <c:v>278</c:v>
                </c:pt>
              </c:numCache>
            </c:numRef>
          </c:val>
          <c:smooth val="0"/>
          <c:extLst>
            <c:ext xmlns:c16="http://schemas.microsoft.com/office/drawing/2014/chart" uri="{C3380CC4-5D6E-409C-BE32-E72D297353CC}">
              <c16:uniqueId val="{00000004-2A28-4A4D-9094-2F385A47473E}"/>
            </c:ext>
          </c:extLst>
        </c:ser>
        <c:ser>
          <c:idx val="1"/>
          <c:order val="1"/>
          <c:tx>
            <c:strRef>
              <c:f>Elpris!$C$3</c:f>
              <c:strCache>
                <c:ptCount val="1"/>
                <c:pt idx="0">
                  <c:v>Reference scenario</c:v>
                </c:pt>
              </c:strCache>
            </c:strRef>
          </c:tx>
          <c:spPr>
            <a:ln w="22225" cap="rnd">
              <a:solidFill>
                <a:schemeClr val="tx1">
                  <a:lumMod val="50000"/>
                  <a:lumOff val="50000"/>
                </a:schemeClr>
              </a:solidFill>
              <a:round/>
            </a:ln>
            <a:effectLst/>
          </c:spPr>
          <c:marker>
            <c:symbol val="none"/>
          </c:marker>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Elpris!$C$4:$C$54</c:f>
              <c:numCache>
                <c:formatCode>General</c:formatCode>
                <c:ptCount val="51"/>
                <c:pt idx="14" formatCode="0">
                  <c:v>288</c:v>
                </c:pt>
                <c:pt idx="15" formatCode="0">
                  <c:v>295.42945812361921</c:v>
                </c:pt>
                <c:pt idx="16" formatCode="0">
                  <c:v>302.85891624723843</c:v>
                </c:pt>
                <c:pt idx="17" formatCode="0">
                  <c:v>310.28837437085764</c:v>
                </c:pt>
                <c:pt idx="18" formatCode="0">
                  <c:v>317.71783249447685</c:v>
                </c:pt>
                <c:pt idx="19" formatCode="0">
                  <c:v>325.14729061809606</c:v>
                </c:pt>
                <c:pt idx="20" formatCode="0">
                  <c:v>332.57674874171516</c:v>
                </c:pt>
                <c:pt idx="21" formatCode="0">
                  <c:v>350.38526773477651</c:v>
                </c:pt>
                <c:pt idx="22" formatCode="0">
                  <c:v>368.19378672783785</c:v>
                </c:pt>
                <c:pt idx="23" formatCode="0">
                  <c:v>386.00230572089919</c:v>
                </c:pt>
                <c:pt idx="24" formatCode="0">
                  <c:v>403.81082471396053</c:v>
                </c:pt>
                <c:pt idx="25" formatCode="0">
                  <c:v>421.61934370702181</c:v>
                </c:pt>
                <c:pt idx="26" formatCode="0">
                  <c:v>421.73926212183818</c:v>
                </c:pt>
                <c:pt idx="27" formatCode="0">
                  <c:v>421.85918053665455</c:v>
                </c:pt>
                <c:pt idx="28" formatCode="0">
                  <c:v>421.97909895147092</c:v>
                </c:pt>
                <c:pt idx="29" formatCode="0">
                  <c:v>422.09901736628728</c:v>
                </c:pt>
                <c:pt idx="30" formatCode="0">
                  <c:v>422.21893578110365</c:v>
                </c:pt>
                <c:pt idx="31" formatCode="0">
                  <c:v>436.96584191574124</c:v>
                </c:pt>
                <c:pt idx="32" formatCode="0">
                  <c:v>451.71274805037882</c:v>
                </c:pt>
                <c:pt idx="33" formatCode="0">
                  <c:v>466.4596541850164</c:v>
                </c:pt>
                <c:pt idx="34" formatCode="0">
                  <c:v>481.20656031965399</c:v>
                </c:pt>
                <c:pt idx="35" formatCode="0">
                  <c:v>495.95346645429146</c:v>
                </c:pt>
                <c:pt idx="36" formatCode="0">
                  <c:v>501.9304215835009</c:v>
                </c:pt>
                <c:pt idx="37" formatCode="0">
                  <c:v>507.90737671271035</c:v>
                </c:pt>
                <c:pt idx="38" formatCode="0">
                  <c:v>513.88433184191979</c:v>
                </c:pt>
                <c:pt idx="39" formatCode="0">
                  <c:v>519.86128697112918</c:v>
                </c:pt>
                <c:pt idx="40" formatCode="0">
                  <c:v>525.83824210033868</c:v>
                </c:pt>
                <c:pt idx="41" formatCode="0">
                  <c:v>535.14578538054514</c:v>
                </c:pt>
                <c:pt idx="42" formatCode="0">
                  <c:v>544.45332866075159</c:v>
                </c:pt>
                <c:pt idx="43" formatCode="0">
                  <c:v>553.76087194095805</c:v>
                </c:pt>
                <c:pt idx="44" formatCode="0">
                  <c:v>563.06841522116451</c:v>
                </c:pt>
                <c:pt idx="45" formatCode="0">
                  <c:v>572.3759585013712</c:v>
                </c:pt>
                <c:pt idx="46" formatCode="0">
                  <c:v>571.58951890782953</c:v>
                </c:pt>
                <c:pt idx="47" formatCode="0">
                  <c:v>570.80307931428786</c:v>
                </c:pt>
                <c:pt idx="48" formatCode="0">
                  <c:v>570.01663972074618</c:v>
                </c:pt>
                <c:pt idx="49" formatCode="0">
                  <c:v>569.23020012720451</c:v>
                </c:pt>
                <c:pt idx="50" formatCode="0">
                  <c:v>568.44376053366284</c:v>
                </c:pt>
              </c:numCache>
            </c:numRef>
          </c:val>
          <c:smooth val="0"/>
          <c:extLst>
            <c:ext xmlns:c16="http://schemas.microsoft.com/office/drawing/2014/chart" uri="{C3380CC4-5D6E-409C-BE32-E72D297353CC}">
              <c16:uniqueId val="{00000005-2A28-4A4D-9094-2F385A47473E}"/>
            </c:ext>
          </c:extLst>
        </c:ser>
        <c:ser>
          <c:idx val="2"/>
          <c:order val="2"/>
          <c:tx>
            <c:strRef>
              <c:f>Elpris!#REF!</c:f>
              <c:strCache>
                <c:ptCount val="1"/>
                <c:pt idx="0">
                  <c:v>#REF!</c:v>
                </c:pt>
              </c:strCache>
            </c:strRef>
          </c:tx>
          <c:spPr>
            <a:ln w="22225" cap="rnd">
              <a:solidFill>
                <a:schemeClr val="accent2">
                  <a:lumMod val="75000"/>
                </a:schemeClr>
              </a:solidFill>
              <a:round/>
            </a:ln>
            <a:effectLst/>
          </c:spPr>
          <c:marker>
            <c:symbol val="none"/>
          </c:marker>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Elpris!#REF!</c:f>
              <c:numCache>
                <c:formatCode>General</c:formatCode>
                <c:ptCount val="1"/>
                <c:pt idx="0">
                  <c:v>1</c:v>
                </c:pt>
              </c:numCache>
            </c:numRef>
          </c:val>
          <c:smooth val="0"/>
          <c:extLst>
            <c:ext xmlns:c16="http://schemas.microsoft.com/office/drawing/2014/chart" uri="{C3380CC4-5D6E-409C-BE32-E72D297353CC}">
              <c16:uniqueId val="{00000006-2A28-4A4D-9094-2F385A47473E}"/>
            </c:ext>
          </c:extLst>
        </c:ser>
        <c:ser>
          <c:idx val="3"/>
          <c:order val="3"/>
          <c:tx>
            <c:strRef>
              <c:f>Elpris!#REF!</c:f>
              <c:strCache>
                <c:ptCount val="1"/>
                <c:pt idx="0">
                  <c:v>#REF!</c:v>
                </c:pt>
              </c:strCache>
            </c:strRef>
          </c:tx>
          <c:spPr>
            <a:ln w="22225" cap="rnd">
              <a:solidFill>
                <a:schemeClr val="accent4"/>
              </a:solidFill>
              <a:round/>
            </a:ln>
            <a:effectLst/>
          </c:spPr>
          <c:marker>
            <c:symbol val="none"/>
          </c:marker>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Elpris!#REF!</c:f>
              <c:numCache>
                <c:formatCode>General</c:formatCode>
                <c:ptCount val="1"/>
                <c:pt idx="0">
                  <c:v>1</c:v>
                </c:pt>
              </c:numCache>
            </c:numRef>
          </c:val>
          <c:smooth val="0"/>
          <c:extLst>
            <c:ext xmlns:c16="http://schemas.microsoft.com/office/drawing/2014/chart" uri="{C3380CC4-5D6E-409C-BE32-E72D297353CC}">
              <c16:uniqueId val="{00000007-2A28-4A4D-9094-2F385A47473E}"/>
            </c:ext>
          </c:extLst>
        </c:ser>
        <c:ser>
          <c:idx val="4"/>
          <c:order val="4"/>
          <c:tx>
            <c:strRef>
              <c:f>Elpris!#REF!</c:f>
              <c:strCache>
                <c:ptCount val="1"/>
                <c:pt idx="0">
                  <c:v>#REF!</c:v>
                </c:pt>
              </c:strCache>
            </c:strRef>
          </c:tx>
          <c:spPr>
            <a:ln w="22225" cap="rnd">
              <a:solidFill>
                <a:srgbClr val="0070C0"/>
              </a:solidFill>
              <a:round/>
            </a:ln>
            <a:effectLst/>
          </c:spPr>
          <c:marker>
            <c:symbol val="none"/>
          </c:marker>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Elpris!#REF!</c:f>
              <c:numCache>
                <c:formatCode>General</c:formatCode>
                <c:ptCount val="1"/>
                <c:pt idx="0">
                  <c:v>1</c:v>
                </c:pt>
              </c:numCache>
            </c:numRef>
          </c:val>
          <c:smooth val="0"/>
          <c:extLst>
            <c:ext xmlns:c16="http://schemas.microsoft.com/office/drawing/2014/chart" uri="{C3380CC4-5D6E-409C-BE32-E72D297353CC}">
              <c16:uniqueId val="{00000008-2A28-4A4D-9094-2F385A47473E}"/>
            </c:ext>
          </c:extLst>
        </c:ser>
        <c:ser>
          <c:idx val="5"/>
          <c:order val="5"/>
          <c:tx>
            <c:strRef>
              <c:f>Elpris!$D$3</c:f>
              <c:strCache>
                <c:ptCount val="1"/>
                <c:pt idx="0">
                  <c:v>Low-price scenario</c:v>
                </c:pt>
              </c:strCache>
            </c:strRef>
          </c:tx>
          <c:spPr>
            <a:ln w="22225" cap="rnd">
              <a:solidFill>
                <a:srgbClr val="92D050"/>
              </a:solidFill>
              <a:round/>
            </a:ln>
            <a:effectLst/>
          </c:spPr>
          <c:marker>
            <c:symbol val="none"/>
          </c:marker>
          <c:cat>
            <c:numRef>
              <c:f>Elpris!$A$4:$A$54</c:f>
              <c:numCache>
                <c:formatCode>General</c:formatCode>
                <c:ptCount val="5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pt idx="32">
                  <c:v>2032</c:v>
                </c:pt>
                <c:pt idx="33">
                  <c:v>2033</c:v>
                </c:pt>
                <c:pt idx="34">
                  <c:v>2034</c:v>
                </c:pt>
                <c:pt idx="35">
                  <c:v>2035</c:v>
                </c:pt>
                <c:pt idx="36">
                  <c:v>2036</c:v>
                </c:pt>
                <c:pt idx="37">
                  <c:v>2037</c:v>
                </c:pt>
                <c:pt idx="38">
                  <c:v>2038</c:v>
                </c:pt>
                <c:pt idx="39">
                  <c:v>2039</c:v>
                </c:pt>
                <c:pt idx="40">
                  <c:v>2040</c:v>
                </c:pt>
                <c:pt idx="41">
                  <c:v>2041</c:v>
                </c:pt>
                <c:pt idx="42">
                  <c:v>2042</c:v>
                </c:pt>
                <c:pt idx="43">
                  <c:v>2043</c:v>
                </c:pt>
                <c:pt idx="44">
                  <c:v>2044</c:v>
                </c:pt>
                <c:pt idx="45">
                  <c:v>2045</c:v>
                </c:pt>
                <c:pt idx="46">
                  <c:v>2046</c:v>
                </c:pt>
                <c:pt idx="47">
                  <c:v>2047</c:v>
                </c:pt>
                <c:pt idx="48">
                  <c:v>2048</c:v>
                </c:pt>
                <c:pt idx="49">
                  <c:v>2049</c:v>
                </c:pt>
                <c:pt idx="50">
                  <c:v>2050</c:v>
                </c:pt>
              </c:numCache>
            </c:numRef>
          </c:cat>
          <c:val>
            <c:numRef>
              <c:f>Elpris!$D$4:$D$54</c:f>
              <c:numCache>
                <c:formatCode>General</c:formatCode>
                <c:ptCount val="51"/>
                <c:pt idx="14" formatCode="0">
                  <c:v>288</c:v>
                </c:pt>
                <c:pt idx="15" formatCode="0">
                  <c:v>281.09140731340096</c:v>
                </c:pt>
                <c:pt idx="16" formatCode="0">
                  <c:v>274.18281462680193</c:v>
                </c:pt>
                <c:pt idx="17" formatCode="0">
                  <c:v>267.27422194020289</c:v>
                </c:pt>
                <c:pt idx="18" formatCode="0">
                  <c:v>260.36562925360386</c:v>
                </c:pt>
                <c:pt idx="19" formatCode="0">
                  <c:v>253.45703656700479</c:v>
                </c:pt>
                <c:pt idx="20" formatCode="0">
                  <c:v>246.54844388040564</c:v>
                </c:pt>
                <c:pt idx="21" formatCode="0">
                  <c:v>256.87458919299894</c:v>
                </c:pt>
                <c:pt idx="22" formatCode="0">
                  <c:v>267.20073450559221</c:v>
                </c:pt>
                <c:pt idx="23" formatCode="0">
                  <c:v>277.52687981818553</c:v>
                </c:pt>
                <c:pt idx="24" formatCode="0">
                  <c:v>287.85302513077886</c:v>
                </c:pt>
                <c:pt idx="25" formatCode="0">
                  <c:v>298.17917044337213</c:v>
                </c:pt>
                <c:pt idx="26" formatCode="0">
                  <c:v>306.05355130709626</c:v>
                </c:pt>
                <c:pt idx="27" formatCode="0">
                  <c:v>313.92793217082038</c:v>
                </c:pt>
                <c:pt idx="28" formatCode="0">
                  <c:v>321.80231303454451</c:v>
                </c:pt>
                <c:pt idx="29" formatCode="0">
                  <c:v>329.67669389826864</c:v>
                </c:pt>
                <c:pt idx="30" formatCode="0">
                  <c:v>337.55107476199282</c:v>
                </c:pt>
                <c:pt idx="31" formatCode="0">
                  <c:v>343.41714682272487</c:v>
                </c:pt>
                <c:pt idx="32" formatCode="0">
                  <c:v>349.28321888345693</c:v>
                </c:pt>
                <c:pt idx="33" formatCode="0">
                  <c:v>355.14929094418898</c:v>
                </c:pt>
                <c:pt idx="34" formatCode="0">
                  <c:v>361.01536300492103</c:v>
                </c:pt>
                <c:pt idx="35" formatCode="0">
                  <c:v>366.88143506565297</c:v>
                </c:pt>
                <c:pt idx="36" formatCode="0">
                  <c:v>380.18386248949383</c:v>
                </c:pt>
                <c:pt idx="37" formatCode="0">
                  <c:v>393.4862899133347</c:v>
                </c:pt>
                <c:pt idx="38" formatCode="0">
                  <c:v>406.78871733717557</c:v>
                </c:pt>
                <c:pt idx="39" formatCode="0">
                  <c:v>420.09114476101644</c:v>
                </c:pt>
                <c:pt idx="40" formatCode="0">
                  <c:v>433.39357218485742</c:v>
                </c:pt>
                <c:pt idx="41" formatCode="0">
                  <c:v>436.00039084792655</c:v>
                </c:pt>
                <c:pt idx="42" formatCode="0">
                  <c:v>438.60720951099569</c:v>
                </c:pt>
                <c:pt idx="43" formatCode="0">
                  <c:v>441.21402817406482</c:v>
                </c:pt>
                <c:pt idx="44" formatCode="0">
                  <c:v>443.82084683713396</c:v>
                </c:pt>
                <c:pt idx="45" formatCode="0">
                  <c:v>446.42766550020298</c:v>
                </c:pt>
                <c:pt idx="46" formatCode="0">
                  <c:v>454.02098643698537</c:v>
                </c:pt>
                <c:pt idx="47" formatCode="0">
                  <c:v>461.61430737376776</c:v>
                </c:pt>
                <c:pt idx="48" formatCode="0">
                  <c:v>469.20762831055015</c:v>
                </c:pt>
                <c:pt idx="49" formatCode="0">
                  <c:v>476.80094924733254</c:v>
                </c:pt>
                <c:pt idx="50" formatCode="0">
                  <c:v>484.39427018411493</c:v>
                </c:pt>
              </c:numCache>
            </c:numRef>
          </c:val>
          <c:smooth val="0"/>
          <c:extLst>
            <c:ext xmlns:c16="http://schemas.microsoft.com/office/drawing/2014/chart" uri="{C3380CC4-5D6E-409C-BE32-E72D297353CC}">
              <c16:uniqueId val="{00000009-2A28-4A4D-9094-2F385A47473E}"/>
            </c:ext>
          </c:extLst>
        </c:ser>
        <c:dLbls>
          <c:showLegendKey val="0"/>
          <c:showVal val="0"/>
          <c:showCatName val="0"/>
          <c:showSerName val="0"/>
          <c:showPercent val="0"/>
          <c:showBubbleSize val="0"/>
        </c:dLbls>
        <c:smooth val="0"/>
        <c:axId val="1646356192"/>
        <c:axId val="1646354944"/>
      </c:lineChart>
      <c:catAx>
        <c:axId val="164635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85000"/>
                    <a:lumOff val="15000"/>
                  </a:schemeClr>
                </a:solidFill>
                <a:latin typeface="+mn-lt"/>
                <a:ea typeface="+mn-ea"/>
                <a:cs typeface="+mn-cs"/>
              </a:defRPr>
            </a:pPr>
            <a:endParaRPr lang="sv-SE"/>
          </a:p>
        </c:txPr>
        <c:crossAx val="1646354944"/>
        <c:crosses val="autoZero"/>
        <c:auto val="1"/>
        <c:lblAlgn val="ctr"/>
        <c:lblOffset val="100"/>
        <c:tickLblSkip val="5"/>
        <c:noMultiLvlLbl val="0"/>
      </c:catAx>
      <c:valAx>
        <c:axId val="164635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85000"/>
                        <a:lumOff val="15000"/>
                      </a:schemeClr>
                    </a:solidFill>
                    <a:latin typeface="+mn-lt"/>
                    <a:ea typeface="+mn-ea"/>
                    <a:cs typeface="+mn-cs"/>
                  </a:defRPr>
                </a:pPr>
                <a:r>
                  <a:rPr lang="en-US"/>
                  <a:t>SEK/MWh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85000"/>
                      <a:lumOff val="15000"/>
                    </a:schemeClr>
                  </a:solidFill>
                  <a:latin typeface="+mn-lt"/>
                  <a:ea typeface="+mn-ea"/>
                  <a:cs typeface="+mn-cs"/>
                </a:defRPr>
              </a:pPr>
              <a:endParaRPr lang="sv-SE"/>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85000"/>
                    <a:lumOff val="15000"/>
                  </a:schemeClr>
                </a:solidFill>
                <a:latin typeface="+mn-lt"/>
                <a:ea typeface="+mn-ea"/>
                <a:cs typeface="+mn-cs"/>
              </a:defRPr>
            </a:pPr>
            <a:endParaRPr lang="sv-SE"/>
          </a:p>
        </c:txPr>
        <c:crossAx val="1646356192"/>
        <c:crosses val="autoZero"/>
        <c:crossBetween val="between"/>
      </c:valAx>
      <c:spPr>
        <a:noFill/>
        <a:ln>
          <a:noFill/>
        </a:ln>
        <a:effectLst/>
      </c:spPr>
    </c:plotArea>
    <c:legend>
      <c:legendPos val="b"/>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85000"/>
                  <a:lumOff val="1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noFill/>
      <a:round/>
    </a:ln>
    <a:effectLst/>
  </c:spPr>
  <c:txPr>
    <a:bodyPr/>
    <a:lstStyle/>
    <a:p>
      <a:pPr>
        <a:defRPr>
          <a:solidFill>
            <a:schemeClr val="tx1">
              <a:lumMod val="85000"/>
              <a:lumOff val="15000"/>
            </a:schemeClr>
          </a:solidFill>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6137672BB54AE4B207912BEA6E57E3"/>
        <w:category>
          <w:name w:val="Allmänt"/>
          <w:gallery w:val="placeholder"/>
        </w:category>
        <w:types>
          <w:type w:val="bbPlcHdr"/>
        </w:types>
        <w:behaviors>
          <w:behavior w:val="content"/>
        </w:behaviors>
        <w:guid w:val="{85021AFF-2D64-4792-8A2E-06B6CCEE6427}"/>
      </w:docPartPr>
      <w:docPartBody>
        <w:p w:rsidR="00127003" w:rsidRDefault="00127003" w:rsidP="00127003">
          <w:pPr>
            <w:pStyle w:val="476137672BB54AE4B207912BEA6E57E3"/>
          </w:pPr>
          <w:r w:rsidRPr="00260AE7">
            <w:rPr>
              <w:rStyle w:val="Platshllartext"/>
            </w:rPr>
            <w:t>[Title]</w:t>
          </w:r>
        </w:p>
      </w:docPartBody>
    </w:docPart>
    <w:docPart>
      <w:docPartPr>
        <w:name w:val="16854AE2C1AE4156AFAA566BF088CA47"/>
        <w:category>
          <w:name w:val="Allmänt"/>
          <w:gallery w:val="placeholder"/>
        </w:category>
        <w:types>
          <w:type w:val="bbPlcHdr"/>
        </w:types>
        <w:behaviors>
          <w:behavior w:val="content"/>
        </w:behaviors>
        <w:guid w:val="{B314EF86-69FF-485B-839E-9BE9B8014EAD}"/>
      </w:docPartPr>
      <w:docPartBody>
        <w:p w:rsidR="00127003" w:rsidRDefault="00127003" w:rsidP="00127003">
          <w:pPr>
            <w:pStyle w:val="16854AE2C1AE4156AFAA566BF088CA47"/>
          </w:pPr>
          <w:r w:rsidRPr="009B7935">
            <w:rPr>
              <w:rStyle w:val="Platshllartext"/>
            </w:rPr>
            <w:t>[Click here and type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_sansregular">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 w:name="SabonLTStd-Roman">
    <w:altName w:val="Yu Gothic"/>
    <w:panose1 w:val="00000000000000000000"/>
    <w:charset w:val="80"/>
    <w:family w:val="roman"/>
    <w:notTrueType/>
    <w:pitch w:val="default"/>
    <w:sig w:usb0="00000003" w:usb1="08070000" w:usb2="00000010" w:usb3="00000000" w:csb0="0002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15A"/>
    <w:rsid w:val="000634BB"/>
    <w:rsid w:val="00121B0B"/>
    <w:rsid w:val="00127003"/>
    <w:rsid w:val="00145A28"/>
    <w:rsid w:val="00237D86"/>
    <w:rsid w:val="00277708"/>
    <w:rsid w:val="00311E2F"/>
    <w:rsid w:val="003130C8"/>
    <w:rsid w:val="00321E8F"/>
    <w:rsid w:val="00323F3E"/>
    <w:rsid w:val="00401E11"/>
    <w:rsid w:val="004461A4"/>
    <w:rsid w:val="00474C05"/>
    <w:rsid w:val="004943AE"/>
    <w:rsid w:val="004D715A"/>
    <w:rsid w:val="004F5D4D"/>
    <w:rsid w:val="00504031"/>
    <w:rsid w:val="0051779C"/>
    <w:rsid w:val="005A0028"/>
    <w:rsid w:val="005C67DE"/>
    <w:rsid w:val="005E58E5"/>
    <w:rsid w:val="005F19E1"/>
    <w:rsid w:val="00624082"/>
    <w:rsid w:val="006275A8"/>
    <w:rsid w:val="00633ADF"/>
    <w:rsid w:val="00636FB2"/>
    <w:rsid w:val="0066661D"/>
    <w:rsid w:val="00675A9D"/>
    <w:rsid w:val="006938FD"/>
    <w:rsid w:val="006E35EA"/>
    <w:rsid w:val="006F479E"/>
    <w:rsid w:val="007010EB"/>
    <w:rsid w:val="00756876"/>
    <w:rsid w:val="008370C3"/>
    <w:rsid w:val="008B6108"/>
    <w:rsid w:val="008E0EDE"/>
    <w:rsid w:val="008E475B"/>
    <w:rsid w:val="00917997"/>
    <w:rsid w:val="009B743D"/>
    <w:rsid w:val="00A5213C"/>
    <w:rsid w:val="00B432FA"/>
    <w:rsid w:val="00B4700A"/>
    <w:rsid w:val="00BA2060"/>
    <w:rsid w:val="00BC54DE"/>
    <w:rsid w:val="00C54E6F"/>
    <w:rsid w:val="00C85A6E"/>
    <w:rsid w:val="00CA3739"/>
    <w:rsid w:val="00EB65E4"/>
    <w:rsid w:val="00F605BA"/>
    <w:rsid w:val="00F65689"/>
    <w:rsid w:val="00FD1BB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127003"/>
    <w:rPr>
      <w:color w:val="FF0000"/>
    </w:rPr>
  </w:style>
  <w:style w:type="paragraph" w:customStyle="1" w:styleId="7583E4E982E641DDB148C60E322FEF3D">
    <w:name w:val="7583E4E982E641DDB148C60E322FEF3D"/>
  </w:style>
  <w:style w:type="paragraph" w:customStyle="1" w:styleId="881D8175DE374CF28D93084B0307479A">
    <w:name w:val="881D8175DE374CF28D93084B0307479A"/>
  </w:style>
  <w:style w:type="paragraph" w:customStyle="1" w:styleId="B6EFB49634704EE696A44376D3DB419D">
    <w:name w:val="B6EFB49634704EE696A44376D3DB419D"/>
  </w:style>
  <w:style w:type="paragraph" w:customStyle="1" w:styleId="195B626C169E4C8280CB948F137F17FF">
    <w:name w:val="195B626C169E4C8280CB948F137F17FF"/>
  </w:style>
  <w:style w:type="paragraph" w:customStyle="1" w:styleId="9F85528023CD40C1A26CFEE5B383EF33">
    <w:name w:val="9F85528023CD40C1A26CFEE5B383EF33"/>
  </w:style>
  <w:style w:type="paragraph" w:customStyle="1" w:styleId="AE66EDE312F348F192C7B78AAE2B0837">
    <w:name w:val="AE66EDE312F348F192C7B78AAE2B0837"/>
  </w:style>
  <w:style w:type="paragraph" w:customStyle="1" w:styleId="DD9DC3477D47461CAAF97DB34E6E50AD">
    <w:name w:val="DD9DC3477D47461CAAF97DB34E6E50AD"/>
  </w:style>
  <w:style w:type="paragraph" w:customStyle="1" w:styleId="D540AEC9F63D4992A85E9F6828FCD679">
    <w:name w:val="D540AEC9F63D4992A85E9F6828FCD679"/>
  </w:style>
  <w:style w:type="paragraph" w:customStyle="1" w:styleId="CBB2F451F14548B98AB4B23B3B6056FB">
    <w:name w:val="CBB2F451F14548B98AB4B23B3B6056FB"/>
  </w:style>
  <w:style w:type="paragraph" w:customStyle="1" w:styleId="BD39CE97FFE04026848C2E4F339DBE15">
    <w:name w:val="BD39CE97FFE04026848C2E4F339DBE15"/>
    <w:rsid w:val="00636FB2"/>
  </w:style>
  <w:style w:type="paragraph" w:customStyle="1" w:styleId="B375B035799449EAB4E469C61D11B6FB">
    <w:name w:val="B375B035799449EAB4E469C61D11B6FB"/>
    <w:rsid w:val="00636FB2"/>
  </w:style>
  <w:style w:type="paragraph" w:customStyle="1" w:styleId="1E924FDF328A48AD87367D9F6CFF878D">
    <w:name w:val="1E924FDF328A48AD87367D9F6CFF878D"/>
    <w:rsid w:val="00636FB2"/>
  </w:style>
  <w:style w:type="paragraph" w:customStyle="1" w:styleId="795EB8337B9C490E989FBB3923DEB0A5">
    <w:name w:val="795EB8337B9C490E989FBB3923DEB0A5"/>
    <w:rsid w:val="00636FB2"/>
  </w:style>
  <w:style w:type="paragraph" w:customStyle="1" w:styleId="4DEFBC8815494E09BFEE1331FC168276">
    <w:name w:val="4DEFBC8815494E09BFEE1331FC168276"/>
    <w:rsid w:val="00636FB2"/>
  </w:style>
  <w:style w:type="paragraph" w:customStyle="1" w:styleId="7C39CF0062764FFABC6AA65B5463FA8F">
    <w:name w:val="7C39CF0062764FFABC6AA65B5463FA8F"/>
    <w:rsid w:val="00636FB2"/>
  </w:style>
  <w:style w:type="paragraph" w:customStyle="1" w:styleId="12C42E03EE714044AAC0AFD96D1E0C10">
    <w:name w:val="12C42E03EE714044AAC0AFD96D1E0C10"/>
    <w:rsid w:val="00636FB2"/>
  </w:style>
  <w:style w:type="paragraph" w:customStyle="1" w:styleId="476137672BB54AE4B207912BEA6E57E3">
    <w:name w:val="476137672BB54AE4B207912BEA6E57E3"/>
    <w:rsid w:val="00127003"/>
  </w:style>
  <w:style w:type="paragraph" w:customStyle="1" w:styleId="16854AE2C1AE4156AFAA566BF088CA47">
    <w:name w:val="16854AE2C1AE4156AFAA566BF088CA47"/>
    <w:rsid w:val="00127003"/>
  </w:style>
  <w:style w:type="paragraph" w:customStyle="1" w:styleId="F77B709EF511489CA27D0550B1B2F423">
    <w:name w:val="F77B709EF511489CA27D0550B1B2F423"/>
    <w:rsid w:val="00127003"/>
  </w:style>
  <w:style w:type="paragraph" w:customStyle="1" w:styleId="785B77DDADB04E94B31A3E91D69A8B15">
    <w:name w:val="785B77DDADB04E94B31A3E91D69A8B15"/>
    <w:rsid w:val="00127003"/>
  </w:style>
  <w:style w:type="paragraph" w:customStyle="1" w:styleId="226653067DA24CE191797579E35763AC">
    <w:name w:val="226653067DA24CE191797579E35763AC"/>
    <w:rsid w:val="00127003"/>
  </w:style>
  <w:style w:type="paragraph" w:customStyle="1" w:styleId="BB70089CB5D24566A64FF214DB47FD53">
    <w:name w:val="BB70089CB5D24566A64FF214DB47FD53"/>
    <w:rsid w:val="00127003"/>
  </w:style>
  <w:style w:type="paragraph" w:customStyle="1" w:styleId="C61531B543794107BFF27F356EF6FDF1">
    <w:name w:val="C61531B543794107BFF27F356EF6FDF1"/>
    <w:rsid w:val="001270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NV 1 BLUE">
    <a:dk1>
      <a:sysClr val="windowText" lastClr="000000"/>
    </a:dk1>
    <a:lt1>
      <a:sysClr val="window" lastClr="FFFFFF"/>
    </a:lt1>
    <a:dk2>
      <a:srgbClr val="1F497D"/>
    </a:dk2>
    <a:lt2>
      <a:srgbClr val="EEECE1"/>
    </a:lt2>
    <a:accent1>
      <a:srgbClr val="5A7E92"/>
    </a:accent1>
    <a:accent2>
      <a:srgbClr val="8DB9E5"/>
    </a:accent2>
    <a:accent3>
      <a:srgbClr val="7E99AA"/>
    </a:accent3>
    <a:accent4>
      <a:srgbClr val="FFD451"/>
    </a:accent4>
    <a:accent5>
      <a:srgbClr val="ECAC00"/>
    </a:accent5>
    <a:accent6>
      <a:srgbClr val="C79316"/>
    </a:accent6>
    <a:hlink>
      <a:srgbClr val="0000FF"/>
    </a:hlink>
    <a:folHlink>
      <a:srgbClr val="800080"/>
    </a:folHlink>
  </a:clrScheme>
  <a:fontScheme name="Naturvårdsverke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kumenttyp xmlns="da4f398e-0cbb-4cee-8bc8-2954fcef4716">Arbetsdokument (internt)</Dokumenttyp>
    <TaxCatchAll xmlns="35359d16-f7cf-4480-aad9-be1e8fceebb8">
      <Value>14</Value>
      <Value>12</Value>
    </TaxCatchAll>
    <STEMBeskrivning xmlns="da4f398e-0cbb-4cee-8bc8-2954fcef4716" xsi:nil="true"/>
    <STEMAmneTaxHTField0 xmlns="da4f398e-0cbb-4cee-8bc8-2954fcef4716" xsi:nil="true"/>
    <Dossierteam xmlns="6fef32ad-09cc-49a1-b970-274f1a0bfe74">
      <Value>Nationella klimatplaner</Value>
    </Dossierteam>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M_Dokument" ma:contentTypeID="0x0101005F3B3B166FD6422D88B267134623E61200861CC74AB8604344B900ABEA5905AF5E" ma:contentTypeVersion="16" ma:contentTypeDescription="Skapa ett nytt dokument." ma:contentTypeScope="" ma:versionID="9ab9316c93d6debf86a507d28bb9cda0">
  <xsd:schema xmlns:xsd="http://www.w3.org/2001/XMLSchema" xmlns:xs="http://www.w3.org/2001/XMLSchema" xmlns:p="http://schemas.microsoft.com/office/2006/metadata/properties" xmlns:ns2="da4f398e-0cbb-4cee-8bc8-2954fcef4716" xmlns:ns3="35359d16-f7cf-4480-aad9-be1e8fceebb8" xmlns:ns4="6fef32ad-09cc-49a1-b970-274f1a0bfe74" targetNamespace="http://schemas.microsoft.com/office/2006/metadata/properties" ma:root="true" ma:fieldsID="38abfe0c7cb61f4ae5c8792e88c9eb6c" ns2:_="" ns3:_="" ns4:_="">
    <xsd:import namespace="da4f398e-0cbb-4cee-8bc8-2954fcef4716"/>
    <xsd:import namespace="35359d16-f7cf-4480-aad9-be1e8fceebb8"/>
    <xsd:import namespace="6fef32ad-09cc-49a1-b970-274f1a0bfe74"/>
    <xsd:element name="properties">
      <xsd:complexType>
        <xsd:sequence>
          <xsd:element name="documentManagement">
            <xsd:complexType>
              <xsd:all>
                <xsd:element ref="ns2:STEMMyndighetsnamn" minOccurs="0"/>
                <xsd:element ref="ns2:STEMBeskrivning" minOccurs="0"/>
                <xsd:element ref="ns2:STEMProcessTaxHTField0" minOccurs="0"/>
                <xsd:element ref="ns3:TaxCatchAll" minOccurs="0"/>
                <xsd:element ref="ns3:TaxCatchAllLabel" minOccurs="0"/>
                <xsd:element ref="ns2:STEMOrganisationTaxHTField0" minOccurs="0"/>
                <xsd:element ref="ns2:STEMSkapatAv" minOccurs="0"/>
                <xsd:element ref="ns2:STEMAmneTaxHTField0" minOccurs="0"/>
                <xsd:element ref="ns2:STEMBidragande" minOccurs="0"/>
                <xsd:element ref="ns2:STEMBehorighetsregel" minOccurs="0"/>
                <xsd:element ref="ns2:STEMNewOrganisation" minOccurs="0"/>
                <xsd:element ref="ns2:Dokumenttyp"/>
                <xsd:element ref="ns4:Dossiertea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f398e-0cbb-4cee-8bc8-2954fcef4716" elementFormDefault="qualified">
    <xsd:import namespace="http://schemas.microsoft.com/office/2006/documentManagement/types"/>
    <xsd:import namespace="http://schemas.microsoft.com/office/infopath/2007/PartnerControls"/>
    <xsd:element name="STEMMyndighetsnamn" ma:index="8" nillable="true" ma:displayName="Myndighetsnamn" ma:default="Energimyndigheten" ma:internalName="STEMMyndighetsnamn" ma:readOnly="true">
      <xsd:simpleType>
        <xsd:restriction base="dms:Text"/>
      </xsd:simpleType>
    </xsd:element>
    <xsd:element name="STEMBeskrivning" ma:index="9" nillable="true" ma:displayName="Beskrivning" ma:hidden="true" ma:internalName="STEMBeskrivning" ma:readOnly="false">
      <xsd:simpleType>
        <xsd:restriction base="dms:Note"/>
      </xsd:simpleType>
    </xsd:element>
    <xsd:element name="STEMProcessTaxHTField0" ma:index="10" nillable="true" ma:taxonomy="true" ma:internalName="STEMProcessTaxHTField0" ma:taxonomyFieldName="STEMProcess" ma:displayName="Process (Används ej)" ma:readOnly="true" ma:fieldId="{31ee9918-fe17-4499-a134-e76a7564b818}" ma:sspId="1209bcd0-5856-4cae-807f-ceb1a11ed701" ma:termSetId="bfebcec9-b73f-49ca-a4fe-44a2ddc411f2" ma:anchorId="00000000-0000-0000-0000-000000000000" ma:open="false" ma:isKeyword="false">
      <xsd:complexType>
        <xsd:sequence>
          <xsd:element ref="pc:Terms" minOccurs="0" maxOccurs="1"/>
        </xsd:sequence>
      </xsd:complexType>
    </xsd:element>
    <xsd:element name="STEMOrganisationTaxHTField0" ma:index="14" nillable="true" ma:taxonomy="true" ma:internalName="STEMOrganisationTaxHTField0" ma:taxonomyFieldName="STEMOrganisation" ma:displayName="Organisation (Används ej)" ma:readOnly="true" ma:fieldId="{dbd771e0-57ed-4a1f-b495-5161947a4725}" ma:sspId="1209bcd0-5856-4cae-807f-ceb1a11ed701" ma:termSetId="da55768c-4fa3-4440-a06e-845702abe369" ma:anchorId="00000000-0000-0000-0000-000000000000" ma:open="false" ma:isKeyword="false">
      <xsd:complexType>
        <xsd:sequence>
          <xsd:element ref="pc:Terms" minOccurs="0" maxOccurs="1"/>
        </xsd:sequence>
      </xsd:complexType>
    </xsd:element>
    <xsd:element name="STEMSkapatAv" ma:index="16" nillable="true" ma:displayName="Skapat av" ma:hidden="true" ma:internalName="STEMSkapatAv"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EMAmneTaxHTField0" ma:index="17" nillable="true" ma:displayName="STEMAmneTaxHTField0" ma:hidden="true" ma:internalName="STEMAmneTaxHTField0">
      <xsd:simpleType>
        <xsd:restriction base="dms:Note"/>
      </xsd:simpleType>
    </xsd:element>
    <xsd:element name="STEMBidragande" ma:index="18" nillable="true" ma:displayName="Bidragande" ma:internalName="STEMBidragande" ma:readOnly="true">
      <xsd:simpleType>
        <xsd:restriction base="dms:Note"/>
      </xsd:simpleType>
    </xsd:element>
    <xsd:element name="STEMBehorighetsregel" ma:index="19" nillable="true" ma:displayName="Annan behörighetsregel (Används ej)" ma:default="0" ma:hidden="true" ma:internalName="STEMBehorighetsregel" ma:readOnly="true">
      <xsd:simpleType>
        <xsd:restriction base="dms:Boolean"/>
      </xsd:simpleType>
    </xsd:element>
    <xsd:element name="STEMNewOrganisation" ma:index="20" nillable="true" ma:displayName="Organisation" ma:internalName="STEMNewOrganisation" ma:readOnly="true">
      <xsd:simpleType>
        <xsd:restriction base="dms:Note"/>
      </xsd:simpleType>
    </xsd:element>
    <xsd:element name="Dokumenttyp" ma:index="21" ma:displayName="Dokumenttyp" ma:description="Vilken typ av dokument är detta?" ma:format="Dropdown" ma:internalName="Dokumenttyp">
      <xsd:simpleType>
        <xsd:union memberTypes="dms:Text">
          <xsd:simpleType>
            <xsd:restriction base="dms:Choice">
              <xsd:enumeration value="Mötesdokument"/>
              <xsd:enumeration value="KOM-dokument"/>
              <xsd:enumeration value="Arbetsdokument (internt)"/>
              <xsd:enumeration value="Sveriges ställningstagande - elmarknadsdirektivet"/>
              <xsd:enumeration value="Sveriges ställningstagande - elmarknadsförordningen"/>
              <xsd:enumeration value="Sveriges ställningstagande - byråförordningen"/>
              <xsd:enumeration value="Sveriges ställningstagande - riskberedskapsförordninge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5359d16-f7cf-4480-aad9-be1e8fceebb8" elementFormDefault="qualified">
    <xsd:import namespace="http://schemas.microsoft.com/office/2006/documentManagement/types"/>
    <xsd:import namespace="http://schemas.microsoft.com/office/infopath/2007/PartnerControls"/>
    <xsd:element name="TaxCatchAll" ma:index="11" nillable="true" ma:displayName="Taxonomy Catch All Column" ma:description="" ma:hidden="true" ma:list="{eae7fecc-b445-4421-9b8c-b88dba6c864a}" ma:internalName="TaxCatchAll" ma:showField="CatchAllData" ma:web="35359d16-f7cf-4480-aad9-be1e8fceebb8">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description="" ma:hidden="true" ma:list="{eae7fecc-b445-4421-9b8c-b88dba6c864a}" ma:internalName="TaxCatchAllLabel" ma:readOnly="true" ma:showField="CatchAllDataLabel" ma:web="35359d16-f7cf-4480-aad9-be1e8fceebb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ef32ad-09cc-49a1-b970-274f1a0bfe74" elementFormDefault="qualified">
    <xsd:import namespace="http://schemas.microsoft.com/office/2006/documentManagement/types"/>
    <xsd:import namespace="http://schemas.microsoft.com/office/infopath/2007/PartnerControls"/>
    <xsd:element name="Dossierteam" ma:index="22" nillable="true" ma:displayName="Dossierteam" ma:description="Ange ett eller flera dossierteam" ma:internalName="Dossierteam" ma:requiredMultiChoice="true">
      <xsd:complexType>
        <xsd:complexContent>
          <xsd:extension base="dms:MultiChoice">
            <xsd:sequence>
              <xsd:element name="Value" maxOccurs="unbounded" minOccurs="0" nillable="true">
                <xsd:simpleType>
                  <xsd:restriction base="dms:Choice">
                    <xsd:enumeration value="Energieffektivisering"/>
                    <xsd:enumeration value="Förnybar energi"/>
                    <xsd:enumeration value="Försörjningstrygghet"/>
                    <xsd:enumeration value="Inre marknad"/>
                    <xsd:enumeration value="Klimat"/>
                    <xsd:enumeration value="Klimat- och energiplaner"/>
                    <xsd:enumeration value="Nationella klimatplaner"/>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0B1F2-C14B-4E7F-B9EC-ED7DC4A398EE}"/>
</file>

<file path=customXml/itemProps2.xml><?xml version="1.0" encoding="utf-8"?>
<ds:datastoreItem xmlns:ds="http://schemas.openxmlformats.org/officeDocument/2006/customXml" ds:itemID="{4845CDF8-339D-424A-9A6B-051BC828C304}"/>
</file>

<file path=customXml/itemProps3.xml><?xml version="1.0" encoding="utf-8"?>
<ds:datastoreItem xmlns:ds="http://schemas.openxmlformats.org/officeDocument/2006/customXml" ds:itemID="{431CC739-405A-4DF3-BF1B-DBBDA731CCE8}"/>
</file>

<file path=customXml/itemProps4.xml><?xml version="1.0" encoding="utf-8"?>
<ds:datastoreItem xmlns:ds="http://schemas.openxmlformats.org/officeDocument/2006/customXml" ds:itemID="{D87E37E6-70D5-47BA-AA29-0E67112F288F}"/>
</file>

<file path=docProps/app.xml><?xml version="1.0" encoding="utf-8"?>
<Properties xmlns="http://schemas.openxmlformats.org/officeDocument/2006/extended-properties" xmlns:vt="http://schemas.openxmlformats.org/officeDocument/2006/docPropsVTypes">
  <Template>Rapport eng</Template>
  <TotalTime>0</TotalTime>
  <Pages>88</Pages>
  <Words>25382</Words>
  <Characters>134526</Characters>
  <Application>Microsoft Office Word</Application>
  <DocSecurity>4</DocSecurity>
  <Lines>1121</Lines>
  <Paragraphs>319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Leander</dc:creator>
  <cp:keywords/>
  <dc:description>EM5000E, v5.1, 2017-08-17</dc:description>
  <cp:lastModifiedBy>Sandra Höglund</cp:lastModifiedBy>
  <cp:revision>2</cp:revision>
  <cp:lastPrinted>2017-10-16T08:18:00Z</cp:lastPrinted>
  <dcterms:created xsi:type="dcterms:W3CDTF">2018-02-21T12:00:00Z</dcterms:created>
  <dcterms:modified xsi:type="dcterms:W3CDTF">2018-02-21T12:00:00Z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0x0101005F3B3B166FD6422D88B267134623E61200861CC74AB8604344B900ABEA5905AF5E</vt:lpwstr>
  </property>
  <property fmtid="{D5CDD505-2E9C-101B-9397-08002B2CF9AE}" pid="3" name="STEMSprakTaxHTField0">
    <vt:lpwstr>Sv|984ba086-a62a-400a-9716-342255976432</vt:lpwstr>
  </property>
  <property fmtid="{D5CDD505-2E9C-101B-9397-08002B2CF9AE}" pid="4" name="STEMInformationsklassTaxHTField0">
    <vt:lpwstr>Ej sekretess|f6b508c3-2418-4a00-bdce-410e71819f98</vt:lpwstr>
  </property>
  <property fmtid="{D5CDD505-2E9C-101B-9397-08002B2CF9AE}" pid="5" name="STEMInformationsklass">
    <vt:lpwstr>12;#Ej sekretess|f6b508c3-2418-4a00-bdce-410e71819f98</vt:lpwstr>
  </property>
  <property fmtid="{D5CDD505-2E9C-101B-9397-08002B2CF9AE}" pid="6" name="STEMSprak">
    <vt:lpwstr>14;#Sv|984ba086-a62a-400a-9716-342255976432</vt:lpwstr>
  </property>
  <property fmtid="{D5CDD505-2E9C-101B-9397-08002B2CF9AE}" pid="7" name="STEMAmne">
    <vt:lpwstr/>
  </property>
  <property fmtid="{D5CDD505-2E9C-101B-9397-08002B2CF9AE}" pid="8" name="TaxKeywordTaxHTField">
    <vt:lpwstr/>
  </property>
</Properties>
</file>